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90977" w14:textId="77777777" w:rsidR="004521D0" w:rsidRDefault="00BE1421" w:rsidP="00BE1421">
      <w:pPr>
        <w:tabs>
          <w:tab w:val="left" w:pos="3330"/>
        </w:tabs>
      </w:pPr>
      <w:r>
        <w:tab/>
      </w:r>
    </w:p>
    <w:p w14:paraId="647CEED3" w14:textId="77777777" w:rsidR="0048044D" w:rsidRDefault="0048044D">
      <w:pPr>
        <w:jc w:val="center"/>
      </w:pPr>
    </w:p>
    <w:p w14:paraId="27E2F144" w14:textId="77777777" w:rsidR="00245AEF" w:rsidRDefault="007E62E1">
      <w:pPr>
        <w:pStyle w:val="KickerLabel"/>
      </w:pPr>
      <w:r>
        <w:t>HRP-103 · APRIL 2026</w:t>
      </w:r>
    </w:p>
    <w:p w14:paraId="484E84A9" w14:textId="77777777" w:rsidR="00245AEF" w:rsidRDefault="007E62E1">
      <w:pPr>
        <w:pStyle w:val="Heading1"/>
      </w:pPr>
      <w:r>
        <w:t>Investigator Manual</w:t>
      </w:r>
    </w:p>
    <w:p w14:paraId="074421C3" w14:textId="77777777" w:rsidR="00245AEF" w:rsidRDefault="007E62E1">
      <w:pPr>
        <w:pStyle w:val="BodyText"/>
      </w:pPr>
      <w:r>
        <w:t>Author: Ellen Patricia · Approver: Cynthia Carnes</w:t>
      </w:r>
    </w:p>
    <w:p w14:paraId="5BCFEB90" w14:textId="77777777" w:rsidR="004521D0" w:rsidRDefault="004B5D1B">
      <w:pPr>
        <w:jc w:val="center"/>
        <w:rPr>
          <w:b/>
          <w:sz w:val="48"/>
          <w:szCs w:val="48"/>
        </w:rPr>
      </w:pPr>
      <w:r>
        <w:rPr>
          <w:b/>
          <w:sz w:val="28"/>
          <w:szCs w:val="28"/>
        </w:rPr>
        <w:br w:type="page"/>
      </w:r>
    </w:p>
    <w:p w14:paraId="528CD638" w14:textId="77777777" w:rsidR="003217DC" w:rsidRPr="00DD7712" w:rsidRDefault="00DD7712" w:rsidP="000D00DC">
      <w:pPr>
        <w:pStyle w:val="TOC1"/>
      </w:pPr>
      <w:r>
        <w:lastRenderedPageBreak/>
        <w:t>Table of Contents</w:t>
      </w:r>
    </w:p>
    <w:p w14:paraId="0002F332" w14:textId="34473F18" w:rsidR="00D515E8" w:rsidRPr="00FE0011" w:rsidRDefault="00D515E8" w:rsidP="000D00DC">
      <w:pPr>
        <w:pStyle w:val="TOC1"/>
        <w:rPr>
          <w:b w:val="0"/>
          <w:bCs/>
          <w:kern w:val="2"/>
          <w:sz w:val="22"/>
          <w:szCs w:val="22"/>
          <w14:ligatures w14:val="standardContextual"/>
        </w:rPr>
      </w:pPr>
      <w:r>
        <w:fldChar w:fldCharType="begin"/>
      </w:r>
      <w:r>
        <w:instrText xml:space="preserve"> TOC \o "1-3" \h \z \u </w:instrText>
      </w:r>
      <w:r>
        <w:fldChar w:fldCharType="separate"/>
      </w:r>
      <w:hyperlink w:anchor="_Toc225507662" w:history="1">
        <w:r>
          <w:rPr>
            <w:rStyle w:val="Hyperlink"/>
            <w:b w:val="0"/>
            <w:bCs/>
            <w:sz w:val="22"/>
            <w:szCs w:val="22"/>
          </w:rPr>
          <w:t>Purpose</w:t>
        </w:r>
        <w:r>
          <w:rPr>
            <w:b w:val="0"/>
            <w:bCs/>
            <w:webHidden/>
            <w:sz w:val="22"/>
            <w:szCs w:val="22"/>
          </w:rPr>
          <w:tab/>
        </w:r>
        <w:r>
          <w:rPr>
            <w:b w:val="0"/>
            <w:bCs/>
            <w:webHidden/>
            <w:sz w:val="22"/>
            <w:szCs w:val="22"/>
          </w:rPr>
          <w:fldChar w:fldCharType="begin"/>
        </w:r>
        <w:r>
          <w:rPr>
            <w:b w:val="0"/>
            <w:bCs/>
            <w:webHidden/>
            <w:sz w:val="22"/>
            <w:szCs w:val="22"/>
          </w:rPr>
          <w:instrText xml:space="preserve"> PAGEREF _Toc225507662 \h </w:instrText>
        </w:r>
        <w:r>
          <w:rPr>
            <w:b w:val="0"/>
            <w:bCs/>
            <w:webHidden/>
            <w:sz w:val="22"/>
            <w:szCs w:val="22"/>
          </w:rPr>
        </w:r>
        <w:r>
          <w:rPr>
            <w:b w:val="0"/>
            <w:bCs/>
            <w:webHidden/>
            <w:sz w:val="22"/>
            <w:szCs w:val="22"/>
          </w:rPr>
          <w:fldChar w:fldCharType="separate"/>
        </w:r>
        <w:r w:rsidR="003E42DE">
          <w:rPr>
            <w:b w:val="0"/>
            <w:bCs/>
            <w:webHidden/>
            <w:sz w:val="22"/>
            <w:szCs w:val="22"/>
          </w:rPr>
          <w:t>4</w:t>
        </w:r>
        <w:r>
          <w:rPr>
            <w:b w:val="0"/>
            <w:bCs/>
            <w:webHidden/>
            <w:sz w:val="22"/>
            <w:szCs w:val="22"/>
          </w:rPr>
          <w:fldChar w:fldCharType="end"/>
        </w:r>
      </w:hyperlink>
    </w:p>
    <w:p w14:paraId="0C387845" w14:textId="056FF82A" w:rsidR="00D515E8" w:rsidRPr="00FE0011" w:rsidRDefault="00D515E8" w:rsidP="000D00DC">
      <w:pPr>
        <w:pStyle w:val="TOC1"/>
        <w:rPr>
          <w:kern w:val="2"/>
          <w:sz w:val="22"/>
          <w:szCs w:val="22"/>
          <w14:ligatures w14:val="standardContextual"/>
        </w:rPr>
      </w:pPr>
      <w:hyperlink w:anchor="_Toc225507663" w:history="1">
        <w:r>
          <w:rPr>
            <w:rStyle w:val="Hyperlink"/>
            <w:b w:val="0"/>
            <w:bCs/>
            <w:sz w:val="22"/>
            <w:szCs w:val="22"/>
          </w:rPr>
          <w:t>Human Subjects Research</w:t>
        </w:r>
        <w:r>
          <w:rPr>
            <w:b w:val="0"/>
            <w:bCs/>
            <w:webHidden/>
            <w:sz w:val="22"/>
            <w:szCs w:val="22"/>
          </w:rPr>
          <w:tab/>
        </w:r>
        <w:r>
          <w:rPr>
            <w:b w:val="0"/>
            <w:bCs/>
            <w:webHidden/>
            <w:sz w:val="22"/>
            <w:szCs w:val="22"/>
          </w:rPr>
          <w:fldChar w:fldCharType="begin"/>
        </w:r>
        <w:r>
          <w:rPr>
            <w:b w:val="0"/>
            <w:bCs/>
            <w:webHidden/>
            <w:sz w:val="22"/>
            <w:szCs w:val="22"/>
          </w:rPr>
          <w:instrText xml:space="preserve"> PAGEREF _Toc225507663 \h </w:instrText>
        </w:r>
        <w:r>
          <w:rPr>
            <w:b w:val="0"/>
            <w:bCs/>
            <w:webHidden/>
            <w:sz w:val="22"/>
            <w:szCs w:val="22"/>
          </w:rPr>
        </w:r>
        <w:r>
          <w:rPr>
            <w:b w:val="0"/>
            <w:bCs/>
            <w:webHidden/>
            <w:sz w:val="22"/>
            <w:szCs w:val="22"/>
          </w:rPr>
          <w:fldChar w:fldCharType="separate"/>
        </w:r>
        <w:r w:rsidR="003E42DE">
          <w:rPr>
            <w:b w:val="0"/>
            <w:bCs/>
            <w:webHidden/>
            <w:sz w:val="22"/>
            <w:szCs w:val="22"/>
          </w:rPr>
          <w:t>4</w:t>
        </w:r>
        <w:r>
          <w:rPr>
            <w:b w:val="0"/>
            <w:bCs/>
            <w:webHidden/>
            <w:sz w:val="22"/>
            <w:szCs w:val="22"/>
          </w:rPr>
          <w:fldChar w:fldCharType="end"/>
        </w:r>
      </w:hyperlink>
    </w:p>
    <w:p w14:paraId="6D6A9DE5" w14:textId="371E9A7E" w:rsidR="00D515E8" w:rsidRPr="00FE0011" w:rsidRDefault="00D515E8" w:rsidP="00DD7712">
      <w:pPr>
        <w:pStyle w:val="TOC2"/>
        <w:rPr>
          <w:bCs/>
          <w:kern w:val="2"/>
          <w14:ligatures w14:val="standardContextual"/>
        </w:rPr>
      </w:pPr>
      <w:hyperlink w:anchor="_Toc225507664" w:history="1">
        <w:r>
          <w:rPr>
            <w:rStyle w:val="Hyperlink"/>
            <w:bCs/>
          </w:rPr>
          <w:t>Human Research Protection Program (HRPP)</w:t>
        </w:r>
        <w:r>
          <w:rPr>
            <w:bCs/>
            <w:webHidden/>
          </w:rPr>
          <w:tab/>
        </w:r>
        <w:r>
          <w:rPr>
            <w:bCs/>
            <w:webHidden/>
          </w:rPr>
          <w:fldChar w:fldCharType="begin"/>
        </w:r>
        <w:r>
          <w:rPr>
            <w:bCs/>
            <w:webHidden/>
          </w:rPr>
          <w:instrText xml:space="preserve"> PAGEREF _Toc225507664 \h </w:instrText>
        </w:r>
        <w:r>
          <w:rPr>
            <w:bCs/>
            <w:webHidden/>
          </w:rPr>
        </w:r>
        <w:r>
          <w:rPr>
            <w:bCs/>
            <w:webHidden/>
          </w:rPr>
          <w:fldChar w:fldCharType="separate"/>
        </w:r>
        <w:r w:rsidR="003E42DE">
          <w:rPr>
            <w:bCs/>
            <w:webHidden/>
          </w:rPr>
          <w:t>4</w:t>
        </w:r>
        <w:r>
          <w:rPr>
            <w:bCs/>
            <w:webHidden/>
          </w:rPr>
          <w:fldChar w:fldCharType="end"/>
        </w:r>
      </w:hyperlink>
    </w:p>
    <w:p w14:paraId="2E385605" w14:textId="6C5A9D6B" w:rsidR="00D515E8" w:rsidRPr="00FE0011" w:rsidRDefault="00D515E8" w:rsidP="00DD7712">
      <w:pPr>
        <w:pStyle w:val="TOC2"/>
        <w:rPr>
          <w:bCs/>
          <w:kern w:val="2"/>
          <w14:ligatures w14:val="standardContextual"/>
        </w:rPr>
      </w:pPr>
      <w:hyperlink w:anchor="_Toc225507665" w:history="1">
        <w:r>
          <w:rPr>
            <w:rStyle w:val="Hyperlink"/>
            <w:bCs/>
          </w:rPr>
          <w:t>HRPP Quality Improvement Activities</w:t>
        </w:r>
        <w:r>
          <w:rPr>
            <w:bCs/>
            <w:webHidden/>
          </w:rPr>
          <w:tab/>
        </w:r>
        <w:r>
          <w:rPr>
            <w:bCs/>
            <w:webHidden/>
          </w:rPr>
          <w:fldChar w:fldCharType="begin"/>
        </w:r>
        <w:r>
          <w:rPr>
            <w:bCs/>
            <w:webHidden/>
          </w:rPr>
          <w:instrText xml:space="preserve"> PAGEREF _Toc225507665 \h </w:instrText>
        </w:r>
        <w:r>
          <w:rPr>
            <w:bCs/>
            <w:webHidden/>
          </w:rPr>
        </w:r>
        <w:r>
          <w:rPr>
            <w:bCs/>
            <w:webHidden/>
          </w:rPr>
          <w:fldChar w:fldCharType="separate"/>
        </w:r>
        <w:r w:rsidR="003E42DE">
          <w:rPr>
            <w:bCs/>
            <w:webHidden/>
          </w:rPr>
          <w:t>5</w:t>
        </w:r>
        <w:r>
          <w:rPr>
            <w:bCs/>
            <w:webHidden/>
          </w:rPr>
          <w:fldChar w:fldCharType="end"/>
        </w:r>
      </w:hyperlink>
    </w:p>
    <w:p w14:paraId="4248DA0E" w14:textId="5BF56334" w:rsidR="00D515E8" w:rsidRPr="00FE0011" w:rsidRDefault="00D515E8" w:rsidP="00DD7712">
      <w:pPr>
        <w:pStyle w:val="TOC2"/>
        <w:rPr>
          <w:bCs/>
          <w:kern w:val="2"/>
          <w14:ligatures w14:val="standardContextual"/>
        </w:rPr>
      </w:pPr>
      <w:hyperlink w:anchor="_Toc225507666" w:history="1">
        <w:r>
          <w:rPr>
            <w:rStyle w:val="Hyperlink"/>
            <w:bCs/>
          </w:rPr>
          <w:t>Conducting Human Subjects Research</w:t>
        </w:r>
        <w:r>
          <w:rPr>
            <w:bCs/>
            <w:webHidden/>
          </w:rPr>
          <w:tab/>
        </w:r>
        <w:r>
          <w:rPr>
            <w:bCs/>
            <w:webHidden/>
          </w:rPr>
          <w:fldChar w:fldCharType="begin"/>
        </w:r>
        <w:r>
          <w:rPr>
            <w:bCs/>
            <w:webHidden/>
          </w:rPr>
          <w:instrText xml:space="preserve"> PAGEREF _Toc225507666 \h </w:instrText>
        </w:r>
        <w:r>
          <w:rPr>
            <w:bCs/>
            <w:webHidden/>
          </w:rPr>
        </w:r>
        <w:r>
          <w:rPr>
            <w:bCs/>
            <w:webHidden/>
          </w:rPr>
          <w:fldChar w:fldCharType="separate"/>
        </w:r>
        <w:r w:rsidR="003E42DE">
          <w:rPr>
            <w:bCs/>
            <w:webHidden/>
          </w:rPr>
          <w:t>5</w:t>
        </w:r>
        <w:r>
          <w:rPr>
            <w:bCs/>
            <w:webHidden/>
          </w:rPr>
          <w:fldChar w:fldCharType="end"/>
        </w:r>
      </w:hyperlink>
    </w:p>
    <w:p w14:paraId="7FE21590" w14:textId="419BEEBD" w:rsidR="00D515E8" w:rsidRPr="00FE0011" w:rsidRDefault="00D515E8" w:rsidP="000D00DC">
      <w:pPr>
        <w:pStyle w:val="TOC1"/>
        <w:rPr>
          <w:kern w:val="2"/>
          <w:sz w:val="22"/>
          <w:szCs w:val="22"/>
          <w14:ligatures w14:val="standardContextual"/>
        </w:rPr>
      </w:pPr>
      <w:hyperlink w:anchor="_Toc225507667" w:history="1">
        <w:r>
          <w:rPr>
            <w:rStyle w:val="Hyperlink"/>
            <w:b w:val="0"/>
            <w:bCs/>
            <w:sz w:val="22"/>
            <w:szCs w:val="22"/>
          </w:rPr>
          <w:t>Researcher Roles and Requirements</w:t>
        </w:r>
        <w:r>
          <w:rPr>
            <w:webHidden/>
            <w:sz w:val="22"/>
            <w:szCs w:val="22"/>
          </w:rPr>
          <w:tab/>
        </w:r>
        <w:r>
          <w:rPr>
            <w:b w:val="0"/>
            <w:bCs/>
            <w:webHidden/>
            <w:sz w:val="22"/>
            <w:szCs w:val="22"/>
          </w:rPr>
          <w:fldChar w:fldCharType="begin"/>
        </w:r>
        <w:r>
          <w:rPr>
            <w:b w:val="0"/>
            <w:bCs/>
            <w:webHidden/>
            <w:sz w:val="22"/>
            <w:szCs w:val="22"/>
          </w:rPr>
          <w:instrText xml:space="preserve"> PAGEREF _Toc225507667 \h </w:instrText>
        </w:r>
        <w:r>
          <w:rPr>
            <w:b w:val="0"/>
            <w:bCs/>
            <w:webHidden/>
            <w:sz w:val="22"/>
            <w:szCs w:val="22"/>
          </w:rPr>
        </w:r>
        <w:r>
          <w:rPr>
            <w:b w:val="0"/>
            <w:bCs/>
            <w:webHidden/>
            <w:sz w:val="22"/>
            <w:szCs w:val="22"/>
          </w:rPr>
          <w:fldChar w:fldCharType="separate"/>
        </w:r>
        <w:r w:rsidR="003E42DE">
          <w:rPr>
            <w:b w:val="0"/>
            <w:bCs/>
            <w:webHidden/>
            <w:sz w:val="22"/>
            <w:szCs w:val="22"/>
          </w:rPr>
          <w:t>6</w:t>
        </w:r>
        <w:r>
          <w:rPr>
            <w:b w:val="0"/>
            <w:bCs/>
            <w:webHidden/>
            <w:sz w:val="22"/>
            <w:szCs w:val="22"/>
          </w:rPr>
          <w:fldChar w:fldCharType="end"/>
        </w:r>
      </w:hyperlink>
    </w:p>
    <w:p w14:paraId="1F622449" w14:textId="475F7597" w:rsidR="00D515E8" w:rsidRPr="00FE0011" w:rsidRDefault="00D515E8" w:rsidP="00DD7712">
      <w:pPr>
        <w:pStyle w:val="TOC2"/>
        <w:rPr>
          <w:bCs/>
          <w:kern w:val="2"/>
          <w14:ligatures w14:val="standardContextual"/>
        </w:rPr>
      </w:pPr>
      <w:hyperlink w:anchor="_Toc225507668" w:history="1">
        <w:r>
          <w:rPr>
            <w:rStyle w:val="Hyperlink"/>
            <w:bCs/>
          </w:rPr>
          <w:t>Principal Investigator (PI)</w:t>
        </w:r>
        <w:r>
          <w:rPr>
            <w:bCs/>
            <w:webHidden/>
          </w:rPr>
          <w:tab/>
        </w:r>
        <w:r>
          <w:rPr>
            <w:bCs/>
            <w:webHidden/>
          </w:rPr>
          <w:fldChar w:fldCharType="begin"/>
        </w:r>
        <w:r>
          <w:rPr>
            <w:bCs/>
            <w:webHidden/>
          </w:rPr>
          <w:instrText xml:space="preserve"> PAGEREF _Toc225507668 \h </w:instrText>
        </w:r>
        <w:r>
          <w:rPr>
            <w:bCs/>
            <w:webHidden/>
          </w:rPr>
        </w:r>
        <w:r>
          <w:rPr>
            <w:bCs/>
            <w:webHidden/>
          </w:rPr>
          <w:fldChar w:fldCharType="separate"/>
        </w:r>
        <w:r w:rsidR="003E42DE">
          <w:rPr>
            <w:bCs/>
            <w:webHidden/>
          </w:rPr>
          <w:t>6</w:t>
        </w:r>
        <w:r>
          <w:rPr>
            <w:bCs/>
            <w:webHidden/>
          </w:rPr>
          <w:fldChar w:fldCharType="end"/>
        </w:r>
      </w:hyperlink>
    </w:p>
    <w:p w14:paraId="1316B873" w14:textId="081BFD1E" w:rsidR="00D515E8" w:rsidRPr="00FE0011" w:rsidRDefault="00D515E8" w:rsidP="00DD7712">
      <w:pPr>
        <w:pStyle w:val="TOC2"/>
        <w:rPr>
          <w:bCs/>
          <w:kern w:val="2"/>
          <w14:ligatures w14:val="standardContextual"/>
        </w:rPr>
      </w:pPr>
      <w:hyperlink w:anchor="_Toc225507669" w:history="1">
        <w:r>
          <w:rPr>
            <w:rStyle w:val="Hyperlink"/>
            <w:bCs/>
          </w:rPr>
          <w:t>PI Proxy</w:t>
        </w:r>
        <w:r>
          <w:rPr>
            <w:bCs/>
            <w:webHidden/>
          </w:rPr>
          <w:tab/>
        </w:r>
        <w:r>
          <w:rPr>
            <w:bCs/>
            <w:webHidden/>
          </w:rPr>
          <w:fldChar w:fldCharType="begin"/>
        </w:r>
        <w:r>
          <w:rPr>
            <w:bCs/>
            <w:webHidden/>
          </w:rPr>
          <w:instrText xml:space="preserve"> PAGEREF _Toc225507669 \h </w:instrText>
        </w:r>
        <w:r>
          <w:rPr>
            <w:bCs/>
            <w:webHidden/>
          </w:rPr>
        </w:r>
        <w:r>
          <w:rPr>
            <w:bCs/>
            <w:webHidden/>
          </w:rPr>
          <w:fldChar w:fldCharType="separate"/>
        </w:r>
        <w:r w:rsidR="003E42DE">
          <w:rPr>
            <w:bCs/>
            <w:webHidden/>
          </w:rPr>
          <w:t>6</w:t>
        </w:r>
        <w:r>
          <w:rPr>
            <w:bCs/>
            <w:webHidden/>
          </w:rPr>
          <w:fldChar w:fldCharType="end"/>
        </w:r>
      </w:hyperlink>
    </w:p>
    <w:p w14:paraId="69AEC288" w14:textId="4912FD57" w:rsidR="00D515E8" w:rsidRPr="00FE0011" w:rsidRDefault="00D515E8" w:rsidP="00DD7712">
      <w:pPr>
        <w:pStyle w:val="TOC2"/>
        <w:rPr>
          <w:bCs/>
          <w:kern w:val="2"/>
          <w14:ligatures w14:val="standardContextual"/>
        </w:rPr>
      </w:pPr>
      <w:hyperlink w:anchor="_Toc225507670" w:history="1">
        <w:r>
          <w:rPr>
            <w:rStyle w:val="Hyperlink"/>
            <w:bCs/>
          </w:rPr>
          <w:t>Primary Contact</w:t>
        </w:r>
        <w:r>
          <w:rPr>
            <w:bCs/>
            <w:webHidden/>
          </w:rPr>
          <w:tab/>
        </w:r>
        <w:r>
          <w:rPr>
            <w:bCs/>
            <w:webHidden/>
          </w:rPr>
          <w:fldChar w:fldCharType="begin"/>
        </w:r>
        <w:r>
          <w:rPr>
            <w:bCs/>
            <w:webHidden/>
          </w:rPr>
          <w:instrText xml:space="preserve"> PAGEREF _Toc225507670 \h </w:instrText>
        </w:r>
        <w:r>
          <w:rPr>
            <w:bCs/>
            <w:webHidden/>
          </w:rPr>
        </w:r>
        <w:r>
          <w:rPr>
            <w:bCs/>
            <w:webHidden/>
          </w:rPr>
          <w:fldChar w:fldCharType="separate"/>
        </w:r>
        <w:r w:rsidR="003E42DE">
          <w:rPr>
            <w:bCs/>
            <w:webHidden/>
          </w:rPr>
          <w:t>6</w:t>
        </w:r>
        <w:r>
          <w:rPr>
            <w:bCs/>
            <w:webHidden/>
          </w:rPr>
          <w:fldChar w:fldCharType="end"/>
        </w:r>
      </w:hyperlink>
    </w:p>
    <w:p w14:paraId="7069C26E" w14:textId="71F1CE35" w:rsidR="00D515E8" w:rsidRPr="00FE0011" w:rsidRDefault="00D515E8" w:rsidP="00DD7712">
      <w:pPr>
        <w:pStyle w:val="TOC2"/>
        <w:rPr>
          <w:bCs/>
          <w:kern w:val="2"/>
          <w14:ligatures w14:val="standardContextual"/>
        </w:rPr>
      </w:pPr>
      <w:hyperlink w:anchor="_Toc225507671" w:history="1">
        <w:r>
          <w:rPr>
            <w:rStyle w:val="Hyperlink"/>
            <w:bCs/>
          </w:rPr>
          <w:t>Required Training for Research Staff</w:t>
        </w:r>
        <w:r>
          <w:rPr>
            <w:bCs/>
            <w:webHidden/>
          </w:rPr>
          <w:tab/>
        </w:r>
        <w:r>
          <w:rPr>
            <w:bCs/>
            <w:webHidden/>
          </w:rPr>
          <w:fldChar w:fldCharType="begin"/>
        </w:r>
        <w:r>
          <w:rPr>
            <w:bCs/>
            <w:webHidden/>
          </w:rPr>
          <w:instrText xml:space="preserve"> PAGEREF _Toc225507671 \h </w:instrText>
        </w:r>
        <w:r>
          <w:rPr>
            <w:bCs/>
            <w:webHidden/>
          </w:rPr>
        </w:r>
        <w:r>
          <w:rPr>
            <w:bCs/>
            <w:webHidden/>
          </w:rPr>
          <w:fldChar w:fldCharType="separate"/>
        </w:r>
        <w:r w:rsidR="003E42DE">
          <w:rPr>
            <w:bCs/>
            <w:webHidden/>
          </w:rPr>
          <w:t>6</w:t>
        </w:r>
        <w:r>
          <w:rPr>
            <w:bCs/>
            <w:webHidden/>
          </w:rPr>
          <w:fldChar w:fldCharType="end"/>
        </w:r>
      </w:hyperlink>
    </w:p>
    <w:p w14:paraId="2454ECCD" w14:textId="36FE5877" w:rsidR="00D515E8" w:rsidRPr="00FE0011" w:rsidRDefault="00D515E8" w:rsidP="00DD7712">
      <w:pPr>
        <w:pStyle w:val="TOC2"/>
        <w:rPr>
          <w:bCs/>
          <w:kern w:val="2"/>
          <w14:ligatures w14:val="standardContextual"/>
        </w:rPr>
      </w:pPr>
      <w:hyperlink w:anchor="_Toc225507672" w:history="1">
        <w:r>
          <w:rPr>
            <w:rStyle w:val="Hyperlink"/>
            <w:bCs/>
          </w:rPr>
          <w:t>Disclosure of Financial Interests</w:t>
        </w:r>
        <w:r>
          <w:rPr>
            <w:bCs/>
            <w:webHidden/>
          </w:rPr>
          <w:tab/>
        </w:r>
        <w:r>
          <w:rPr>
            <w:bCs/>
            <w:webHidden/>
          </w:rPr>
          <w:fldChar w:fldCharType="begin"/>
        </w:r>
        <w:r>
          <w:rPr>
            <w:bCs/>
            <w:webHidden/>
          </w:rPr>
          <w:instrText xml:space="preserve"> PAGEREF _Toc225507672 \h </w:instrText>
        </w:r>
        <w:r>
          <w:rPr>
            <w:bCs/>
            <w:webHidden/>
          </w:rPr>
        </w:r>
        <w:r>
          <w:rPr>
            <w:bCs/>
            <w:webHidden/>
          </w:rPr>
          <w:fldChar w:fldCharType="separate"/>
        </w:r>
        <w:r w:rsidR="003E42DE">
          <w:rPr>
            <w:bCs/>
            <w:webHidden/>
          </w:rPr>
          <w:t>7</w:t>
        </w:r>
        <w:r>
          <w:rPr>
            <w:bCs/>
            <w:webHidden/>
          </w:rPr>
          <w:fldChar w:fldCharType="end"/>
        </w:r>
      </w:hyperlink>
    </w:p>
    <w:p w14:paraId="690D2B3E" w14:textId="1E2DE27C" w:rsidR="00D515E8" w:rsidRPr="00FE0011" w:rsidRDefault="00D515E8" w:rsidP="000D00DC">
      <w:pPr>
        <w:pStyle w:val="TOC1"/>
        <w:rPr>
          <w:kern w:val="2"/>
          <w:sz w:val="22"/>
          <w:szCs w:val="22"/>
          <w14:ligatures w14:val="standardContextual"/>
        </w:rPr>
      </w:pPr>
      <w:hyperlink w:anchor="_Toc225507673" w:history="1">
        <w:r>
          <w:rPr>
            <w:rStyle w:val="Hyperlink"/>
            <w:b w:val="0"/>
            <w:bCs/>
            <w:sz w:val="22"/>
            <w:szCs w:val="22"/>
          </w:rPr>
          <w:t>Submitting New Research to the IRB</w:t>
        </w:r>
        <w:r>
          <w:rPr>
            <w:webHidden/>
            <w:sz w:val="22"/>
            <w:szCs w:val="22"/>
          </w:rPr>
          <w:tab/>
        </w:r>
        <w:r>
          <w:rPr>
            <w:b w:val="0"/>
            <w:bCs/>
            <w:webHidden/>
            <w:sz w:val="22"/>
            <w:szCs w:val="22"/>
          </w:rPr>
          <w:fldChar w:fldCharType="begin"/>
        </w:r>
        <w:r>
          <w:rPr>
            <w:b w:val="0"/>
            <w:bCs/>
            <w:webHidden/>
            <w:sz w:val="22"/>
            <w:szCs w:val="22"/>
          </w:rPr>
          <w:instrText xml:space="preserve"> PAGEREF _Toc225507673 \h </w:instrText>
        </w:r>
        <w:r>
          <w:rPr>
            <w:b w:val="0"/>
            <w:bCs/>
            <w:webHidden/>
            <w:sz w:val="22"/>
            <w:szCs w:val="22"/>
          </w:rPr>
        </w:r>
        <w:r>
          <w:rPr>
            <w:b w:val="0"/>
            <w:bCs/>
            <w:webHidden/>
            <w:sz w:val="22"/>
            <w:szCs w:val="22"/>
          </w:rPr>
          <w:fldChar w:fldCharType="separate"/>
        </w:r>
        <w:r w:rsidR="003E42DE">
          <w:rPr>
            <w:b w:val="0"/>
            <w:bCs/>
            <w:webHidden/>
            <w:sz w:val="22"/>
            <w:szCs w:val="22"/>
          </w:rPr>
          <w:t>8</w:t>
        </w:r>
        <w:r>
          <w:rPr>
            <w:b w:val="0"/>
            <w:bCs/>
            <w:webHidden/>
            <w:sz w:val="22"/>
            <w:szCs w:val="22"/>
          </w:rPr>
          <w:fldChar w:fldCharType="end"/>
        </w:r>
      </w:hyperlink>
    </w:p>
    <w:p w14:paraId="3940E142" w14:textId="4A05E0BD" w:rsidR="00D515E8" w:rsidRPr="00FE0011" w:rsidRDefault="00D515E8" w:rsidP="00DD7712">
      <w:pPr>
        <w:pStyle w:val="TOC2"/>
        <w:rPr>
          <w:bCs/>
          <w:kern w:val="2"/>
          <w14:ligatures w14:val="standardContextual"/>
        </w:rPr>
      </w:pPr>
      <w:hyperlink w:anchor="_Toc225507674" w:history="1">
        <w:r>
          <w:rPr>
            <w:rStyle w:val="Hyperlink"/>
            <w:bCs/>
            <w:u w:val="none"/>
          </w:rPr>
          <w:t>Write an investigator protocol</w:t>
        </w:r>
        <w:r>
          <w:rPr>
            <w:bCs/>
            <w:webHidden/>
          </w:rPr>
          <w:tab/>
        </w:r>
        <w:r>
          <w:rPr>
            <w:bCs/>
            <w:webHidden/>
          </w:rPr>
          <w:fldChar w:fldCharType="begin"/>
        </w:r>
        <w:r>
          <w:rPr>
            <w:bCs/>
            <w:webHidden/>
          </w:rPr>
          <w:instrText xml:space="preserve"> PAGEREF _Toc225507674 \h </w:instrText>
        </w:r>
        <w:r>
          <w:rPr>
            <w:bCs/>
            <w:webHidden/>
          </w:rPr>
        </w:r>
        <w:r>
          <w:rPr>
            <w:bCs/>
            <w:webHidden/>
          </w:rPr>
          <w:fldChar w:fldCharType="separate"/>
        </w:r>
        <w:r w:rsidR="003E42DE">
          <w:rPr>
            <w:bCs/>
            <w:webHidden/>
          </w:rPr>
          <w:t>8</w:t>
        </w:r>
        <w:r>
          <w:rPr>
            <w:bCs/>
            <w:webHidden/>
          </w:rPr>
          <w:fldChar w:fldCharType="end"/>
        </w:r>
      </w:hyperlink>
    </w:p>
    <w:p w14:paraId="090E84DC" w14:textId="2C62E79C" w:rsidR="00D515E8" w:rsidRPr="00FE0011" w:rsidRDefault="00D515E8" w:rsidP="00DD7712">
      <w:pPr>
        <w:pStyle w:val="TOC2"/>
        <w:rPr>
          <w:bCs/>
          <w:kern w:val="2"/>
          <w14:ligatures w14:val="standardContextual"/>
        </w:rPr>
      </w:pPr>
      <w:hyperlink w:anchor="_Toc225507675" w:history="1">
        <w:r>
          <w:rPr>
            <w:rStyle w:val="Hyperlink"/>
            <w:bCs/>
            <w:u w:val="none"/>
          </w:rPr>
          <w:t>Informed Consent and Consent Documentation</w:t>
        </w:r>
        <w:r>
          <w:rPr>
            <w:bCs/>
            <w:webHidden/>
          </w:rPr>
          <w:tab/>
        </w:r>
        <w:r>
          <w:rPr>
            <w:bCs/>
            <w:webHidden/>
          </w:rPr>
          <w:fldChar w:fldCharType="begin"/>
        </w:r>
        <w:r>
          <w:rPr>
            <w:bCs/>
            <w:webHidden/>
          </w:rPr>
          <w:instrText xml:space="preserve"> PAGEREF _Toc225507675 \h </w:instrText>
        </w:r>
        <w:r>
          <w:rPr>
            <w:bCs/>
            <w:webHidden/>
          </w:rPr>
        </w:r>
        <w:r>
          <w:rPr>
            <w:bCs/>
            <w:webHidden/>
          </w:rPr>
          <w:fldChar w:fldCharType="separate"/>
        </w:r>
        <w:r w:rsidR="003E42DE">
          <w:rPr>
            <w:bCs/>
            <w:webHidden/>
          </w:rPr>
          <w:t>9</w:t>
        </w:r>
        <w:r>
          <w:rPr>
            <w:bCs/>
            <w:webHidden/>
          </w:rPr>
          <w:fldChar w:fldCharType="end"/>
        </w:r>
      </w:hyperlink>
    </w:p>
    <w:p w14:paraId="0D0BA445" w14:textId="0E90CA58" w:rsidR="00D515E8" w:rsidRPr="00FE0011" w:rsidRDefault="00D515E8" w:rsidP="00DD7712">
      <w:pPr>
        <w:pStyle w:val="TOC3"/>
        <w:rPr>
          <w:bCs/>
          <w:kern w:val="2"/>
          <w14:ligatures w14:val="standardContextual"/>
        </w:rPr>
      </w:pPr>
      <w:hyperlink w:anchor="_Toc225507676" w:history="1">
        <w:r>
          <w:rPr>
            <w:rStyle w:val="Hyperlink"/>
            <w:bCs/>
            <w:u w:val="none"/>
          </w:rPr>
          <w:t>Obtaining Informed Consent</w:t>
        </w:r>
        <w:r>
          <w:rPr>
            <w:bCs/>
            <w:webHidden/>
          </w:rPr>
          <w:tab/>
        </w:r>
        <w:r>
          <w:rPr>
            <w:bCs/>
            <w:webHidden/>
          </w:rPr>
          <w:fldChar w:fldCharType="begin"/>
        </w:r>
        <w:r>
          <w:rPr>
            <w:bCs/>
            <w:webHidden/>
          </w:rPr>
          <w:instrText xml:space="preserve"> PAGEREF _Toc225507676 \h </w:instrText>
        </w:r>
        <w:r>
          <w:rPr>
            <w:bCs/>
            <w:webHidden/>
          </w:rPr>
        </w:r>
        <w:r>
          <w:rPr>
            <w:bCs/>
            <w:webHidden/>
          </w:rPr>
          <w:fldChar w:fldCharType="separate"/>
        </w:r>
        <w:r w:rsidR="003E42DE">
          <w:rPr>
            <w:bCs/>
            <w:webHidden/>
          </w:rPr>
          <w:t>9</w:t>
        </w:r>
        <w:r>
          <w:rPr>
            <w:bCs/>
            <w:webHidden/>
          </w:rPr>
          <w:fldChar w:fldCharType="end"/>
        </w:r>
      </w:hyperlink>
    </w:p>
    <w:p w14:paraId="12A9B553" w14:textId="563E95A1" w:rsidR="00D515E8" w:rsidRPr="00FE0011" w:rsidRDefault="00D515E8" w:rsidP="00DD7712">
      <w:pPr>
        <w:pStyle w:val="TOC3"/>
        <w:rPr>
          <w:bCs/>
          <w:kern w:val="2"/>
          <w14:ligatures w14:val="standardContextual"/>
        </w:rPr>
      </w:pPr>
      <w:hyperlink w:anchor="_Toc225507677" w:history="1">
        <w:r>
          <w:rPr>
            <w:rStyle w:val="Hyperlink"/>
            <w:bCs/>
            <w:u w:val="none"/>
          </w:rPr>
          <w:t>Assent</w:t>
        </w:r>
        <w:r>
          <w:rPr>
            <w:bCs/>
            <w:webHidden/>
          </w:rPr>
          <w:tab/>
        </w:r>
        <w:r>
          <w:rPr>
            <w:bCs/>
            <w:webHidden/>
          </w:rPr>
          <w:fldChar w:fldCharType="begin"/>
        </w:r>
        <w:r>
          <w:rPr>
            <w:bCs/>
            <w:webHidden/>
          </w:rPr>
          <w:instrText xml:space="preserve"> PAGEREF _Toc225507677 \h </w:instrText>
        </w:r>
        <w:r>
          <w:rPr>
            <w:bCs/>
            <w:webHidden/>
          </w:rPr>
        </w:r>
        <w:r>
          <w:rPr>
            <w:bCs/>
            <w:webHidden/>
          </w:rPr>
          <w:fldChar w:fldCharType="separate"/>
        </w:r>
        <w:r w:rsidR="003E42DE">
          <w:rPr>
            <w:bCs/>
            <w:webHidden/>
          </w:rPr>
          <w:t>9</w:t>
        </w:r>
        <w:r>
          <w:rPr>
            <w:bCs/>
            <w:webHidden/>
          </w:rPr>
          <w:fldChar w:fldCharType="end"/>
        </w:r>
      </w:hyperlink>
    </w:p>
    <w:p w14:paraId="139DE4DB" w14:textId="0A7A9AAF" w:rsidR="00D515E8" w:rsidRPr="00FE0011" w:rsidRDefault="00D515E8" w:rsidP="00DD7712">
      <w:pPr>
        <w:pStyle w:val="TOC3"/>
        <w:rPr>
          <w:bCs/>
          <w:kern w:val="2"/>
          <w14:ligatures w14:val="standardContextual"/>
        </w:rPr>
      </w:pPr>
      <w:hyperlink w:anchor="_Toc225507678" w:history="1">
        <w:r>
          <w:rPr>
            <w:rStyle w:val="Hyperlink"/>
            <w:bCs/>
            <w:u w:val="none"/>
          </w:rPr>
          <w:t>Documenting Consent</w:t>
        </w:r>
        <w:r>
          <w:rPr>
            <w:bCs/>
            <w:webHidden/>
          </w:rPr>
          <w:tab/>
        </w:r>
        <w:r>
          <w:rPr>
            <w:bCs/>
            <w:webHidden/>
          </w:rPr>
          <w:fldChar w:fldCharType="begin"/>
        </w:r>
        <w:r>
          <w:rPr>
            <w:bCs/>
            <w:webHidden/>
          </w:rPr>
          <w:instrText xml:space="preserve"> PAGEREF _Toc225507678 \h </w:instrText>
        </w:r>
        <w:r>
          <w:rPr>
            <w:bCs/>
            <w:webHidden/>
          </w:rPr>
        </w:r>
        <w:r>
          <w:rPr>
            <w:bCs/>
            <w:webHidden/>
          </w:rPr>
          <w:fldChar w:fldCharType="separate"/>
        </w:r>
        <w:r w:rsidR="003E42DE">
          <w:rPr>
            <w:bCs/>
            <w:webHidden/>
          </w:rPr>
          <w:t>10</w:t>
        </w:r>
        <w:r>
          <w:rPr>
            <w:bCs/>
            <w:webHidden/>
          </w:rPr>
          <w:fldChar w:fldCharType="end"/>
        </w:r>
      </w:hyperlink>
    </w:p>
    <w:p w14:paraId="2B6165C6" w14:textId="62B1EEC4" w:rsidR="00D515E8" w:rsidRPr="00FE0011" w:rsidRDefault="00D515E8" w:rsidP="00DD7712">
      <w:pPr>
        <w:pStyle w:val="TOC2"/>
        <w:rPr>
          <w:bCs/>
          <w:kern w:val="2"/>
          <w14:ligatures w14:val="standardContextual"/>
        </w:rPr>
      </w:pPr>
      <w:hyperlink w:anchor="_Toc225507679" w:history="1">
        <w:r>
          <w:rPr>
            <w:rStyle w:val="Hyperlink"/>
            <w:bCs/>
          </w:rPr>
          <w:t>Submitting New Research</w:t>
        </w:r>
        <w:r>
          <w:rPr>
            <w:bCs/>
            <w:webHidden/>
          </w:rPr>
          <w:tab/>
        </w:r>
        <w:r>
          <w:rPr>
            <w:bCs/>
            <w:webHidden/>
          </w:rPr>
          <w:fldChar w:fldCharType="begin"/>
        </w:r>
        <w:r>
          <w:rPr>
            <w:bCs/>
            <w:webHidden/>
          </w:rPr>
          <w:instrText xml:space="preserve"> PAGEREF _Toc225507679 \h </w:instrText>
        </w:r>
        <w:r>
          <w:rPr>
            <w:bCs/>
            <w:webHidden/>
          </w:rPr>
        </w:r>
        <w:r>
          <w:rPr>
            <w:bCs/>
            <w:webHidden/>
          </w:rPr>
          <w:fldChar w:fldCharType="separate"/>
        </w:r>
        <w:r w:rsidR="003E42DE">
          <w:rPr>
            <w:bCs/>
            <w:webHidden/>
          </w:rPr>
          <w:t>10</w:t>
        </w:r>
        <w:r>
          <w:rPr>
            <w:bCs/>
            <w:webHidden/>
          </w:rPr>
          <w:fldChar w:fldCharType="end"/>
        </w:r>
      </w:hyperlink>
    </w:p>
    <w:p w14:paraId="528A29F5" w14:textId="2AE8E34C" w:rsidR="00D515E8" w:rsidRPr="00FE0011" w:rsidRDefault="00D515E8" w:rsidP="00DD7712">
      <w:pPr>
        <w:pStyle w:val="TOC3"/>
        <w:rPr>
          <w:bCs/>
          <w:kern w:val="2"/>
          <w14:ligatures w14:val="standardContextual"/>
        </w:rPr>
      </w:pPr>
      <w:hyperlink w:anchor="_Toc225507680" w:history="1">
        <w:r>
          <w:rPr>
            <w:rStyle w:val="Hyperlink"/>
            <w:bCs/>
          </w:rPr>
          <w:t>Submission Instructions</w:t>
        </w:r>
        <w:r>
          <w:rPr>
            <w:bCs/>
            <w:webHidden/>
          </w:rPr>
          <w:tab/>
        </w:r>
        <w:r>
          <w:rPr>
            <w:bCs/>
            <w:webHidden/>
          </w:rPr>
          <w:fldChar w:fldCharType="begin"/>
        </w:r>
        <w:r>
          <w:rPr>
            <w:bCs/>
            <w:webHidden/>
          </w:rPr>
          <w:instrText xml:space="preserve"> PAGEREF _Toc225507680 \h </w:instrText>
        </w:r>
        <w:r>
          <w:rPr>
            <w:bCs/>
            <w:webHidden/>
          </w:rPr>
        </w:r>
        <w:r>
          <w:rPr>
            <w:bCs/>
            <w:webHidden/>
          </w:rPr>
          <w:fldChar w:fldCharType="separate"/>
        </w:r>
        <w:r w:rsidR="003E42DE">
          <w:rPr>
            <w:bCs/>
            <w:webHidden/>
          </w:rPr>
          <w:t>10</w:t>
        </w:r>
        <w:r>
          <w:rPr>
            <w:bCs/>
            <w:webHidden/>
          </w:rPr>
          <w:fldChar w:fldCharType="end"/>
        </w:r>
      </w:hyperlink>
    </w:p>
    <w:p w14:paraId="19786B5B" w14:textId="08A51A60" w:rsidR="00D515E8" w:rsidRPr="00FE0011" w:rsidRDefault="00D515E8" w:rsidP="00DD7712">
      <w:pPr>
        <w:pStyle w:val="TOC3"/>
        <w:rPr>
          <w:bCs/>
          <w:kern w:val="2"/>
          <w14:ligatures w14:val="standardContextual"/>
        </w:rPr>
      </w:pPr>
      <w:hyperlink w:anchor="_Toc225507681" w:history="1">
        <w:r>
          <w:rPr>
            <w:rStyle w:val="Hyperlink"/>
            <w:bCs/>
          </w:rPr>
          <w:t>Additional Guidance</w:t>
        </w:r>
        <w:r>
          <w:rPr>
            <w:bCs/>
            <w:webHidden/>
          </w:rPr>
          <w:tab/>
        </w:r>
        <w:r>
          <w:rPr>
            <w:bCs/>
            <w:webHidden/>
          </w:rPr>
          <w:fldChar w:fldCharType="begin"/>
        </w:r>
        <w:r>
          <w:rPr>
            <w:bCs/>
            <w:webHidden/>
          </w:rPr>
          <w:instrText xml:space="preserve"> PAGEREF _Toc225507681 \h </w:instrText>
        </w:r>
        <w:r>
          <w:rPr>
            <w:bCs/>
            <w:webHidden/>
          </w:rPr>
        </w:r>
        <w:r>
          <w:rPr>
            <w:bCs/>
            <w:webHidden/>
          </w:rPr>
          <w:fldChar w:fldCharType="separate"/>
        </w:r>
        <w:r w:rsidR="003E42DE">
          <w:rPr>
            <w:bCs/>
            <w:webHidden/>
          </w:rPr>
          <w:t>10</w:t>
        </w:r>
        <w:r>
          <w:rPr>
            <w:bCs/>
            <w:webHidden/>
          </w:rPr>
          <w:fldChar w:fldCharType="end"/>
        </w:r>
      </w:hyperlink>
    </w:p>
    <w:p w14:paraId="3BBB433F" w14:textId="0F55FBDC" w:rsidR="00D515E8" w:rsidRPr="00FE0011" w:rsidRDefault="00D515E8" w:rsidP="00DD7712">
      <w:pPr>
        <w:pStyle w:val="TOC3"/>
        <w:rPr>
          <w:bCs/>
          <w:kern w:val="2"/>
          <w14:ligatures w14:val="standardContextual"/>
        </w:rPr>
      </w:pPr>
      <w:hyperlink w:anchor="_Toc225507682" w:history="1">
        <w:r>
          <w:rPr>
            <w:rStyle w:val="Hyperlink"/>
            <w:bCs/>
          </w:rPr>
          <w:t>Departmental Approval Process</w:t>
        </w:r>
        <w:r>
          <w:rPr>
            <w:bCs/>
            <w:webHidden/>
          </w:rPr>
          <w:tab/>
        </w:r>
        <w:r>
          <w:rPr>
            <w:bCs/>
            <w:webHidden/>
          </w:rPr>
          <w:fldChar w:fldCharType="begin"/>
        </w:r>
        <w:r>
          <w:rPr>
            <w:bCs/>
            <w:webHidden/>
          </w:rPr>
          <w:instrText xml:space="preserve"> PAGEREF _Toc225507682 \h </w:instrText>
        </w:r>
        <w:r>
          <w:rPr>
            <w:bCs/>
            <w:webHidden/>
          </w:rPr>
        </w:r>
        <w:r>
          <w:rPr>
            <w:bCs/>
            <w:webHidden/>
          </w:rPr>
          <w:fldChar w:fldCharType="separate"/>
        </w:r>
        <w:r w:rsidR="003E42DE">
          <w:rPr>
            <w:bCs/>
            <w:webHidden/>
          </w:rPr>
          <w:t>11</w:t>
        </w:r>
        <w:r>
          <w:rPr>
            <w:bCs/>
            <w:webHidden/>
          </w:rPr>
          <w:fldChar w:fldCharType="end"/>
        </w:r>
      </w:hyperlink>
    </w:p>
    <w:p w14:paraId="1A0FA2C7" w14:textId="0BB56EEE" w:rsidR="00D515E8" w:rsidRPr="00FE0011" w:rsidRDefault="00D515E8" w:rsidP="00DD7712">
      <w:pPr>
        <w:pStyle w:val="TOC3"/>
        <w:rPr>
          <w:bCs/>
          <w:kern w:val="2"/>
          <w14:ligatures w14:val="standardContextual"/>
        </w:rPr>
      </w:pPr>
      <w:hyperlink w:anchor="_Toc225507683" w:history="1">
        <w:r>
          <w:rPr>
            <w:rStyle w:val="Hyperlink"/>
            <w:bCs/>
          </w:rPr>
          <w:t>Special Research Topics to Consider</w:t>
        </w:r>
        <w:r>
          <w:rPr>
            <w:bCs/>
            <w:webHidden/>
          </w:rPr>
          <w:tab/>
        </w:r>
        <w:r>
          <w:rPr>
            <w:bCs/>
            <w:webHidden/>
          </w:rPr>
          <w:fldChar w:fldCharType="begin"/>
        </w:r>
        <w:r>
          <w:rPr>
            <w:bCs/>
            <w:webHidden/>
          </w:rPr>
          <w:instrText xml:space="preserve"> PAGEREF _Toc225507683 \h </w:instrText>
        </w:r>
        <w:r>
          <w:rPr>
            <w:bCs/>
            <w:webHidden/>
          </w:rPr>
        </w:r>
        <w:r>
          <w:rPr>
            <w:bCs/>
            <w:webHidden/>
          </w:rPr>
          <w:fldChar w:fldCharType="separate"/>
        </w:r>
        <w:r w:rsidR="003E42DE">
          <w:rPr>
            <w:bCs/>
            <w:webHidden/>
          </w:rPr>
          <w:t>11</w:t>
        </w:r>
        <w:r>
          <w:rPr>
            <w:bCs/>
            <w:webHidden/>
          </w:rPr>
          <w:fldChar w:fldCharType="end"/>
        </w:r>
      </w:hyperlink>
    </w:p>
    <w:p w14:paraId="64E46C6E" w14:textId="5E2BBC04" w:rsidR="00D515E8" w:rsidRPr="00FE0011" w:rsidRDefault="00D515E8" w:rsidP="00DD7712">
      <w:pPr>
        <w:pStyle w:val="TOC2"/>
        <w:rPr>
          <w:bCs/>
          <w:kern w:val="2"/>
          <w14:ligatures w14:val="standardContextual"/>
        </w:rPr>
      </w:pPr>
      <w:hyperlink w:anchor="_Toc225507684" w:history="1">
        <w:r>
          <w:rPr>
            <w:rStyle w:val="Hyperlink"/>
            <w:bCs/>
          </w:rPr>
          <w:t>HUD, Emergency Use and Expanded Access Submissions</w:t>
        </w:r>
        <w:r>
          <w:rPr>
            <w:bCs/>
            <w:webHidden/>
          </w:rPr>
          <w:tab/>
        </w:r>
        <w:r>
          <w:rPr>
            <w:bCs/>
            <w:webHidden/>
          </w:rPr>
          <w:fldChar w:fldCharType="begin"/>
        </w:r>
        <w:r>
          <w:rPr>
            <w:bCs/>
            <w:webHidden/>
          </w:rPr>
          <w:instrText xml:space="preserve"> PAGEREF _Toc225507684 \h </w:instrText>
        </w:r>
        <w:r>
          <w:rPr>
            <w:bCs/>
            <w:webHidden/>
          </w:rPr>
        </w:r>
        <w:r>
          <w:rPr>
            <w:bCs/>
            <w:webHidden/>
          </w:rPr>
          <w:fldChar w:fldCharType="separate"/>
        </w:r>
        <w:r w:rsidR="003E42DE">
          <w:rPr>
            <w:bCs/>
            <w:webHidden/>
          </w:rPr>
          <w:t>12</w:t>
        </w:r>
        <w:r>
          <w:rPr>
            <w:bCs/>
            <w:webHidden/>
          </w:rPr>
          <w:fldChar w:fldCharType="end"/>
        </w:r>
      </w:hyperlink>
    </w:p>
    <w:p w14:paraId="2A20A462" w14:textId="6CADEC3A" w:rsidR="00D515E8" w:rsidRPr="00FE0011" w:rsidRDefault="00D515E8" w:rsidP="00DD7712">
      <w:pPr>
        <w:pStyle w:val="TOC3"/>
        <w:rPr>
          <w:bCs/>
          <w:kern w:val="2"/>
          <w14:ligatures w14:val="standardContextual"/>
        </w:rPr>
      </w:pPr>
      <w:hyperlink w:anchor="_Toc225507685" w:history="1">
        <w:r>
          <w:rPr>
            <w:rStyle w:val="Hyperlink"/>
            <w:bCs/>
          </w:rPr>
          <w:t>Emergency use of unapproved drug, biologic, or device</w:t>
        </w:r>
        <w:r>
          <w:rPr>
            <w:bCs/>
            <w:webHidden/>
          </w:rPr>
          <w:tab/>
        </w:r>
        <w:r>
          <w:rPr>
            <w:bCs/>
            <w:webHidden/>
          </w:rPr>
          <w:fldChar w:fldCharType="begin"/>
        </w:r>
        <w:r>
          <w:rPr>
            <w:bCs/>
            <w:webHidden/>
          </w:rPr>
          <w:instrText xml:space="preserve"> PAGEREF _Toc225507685 \h </w:instrText>
        </w:r>
        <w:r>
          <w:rPr>
            <w:bCs/>
            <w:webHidden/>
          </w:rPr>
        </w:r>
        <w:r>
          <w:rPr>
            <w:bCs/>
            <w:webHidden/>
          </w:rPr>
          <w:fldChar w:fldCharType="separate"/>
        </w:r>
        <w:r w:rsidR="003E42DE">
          <w:rPr>
            <w:bCs/>
            <w:webHidden/>
          </w:rPr>
          <w:t>12</w:t>
        </w:r>
        <w:r>
          <w:rPr>
            <w:bCs/>
            <w:webHidden/>
          </w:rPr>
          <w:fldChar w:fldCharType="end"/>
        </w:r>
      </w:hyperlink>
    </w:p>
    <w:p w14:paraId="414F1712" w14:textId="75CA590F" w:rsidR="00D515E8" w:rsidRPr="00FE0011" w:rsidRDefault="00D515E8" w:rsidP="00DD7712">
      <w:pPr>
        <w:pStyle w:val="TOC3"/>
        <w:rPr>
          <w:bCs/>
          <w:kern w:val="2"/>
          <w14:ligatures w14:val="standardContextual"/>
        </w:rPr>
      </w:pPr>
      <w:hyperlink w:anchor="_Toc225507686" w:history="1">
        <w:r>
          <w:rPr>
            <w:rStyle w:val="Hyperlink"/>
            <w:bCs/>
          </w:rPr>
          <w:t>Expanded access request for an unapproved drug, biologic, or device</w:t>
        </w:r>
        <w:r>
          <w:rPr>
            <w:bCs/>
            <w:webHidden/>
          </w:rPr>
          <w:tab/>
        </w:r>
        <w:r>
          <w:rPr>
            <w:bCs/>
            <w:webHidden/>
          </w:rPr>
          <w:fldChar w:fldCharType="begin"/>
        </w:r>
        <w:r>
          <w:rPr>
            <w:bCs/>
            <w:webHidden/>
          </w:rPr>
          <w:instrText xml:space="preserve"> PAGEREF _Toc225507686 \h </w:instrText>
        </w:r>
        <w:r>
          <w:rPr>
            <w:bCs/>
            <w:webHidden/>
          </w:rPr>
        </w:r>
        <w:r>
          <w:rPr>
            <w:bCs/>
            <w:webHidden/>
          </w:rPr>
          <w:fldChar w:fldCharType="separate"/>
        </w:r>
        <w:r w:rsidR="003E42DE">
          <w:rPr>
            <w:bCs/>
            <w:webHidden/>
          </w:rPr>
          <w:t>14</w:t>
        </w:r>
        <w:r>
          <w:rPr>
            <w:bCs/>
            <w:webHidden/>
          </w:rPr>
          <w:fldChar w:fldCharType="end"/>
        </w:r>
      </w:hyperlink>
    </w:p>
    <w:p w14:paraId="1234F4B8" w14:textId="78540B36" w:rsidR="00D515E8" w:rsidRPr="00FE0011" w:rsidRDefault="00D515E8" w:rsidP="00DD7712">
      <w:pPr>
        <w:pStyle w:val="TOC2"/>
        <w:rPr>
          <w:bCs/>
          <w:kern w:val="2"/>
          <w14:ligatures w14:val="standardContextual"/>
        </w:rPr>
      </w:pPr>
      <w:hyperlink w:anchor="_Toc225507687" w:history="1">
        <w:r>
          <w:rPr>
            <w:rStyle w:val="Hyperlink"/>
            <w:bCs/>
          </w:rPr>
          <w:t>Ongoing Research Considerations</w:t>
        </w:r>
        <w:r>
          <w:rPr>
            <w:bCs/>
            <w:webHidden/>
          </w:rPr>
          <w:tab/>
        </w:r>
        <w:r>
          <w:rPr>
            <w:bCs/>
            <w:webHidden/>
          </w:rPr>
          <w:fldChar w:fldCharType="begin"/>
        </w:r>
        <w:r>
          <w:rPr>
            <w:bCs/>
            <w:webHidden/>
          </w:rPr>
          <w:instrText xml:space="preserve"> PAGEREF _Toc225507687 \h </w:instrText>
        </w:r>
        <w:r>
          <w:rPr>
            <w:bCs/>
            <w:webHidden/>
          </w:rPr>
        </w:r>
        <w:r>
          <w:rPr>
            <w:bCs/>
            <w:webHidden/>
          </w:rPr>
          <w:fldChar w:fldCharType="separate"/>
        </w:r>
        <w:r w:rsidR="003E42DE">
          <w:rPr>
            <w:bCs/>
            <w:webHidden/>
          </w:rPr>
          <w:t>16</w:t>
        </w:r>
        <w:r>
          <w:rPr>
            <w:bCs/>
            <w:webHidden/>
          </w:rPr>
          <w:fldChar w:fldCharType="end"/>
        </w:r>
      </w:hyperlink>
    </w:p>
    <w:p w14:paraId="149CEEE5" w14:textId="4A95737D" w:rsidR="00D515E8" w:rsidRPr="00FE0011" w:rsidRDefault="00D515E8" w:rsidP="00DD7712">
      <w:pPr>
        <w:pStyle w:val="TOC3"/>
        <w:rPr>
          <w:bCs/>
          <w:kern w:val="2"/>
          <w14:ligatures w14:val="standardContextual"/>
        </w:rPr>
      </w:pPr>
      <w:hyperlink w:anchor="_Toc225507688" w:history="1">
        <w:r>
          <w:rPr>
            <w:rStyle w:val="Hyperlink"/>
            <w:bCs/>
          </w:rPr>
          <w:t>Recruitment</w:t>
        </w:r>
        <w:r>
          <w:rPr>
            <w:bCs/>
            <w:webHidden/>
          </w:rPr>
          <w:tab/>
        </w:r>
        <w:r>
          <w:rPr>
            <w:bCs/>
            <w:webHidden/>
          </w:rPr>
          <w:fldChar w:fldCharType="begin"/>
        </w:r>
        <w:r>
          <w:rPr>
            <w:bCs/>
            <w:webHidden/>
          </w:rPr>
          <w:instrText xml:space="preserve"> PAGEREF _Toc225507688 \h </w:instrText>
        </w:r>
        <w:r>
          <w:rPr>
            <w:bCs/>
            <w:webHidden/>
          </w:rPr>
        </w:r>
        <w:r>
          <w:rPr>
            <w:bCs/>
            <w:webHidden/>
          </w:rPr>
          <w:fldChar w:fldCharType="separate"/>
        </w:r>
        <w:r w:rsidR="003E42DE">
          <w:rPr>
            <w:bCs/>
            <w:webHidden/>
          </w:rPr>
          <w:t>16</w:t>
        </w:r>
        <w:r>
          <w:rPr>
            <w:bCs/>
            <w:webHidden/>
          </w:rPr>
          <w:fldChar w:fldCharType="end"/>
        </w:r>
      </w:hyperlink>
    </w:p>
    <w:p w14:paraId="63857592" w14:textId="596FE376" w:rsidR="00D515E8" w:rsidRPr="00FE0011" w:rsidRDefault="00D515E8" w:rsidP="00DD7712">
      <w:pPr>
        <w:pStyle w:val="TOC3"/>
        <w:rPr>
          <w:bCs/>
          <w:kern w:val="2"/>
          <w14:ligatures w14:val="standardContextual"/>
        </w:rPr>
      </w:pPr>
      <w:hyperlink w:anchor="_Toc225507689" w:history="1">
        <w:r>
          <w:rPr>
            <w:rStyle w:val="Hyperlink"/>
            <w:bCs/>
          </w:rPr>
          <w:t>Screening and Eligibility</w:t>
        </w:r>
        <w:r>
          <w:rPr>
            <w:bCs/>
            <w:webHidden/>
          </w:rPr>
          <w:tab/>
        </w:r>
        <w:r>
          <w:rPr>
            <w:bCs/>
            <w:webHidden/>
          </w:rPr>
          <w:fldChar w:fldCharType="begin"/>
        </w:r>
        <w:r>
          <w:rPr>
            <w:bCs/>
            <w:webHidden/>
          </w:rPr>
          <w:instrText xml:space="preserve"> PAGEREF _Toc225507689 \h </w:instrText>
        </w:r>
        <w:r>
          <w:rPr>
            <w:bCs/>
            <w:webHidden/>
          </w:rPr>
        </w:r>
        <w:r>
          <w:rPr>
            <w:bCs/>
            <w:webHidden/>
          </w:rPr>
          <w:fldChar w:fldCharType="separate"/>
        </w:r>
        <w:r w:rsidR="003E42DE">
          <w:rPr>
            <w:bCs/>
            <w:webHidden/>
          </w:rPr>
          <w:t>16</w:t>
        </w:r>
        <w:r>
          <w:rPr>
            <w:bCs/>
            <w:webHidden/>
          </w:rPr>
          <w:fldChar w:fldCharType="end"/>
        </w:r>
      </w:hyperlink>
    </w:p>
    <w:p w14:paraId="11FC4C97" w14:textId="30AB543A" w:rsidR="00D515E8" w:rsidRPr="00FE0011" w:rsidRDefault="00D515E8" w:rsidP="00DD7712">
      <w:pPr>
        <w:pStyle w:val="TOC3"/>
        <w:rPr>
          <w:bCs/>
          <w:kern w:val="2"/>
          <w14:ligatures w14:val="standardContextual"/>
        </w:rPr>
      </w:pPr>
      <w:hyperlink w:anchor="_Toc225507690" w:history="1">
        <w:r>
          <w:rPr>
            <w:rStyle w:val="Hyperlink"/>
            <w:bCs/>
          </w:rPr>
          <w:t>Privacy and Confidentiality</w:t>
        </w:r>
        <w:r>
          <w:rPr>
            <w:bCs/>
            <w:webHidden/>
          </w:rPr>
          <w:tab/>
        </w:r>
        <w:r>
          <w:rPr>
            <w:bCs/>
            <w:webHidden/>
          </w:rPr>
          <w:fldChar w:fldCharType="begin"/>
        </w:r>
        <w:r>
          <w:rPr>
            <w:bCs/>
            <w:webHidden/>
          </w:rPr>
          <w:instrText xml:space="preserve"> PAGEREF _Toc225507690 \h </w:instrText>
        </w:r>
        <w:r>
          <w:rPr>
            <w:bCs/>
            <w:webHidden/>
          </w:rPr>
        </w:r>
        <w:r>
          <w:rPr>
            <w:bCs/>
            <w:webHidden/>
          </w:rPr>
          <w:fldChar w:fldCharType="separate"/>
        </w:r>
        <w:r w:rsidR="003E42DE">
          <w:rPr>
            <w:bCs/>
            <w:webHidden/>
          </w:rPr>
          <w:t>16</w:t>
        </w:r>
        <w:r>
          <w:rPr>
            <w:bCs/>
            <w:webHidden/>
          </w:rPr>
          <w:fldChar w:fldCharType="end"/>
        </w:r>
      </w:hyperlink>
    </w:p>
    <w:p w14:paraId="1712FB93" w14:textId="7FA9A49F" w:rsidR="00D515E8" w:rsidRPr="00FE0011" w:rsidRDefault="00D515E8" w:rsidP="000D00DC">
      <w:pPr>
        <w:pStyle w:val="TOC1"/>
        <w:rPr>
          <w:kern w:val="2"/>
          <w:sz w:val="22"/>
          <w:szCs w:val="22"/>
          <w14:ligatures w14:val="standardContextual"/>
        </w:rPr>
      </w:pPr>
      <w:hyperlink w:anchor="_Toc225507691" w:history="1">
        <w:r>
          <w:rPr>
            <w:rStyle w:val="Hyperlink"/>
            <w:b w:val="0"/>
            <w:bCs/>
            <w:sz w:val="22"/>
            <w:szCs w:val="22"/>
          </w:rPr>
          <w:t>Review and Approval Processes</w:t>
        </w:r>
        <w:r>
          <w:rPr>
            <w:webHidden/>
            <w:sz w:val="22"/>
            <w:szCs w:val="22"/>
          </w:rPr>
          <w:tab/>
        </w:r>
        <w:r>
          <w:rPr>
            <w:b w:val="0"/>
            <w:bCs/>
            <w:webHidden/>
            <w:sz w:val="22"/>
            <w:szCs w:val="22"/>
          </w:rPr>
          <w:fldChar w:fldCharType="begin"/>
        </w:r>
        <w:r>
          <w:rPr>
            <w:b w:val="0"/>
            <w:bCs/>
            <w:webHidden/>
            <w:sz w:val="22"/>
            <w:szCs w:val="22"/>
          </w:rPr>
          <w:instrText xml:space="preserve"> PAGEREF _Toc225507691 \h </w:instrText>
        </w:r>
        <w:r>
          <w:rPr>
            <w:b w:val="0"/>
            <w:bCs/>
            <w:webHidden/>
            <w:sz w:val="22"/>
            <w:szCs w:val="22"/>
          </w:rPr>
        </w:r>
        <w:r>
          <w:rPr>
            <w:b w:val="0"/>
            <w:bCs/>
            <w:webHidden/>
            <w:sz w:val="22"/>
            <w:szCs w:val="22"/>
          </w:rPr>
          <w:fldChar w:fldCharType="separate"/>
        </w:r>
        <w:r w:rsidR="003E42DE">
          <w:rPr>
            <w:b w:val="0"/>
            <w:bCs/>
            <w:webHidden/>
            <w:sz w:val="22"/>
            <w:szCs w:val="22"/>
          </w:rPr>
          <w:t>17</w:t>
        </w:r>
        <w:r>
          <w:rPr>
            <w:b w:val="0"/>
            <w:bCs/>
            <w:webHidden/>
            <w:sz w:val="22"/>
            <w:szCs w:val="22"/>
          </w:rPr>
          <w:fldChar w:fldCharType="end"/>
        </w:r>
      </w:hyperlink>
    </w:p>
    <w:p w14:paraId="4E49EB27" w14:textId="43DFAF46" w:rsidR="00D515E8" w:rsidRPr="00FE0011" w:rsidRDefault="00D515E8" w:rsidP="00DD7712">
      <w:pPr>
        <w:pStyle w:val="TOC2"/>
        <w:rPr>
          <w:bCs/>
          <w:kern w:val="2"/>
          <w14:ligatures w14:val="standardContextual"/>
        </w:rPr>
      </w:pPr>
      <w:hyperlink w:anchor="_Toc225507692" w:history="1">
        <w:r>
          <w:rPr>
            <w:rStyle w:val="Hyperlink"/>
            <w:bCs/>
          </w:rPr>
          <w:t>Regulatory Classifications of Research Activities</w:t>
        </w:r>
        <w:r>
          <w:rPr>
            <w:bCs/>
            <w:webHidden/>
          </w:rPr>
          <w:tab/>
        </w:r>
        <w:r>
          <w:rPr>
            <w:bCs/>
            <w:webHidden/>
          </w:rPr>
          <w:fldChar w:fldCharType="begin"/>
        </w:r>
        <w:r>
          <w:rPr>
            <w:bCs/>
            <w:webHidden/>
          </w:rPr>
          <w:instrText xml:space="preserve"> PAGEREF _Toc225507692 \h </w:instrText>
        </w:r>
        <w:r>
          <w:rPr>
            <w:bCs/>
            <w:webHidden/>
          </w:rPr>
        </w:r>
        <w:r>
          <w:rPr>
            <w:bCs/>
            <w:webHidden/>
          </w:rPr>
          <w:fldChar w:fldCharType="separate"/>
        </w:r>
        <w:r w:rsidR="003E42DE">
          <w:rPr>
            <w:bCs/>
            <w:webHidden/>
          </w:rPr>
          <w:t>17</w:t>
        </w:r>
        <w:r>
          <w:rPr>
            <w:bCs/>
            <w:webHidden/>
          </w:rPr>
          <w:fldChar w:fldCharType="end"/>
        </w:r>
      </w:hyperlink>
    </w:p>
    <w:p w14:paraId="04CF0C37" w14:textId="6B46341B" w:rsidR="00D515E8" w:rsidRPr="00FE0011" w:rsidRDefault="00D515E8" w:rsidP="00DD7712">
      <w:pPr>
        <w:pStyle w:val="TOC2"/>
        <w:rPr>
          <w:bCs/>
          <w:kern w:val="2"/>
          <w14:ligatures w14:val="standardContextual"/>
        </w:rPr>
      </w:pPr>
      <w:hyperlink w:anchor="_Toc225507693" w:history="1">
        <w:r>
          <w:rPr>
            <w:rStyle w:val="Hyperlink"/>
            <w:bCs/>
          </w:rPr>
          <w:t>IRB Decisions</w:t>
        </w:r>
        <w:r>
          <w:rPr>
            <w:bCs/>
            <w:webHidden/>
          </w:rPr>
          <w:tab/>
        </w:r>
        <w:r>
          <w:rPr>
            <w:bCs/>
            <w:webHidden/>
          </w:rPr>
          <w:fldChar w:fldCharType="begin"/>
        </w:r>
        <w:r>
          <w:rPr>
            <w:bCs/>
            <w:webHidden/>
          </w:rPr>
          <w:instrText xml:space="preserve"> PAGEREF _Toc225507693 \h </w:instrText>
        </w:r>
        <w:r>
          <w:rPr>
            <w:bCs/>
            <w:webHidden/>
          </w:rPr>
        </w:r>
        <w:r>
          <w:rPr>
            <w:bCs/>
            <w:webHidden/>
          </w:rPr>
          <w:fldChar w:fldCharType="separate"/>
        </w:r>
        <w:r w:rsidR="003E42DE">
          <w:rPr>
            <w:bCs/>
            <w:webHidden/>
          </w:rPr>
          <w:t>17</w:t>
        </w:r>
        <w:r>
          <w:rPr>
            <w:bCs/>
            <w:webHidden/>
          </w:rPr>
          <w:fldChar w:fldCharType="end"/>
        </w:r>
      </w:hyperlink>
    </w:p>
    <w:p w14:paraId="161453AE" w14:textId="4DE36A61" w:rsidR="00D515E8" w:rsidRPr="00FE0011" w:rsidRDefault="00D515E8" w:rsidP="00DD7712">
      <w:pPr>
        <w:pStyle w:val="TOC2"/>
        <w:rPr>
          <w:bCs/>
          <w:kern w:val="2"/>
          <w14:ligatures w14:val="standardContextual"/>
        </w:rPr>
      </w:pPr>
      <w:hyperlink w:anchor="_Toc225507694" w:history="1">
        <w:r>
          <w:rPr>
            <w:rStyle w:val="Hyperlink"/>
            <w:bCs/>
          </w:rPr>
          <w:t>Criteria for IRB Approval of Research</w:t>
        </w:r>
        <w:r>
          <w:rPr>
            <w:bCs/>
            <w:webHidden/>
          </w:rPr>
          <w:tab/>
        </w:r>
        <w:r>
          <w:rPr>
            <w:bCs/>
            <w:webHidden/>
          </w:rPr>
          <w:fldChar w:fldCharType="begin"/>
        </w:r>
        <w:r>
          <w:rPr>
            <w:bCs/>
            <w:webHidden/>
          </w:rPr>
          <w:instrText xml:space="preserve"> PAGEREF _Toc225507694 \h </w:instrText>
        </w:r>
        <w:r>
          <w:rPr>
            <w:bCs/>
            <w:webHidden/>
          </w:rPr>
        </w:r>
        <w:r>
          <w:rPr>
            <w:bCs/>
            <w:webHidden/>
          </w:rPr>
          <w:fldChar w:fldCharType="separate"/>
        </w:r>
        <w:r w:rsidR="003E42DE">
          <w:rPr>
            <w:bCs/>
            <w:webHidden/>
          </w:rPr>
          <w:t>18</w:t>
        </w:r>
        <w:r>
          <w:rPr>
            <w:bCs/>
            <w:webHidden/>
          </w:rPr>
          <w:fldChar w:fldCharType="end"/>
        </w:r>
      </w:hyperlink>
    </w:p>
    <w:p w14:paraId="24DAE872" w14:textId="2579D97A" w:rsidR="00D515E8" w:rsidRPr="00FE0011" w:rsidRDefault="00D515E8" w:rsidP="00DD7712">
      <w:pPr>
        <w:pStyle w:val="TOC2"/>
        <w:rPr>
          <w:bCs/>
          <w:kern w:val="2"/>
          <w14:ligatures w14:val="standardContextual"/>
        </w:rPr>
      </w:pPr>
      <w:hyperlink w:anchor="_Toc225507695" w:history="1">
        <w:r>
          <w:rPr>
            <w:rStyle w:val="Hyperlink"/>
            <w:bCs/>
          </w:rPr>
          <w:t>IRB Policies</w:t>
        </w:r>
        <w:r>
          <w:rPr>
            <w:bCs/>
            <w:webHidden/>
          </w:rPr>
          <w:tab/>
        </w:r>
        <w:r>
          <w:rPr>
            <w:bCs/>
            <w:webHidden/>
          </w:rPr>
          <w:fldChar w:fldCharType="begin"/>
        </w:r>
        <w:r>
          <w:rPr>
            <w:bCs/>
            <w:webHidden/>
          </w:rPr>
          <w:instrText xml:space="preserve"> PAGEREF _Toc225507695 \h </w:instrText>
        </w:r>
        <w:r>
          <w:rPr>
            <w:bCs/>
            <w:webHidden/>
          </w:rPr>
        </w:r>
        <w:r>
          <w:rPr>
            <w:bCs/>
            <w:webHidden/>
          </w:rPr>
          <w:fldChar w:fldCharType="separate"/>
        </w:r>
        <w:r w:rsidR="003E42DE">
          <w:rPr>
            <w:bCs/>
            <w:webHidden/>
          </w:rPr>
          <w:t>18</w:t>
        </w:r>
        <w:r>
          <w:rPr>
            <w:bCs/>
            <w:webHidden/>
          </w:rPr>
          <w:fldChar w:fldCharType="end"/>
        </w:r>
      </w:hyperlink>
    </w:p>
    <w:p w14:paraId="7D1413A9" w14:textId="5AA85016" w:rsidR="00D515E8" w:rsidRPr="00FE0011" w:rsidRDefault="00D515E8" w:rsidP="000D00DC">
      <w:pPr>
        <w:pStyle w:val="TOC1"/>
        <w:rPr>
          <w:kern w:val="2"/>
          <w:sz w:val="22"/>
          <w:szCs w:val="22"/>
          <w14:ligatures w14:val="standardContextual"/>
        </w:rPr>
      </w:pPr>
      <w:hyperlink w:anchor="_Toc225507696" w:history="1">
        <w:r>
          <w:rPr>
            <w:rStyle w:val="Hyperlink"/>
            <w:b w:val="0"/>
            <w:bCs/>
            <w:sz w:val="22"/>
            <w:szCs w:val="22"/>
          </w:rPr>
          <w:t>Post-IRB Review Activities</w:t>
        </w:r>
        <w:r>
          <w:rPr>
            <w:webHidden/>
            <w:sz w:val="22"/>
            <w:szCs w:val="22"/>
          </w:rPr>
          <w:tab/>
        </w:r>
        <w:r>
          <w:rPr>
            <w:b w:val="0"/>
            <w:bCs/>
            <w:webHidden/>
            <w:sz w:val="22"/>
            <w:szCs w:val="22"/>
          </w:rPr>
          <w:fldChar w:fldCharType="begin"/>
        </w:r>
        <w:r>
          <w:rPr>
            <w:b w:val="0"/>
            <w:bCs/>
            <w:webHidden/>
            <w:sz w:val="22"/>
            <w:szCs w:val="22"/>
          </w:rPr>
          <w:instrText xml:space="preserve"> PAGEREF _Toc225507696 \h </w:instrText>
        </w:r>
        <w:r>
          <w:rPr>
            <w:b w:val="0"/>
            <w:bCs/>
            <w:webHidden/>
            <w:sz w:val="22"/>
            <w:szCs w:val="22"/>
          </w:rPr>
        </w:r>
        <w:r>
          <w:rPr>
            <w:b w:val="0"/>
            <w:bCs/>
            <w:webHidden/>
            <w:sz w:val="22"/>
            <w:szCs w:val="22"/>
          </w:rPr>
          <w:fldChar w:fldCharType="separate"/>
        </w:r>
        <w:r w:rsidR="003E42DE">
          <w:rPr>
            <w:b w:val="0"/>
            <w:bCs/>
            <w:webHidden/>
            <w:sz w:val="22"/>
            <w:szCs w:val="22"/>
          </w:rPr>
          <w:t>18</w:t>
        </w:r>
        <w:r>
          <w:rPr>
            <w:b w:val="0"/>
            <w:bCs/>
            <w:webHidden/>
            <w:sz w:val="22"/>
            <w:szCs w:val="22"/>
          </w:rPr>
          <w:fldChar w:fldCharType="end"/>
        </w:r>
      </w:hyperlink>
    </w:p>
    <w:p w14:paraId="064327B8" w14:textId="78B3278B" w:rsidR="00D515E8" w:rsidRPr="00FE0011" w:rsidRDefault="00D515E8" w:rsidP="00DD7712">
      <w:pPr>
        <w:pStyle w:val="TOC2"/>
        <w:rPr>
          <w:bCs/>
          <w:kern w:val="2"/>
          <w14:ligatures w14:val="standardContextual"/>
        </w:rPr>
      </w:pPr>
      <w:hyperlink w:anchor="_Toc225507697" w:history="1">
        <w:r>
          <w:rPr>
            <w:rStyle w:val="Hyperlink"/>
            <w:bCs/>
          </w:rPr>
          <w:t>Investigator Obligations after IRB Approval</w:t>
        </w:r>
        <w:r>
          <w:rPr>
            <w:bCs/>
            <w:webHidden/>
          </w:rPr>
          <w:tab/>
        </w:r>
        <w:r>
          <w:rPr>
            <w:bCs/>
            <w:webHidden/>
          </w:rPr>
          <w:fldChar w:fldCharType="begin"/>
        </w:r>
        <w:r>
          <w:rPr>
            <w:bCs/>
            <w:webHidden/>
          </w:rPr>
          <w:instrText xml:space="preserve"> PAGEREF _Toc225507697 \h </w:instrText>
        </w:r>
        <w:r>
          <w:rPr>
            <w:bCs/>
            <w:webHidden/>
          </w:rPr>
        </w:r>
        <w:r>
          <w:rPr>
            <w:bCs/>
            <w:webHidden/>
          </w:rPr>
          <w:fldChar w:fldCharType="separate"/>
        </w:r>
        <w:r w:rsidR="003E42DE">
          <w:rPr>
            <w:bCs/>
            <w:webHidden/>
          </w:rPr>
          <w:t>19</w:t>
        </w:r>
        <w:r>
          <w:rPr>
            <w:bCs/>
            <w:webHidden/>
          </w:rPr>
          <w:fldChar w:fldCharType="end"/>
        </w:r>
      </w:hyperlink>
    </w:p>
    <w:p w14:paraId="595771EB" w14:textId="1F13341E" w:rsidR="00D515E8" w:rsidRPr="00FE0011" w:rsidRDefault="00D515E8" w:rsidP="000D00DC">
      <w:pPr>
        <w:pStyle w:val="TOC1"/>
        <w:rPr>
          <w:kern w:val="2"/>
          <w:sz w:val="22"/>
          <w:szCs w:val="22"/>
          <w14:ligatures w14:val="standardContextual"/>
        </w:rPr>
      </w:pPr>
      <w:hyperlink w:anchor="_Toc225507698" w:history="1">
        <w:r>
          <w:rPr>
            <w:rStyle w:val="Hyperlink"/>
            <w:b w:val="0"/>
            <w:bCs/>
            <w:sz w:val="22"/>
            <w:szCs w:val="22"/>
          </w:rPr>
          <w:t>Submissions After Initial Approval</w:t>
        </w:r>
        <w:r>
          <w:rPr>
            <w:webHidden/>
            <w:sz w:val="22"/>
            <w:szCs w:val="22"/>
          </w:rPr>
          <w:tab/>
        </w:r>
        <w:r>
          <w:rPr>
            <w:b w:val="0"/>
            <w:bCs/>
            <w:webHidden/>
            <w:sz w:val="22"/>
            <w:szCs w:val="22"/>
          </w:rPr>
          <w:fldChar w:fldCharType="begin"/>
        </w:r>
        <w:r>
          <w:rPr>
            <w:b w:val="0"/>
            <w:bCs/>
            <w:webHidden/>
            <w:sz w:val="22"/>
            <w:szCs w:val="22"/>
          </w:rPr>
          <w:instrText xml:space="preserve"> PAGEREF _Toc225507698 \h </w:instrText>
        </w:r>
        <w:r>
          <w:rPr>
            <w:b w:val="0"/>
            <w:bCs/>
            <w:webHidden/>
            <w:sz w:val="22"/>
            <w:szCs w:val="22"/>
          </w:rPr>
        </w:r>
        <w:r>
          <w:rPr>
            <w:b w:val="0"/>
            <w:bCs/>
            <w:webHidden/>
            <w:sz w:val="22"/>
            <w:szCs w:val="22"/>
          </w:rPr>
          <w:fldChar w:fldCharType="separate"/>
        </w:r>
        <w:r w:rsidR="003E42DE">
          <w:rPr>
            <w:b w:val="0"/>
            <w:bCs/>
            <w:webHidden/>
            <w:sz w:val="22"/>
            <w:szCs w:val="22"/>
          </w:rPr>
          <w:t>20</w:t>
        </w:r>
        <w:r>
          <w:rPr>
            <w:b w:val="0"/>
            <w:bCs/>
            <w:webHidden/>
            <w:sz w:val="22"/>
            <w:szCs w:val="22"/>
          </w:rPr>
          <w:fldChar w:fldCharType="end"/>
        </w:r>
      </w:hyperlink>
    </w:p>
    <w:p w14:paraId="0ABA276E" w14:textId="62151ACE" w:rsidR="00D515E8" w:rsidRPr="00FE0011" w:rsidRDefault="00D515E8" w:rsidP="00DD7712">
      <w:pPr>
        <w:pStyle w:val="TOC2"/>
        <w:rPr>
          <w:bCs/>
          <w:kern w:val="2"/>
          <w14:ligatures w14:val="standardContextual"/>
        </w:rPr>
      </w:pPr>
      <w:hyperlink w:anchor="_Toc225507699" w:history="1">
        <w:r>
          <w:rPr>
            <w:rStyle w:val="Hyperlink"/>
            <w:bCs/>
          </w:rPr>
          <w:t>Submit a Modification</w:t>
        </w:r>
        <w:r>
          <w:rPr>
            <w:bCs/>
            <w:webHidden/>
          </w:rPr>
          <w:tab/>
        </w:r>
        <w:r>
          <w:rPr>
            <w:bCs/>
            <w:webHidden/>
          </w:rPr>
          <w:fldChar w:fldCharType="begin"/>
        </w:r>
        <w:r>
          <w:rPr>
            <w:bCs/>
            <w:webHidden/>
          </w:rPr>
          <w:instrText xml:space="preserve"> PAGEREF _Toc225507699 \h </w:instrText>
        </w:r>
        <w:r>
          <w:rPr>
            <w:bCs/>
            <w:webHidden/>
          </w:rPr>
        </w:r>
        <w:r>
          <w:rPr>
            <w:bCs/>
            <w:webHidden/>
          </w:rPr>
          <w:fldChar w:fldCharType="separate"/>
        </w:r>
        <w:r w:rsidR="003E42DE">
          <w:rPr>
            <w:bCs/>
            <w:webHidden/>
          </w:rPr>
          <w:t>20</w:t>
        </w:r>
        <w:r>
          <w:rPr>
            <w:bCs/>
            <w:webHidden/>
          </w:rPr>
          <w:fldChar w:fldCharType="end"/>
        </w:r>
      </w:hyperlink>
    </w:p>
    <w:p w14:paraId="22875F62" w14:textId="7812B2DD" w:rsidR="00D515E8" w:rsidRPr="00FE0011" w:rsidRDefault="00D515E8" w:rsidP="00DD7712">
      <w:pPr>
        <w:pStyle w:val="TOC2"/>
        <w:rPr>
          <w:bCs/>
          <w:kern w:val="2"/>
          <w14:ligatures w14:val="standardContextual"/>
        </w:rPr>
      </w:pPr>
      <w:hyperlink w:anchor="_Toc225507700" w:history="1">
        <w:r>
          <w:rPr>
            <w:rStyle w:val="Hyperlink"/>
            <w:bCs/>
          </w:rPr>
          <w:t>How to Transfer Responsibility to a New Principal Investigator</w:t>
        </w:r>
        <w:r>
          <w:rPr>
            <w:bCs/>
            <w:webHidden/>
          </w:rPr>
          <w:tab/>
        </w:r>
        <w:r>
          <w:rPr>
            <w:bCs/>
            <w:webHidden/>
          </w:rPr>
          <w:fldChar w:fldCharType="begin"/>
        </w:r>
        <w:r>
          <w:rPr>
            <w:bCs/>
            <w:webHidden/>
          </w:rPr>
          <w:instrText xml:space="preserve"> PAGEREF _Toc225507700 \h </w:instrText>
        </w:r>
        <w:r>
          <w:rPr>
            <w:bCs/>
            <w:webHidden/>
          </w:rPr>
        </w:r>
        <w:r>
          <w:rPr>
            <w:bCs/>
            <w:webHidden/>
          </w:rPr>
          <w:fldChar w:fldCharType="separate"/>
        </w:r>
        <w:r w:rsidR="003E42DE">
          <w:rPr>
            <w:bCs/>
            <w:webHidden/>
          </w:rPr>
          <w:t>21</w:t>
        </w:r>
        <w:r>
          <w:rPr>
            <w:bCs/>
            <w:webHidden/>
          </w:rPr>
          <w:fldChar w:fldCharType="end"/>
        </w:r>
      </w:hyperlink>
    </w:p>
    <w:p w14:paraId="3E6303D3" w14:textId="35D0D0B5" w:rsidR="00D515E8" w:rsidRPr="00FE0011" w:rsidRDefault="00D515E8" w:rsidP="00DD7712">
      <w:pPr>
        <w:pStyle w:val="TOC2"/>
        <w:rPr>
          <w:bCs/>
          <w:kern w:val="2"/>
          <w14:ligatures w14:val="standardContextual"/>
        </w:rPr>
      </w:pPr>
      <w:hyperlink w:anchor="_Toc225507701" w:history="1">
        <w:r>
          <w:rPr>
            <w:rStyle w:val="Hyperlink"/>
            <w:bCs/>
          </w:rPr>
          <w:t>Submit a Continuing Review</w:t>
        </w:r>
        <w:r>
          <w:rPr>
            <w:bCs/>
            <w:webHidden/>
          </w:rPr>
          <w:tab/>
        </w:r>
        <w:r>
          <w:rPr>
            <w:bCs/>
            <w:webHidden/>
          </w:rPr>
          <w:fldChar w:fldCharType="begin"/>
        </w:r>
        <w:r>
          <w:rPr>
            <w:bCs/>
            <w:webHidden/>
          </w:rPr>
          <w:instrText xml:space="preserve"> PAGEREF _Toc225507701 \h </w:instrText>
        </w:r>
        <w:r>
          <w:rPr>
            <w:bCs/>
            <w:webHidden/>
          </w:rPr>
        </w:r>
        <w:r>
          <w:rPr>
            <w:bCs/>
            <w:webHidden/>
          </w:rPr>
          <w:fldChar w:fldCharType="separate"/>
        </w:r>
        <w:r w:rsidR="003E42DE">
          <w:rPr>
            <w:bCs/>
            <w:webHidden/>
          </w:rPr>
          <w:t>21</w:t>
        </w:r>
        <w:r>
          <w:rPr>
            <w:bCs/>
            <w:webHidden/>
          </w:rPr>
          <w:fldChar w:fldCharType="end"/>
        </w:r>
      </w:hyperlink>
    </w:p>
    <w:p w14:paraId="77968B98" w14:textId="7FC9A74D" w:rsidR="00D515E8" w:rsidRPr="00FE0011" w:rsidRDefault="00D515E8" w:rsidP="00DD7712">
      <w:pPr>
        <w:pStyle w:val="TOC2"/>
        <w:rPr>
          <w:bCs/>
          <w:kern w:val="2"/>
          <w14:ligatures w14:val="standardContextual"/>
        </w:rPr>
      </w:pPr>
      <w:hyperlink w:anchor="_Toc225507702" w:history="1">
        <w:r>
          <w:rPr>
            <w:rStyle w:val="Hyperlink"/>
            <w:bCs/>
          </w:rPr>
          <w:t>Submitting Reportable New Information</w:t>
        </w:r>
        <w:r>
          <w:rPr>
            <w:bCs/>
            <w:webHidden/>
          </w:rPr>
          <w:tab/>
        </w:r>
        <w:r>
          <w:rPr>
            <w:bCs/>
            <w:webHidden/>
          </w:rPr>
          <w:fldChar w:fldCharType="begin"/>
        </w:r>
        <w:r>
          <w:rPr>
            <w:bCs/>
            <w:webHidden/>
          </w:rPr>
          <w:instrText xml:space="preserve"> PAGEREF _Toc225507702 \h </w:instrText>
        </w:r>
        <w:r>
          <w:rPr>
            <w:bCs/>
            <w:webHidden/>
          </w:rPr>
        </w:r>
        <w:r>
          <w:rPr>
            <w:bCs/>
            <w:webHidden/>
          </w:rPr>
          <w:fldChar w:fldCharType="separate"/>
        </w:r>
        <w:r w:rsidR="003E42DE">
          <w:rPr>
            <w:bCs/>
            <w:webHidden/>
          </w:rPr>
          <w:t>22</w:t>
        </w:r>
        <w:r>
          <w:rPr>
            <w:bCs/>
            <w:webHidden/>
          </w:rPr>
          <w:fldChar w:fldCharType="end"/>
        </w:r>
      </w:hyperlink>
    </w:p>
    <w:p w14:paraId="65762D2B" w14:textId="67E79C32" w:rsidR="00D515E8" w:rsidRPr="00FE0011" w:rsidRDefault="00D515E8" w:rsidP="00DD7712">
      <w:pPr>
        <w:pStyle w:val="TOC3"/>
        <w:rPr>
          <w:bCs/>
          <w:kern w:val="2"/>
          <w14:ligatures w14:val="standardContextual"/>
        </w:rPr>
      </w:pPr>
      <w:hyperlink w:anchor="_Toc225507703" w:history="1">
        <w:r>
          <w:rPr>
            <w:rStyle w:val="Hyperlink"/>
            <w:bCs/>
          </w:rPr>
          <w:t>Reportable New Information (RNI): Event Reporting – Unanticipated Problems Involving Risks to Subjects or Others, Adverse Events, and Other Problems</w:t>
        </w:r>
        <w:r>
          <w:rPr>
            <w:bCs/>
            <w:webHidden/>
          </w:rPr>
          <w:tab/>
        </w:r>
        <w:r>
          <w:rPr>
            <w:bCs/>
            <w:webHidden/>
          </w:rPr>
          <w:fldChar w:fldCharType="begin"/>
        </w:r>
        <w:r>
          <w:rPr>
            <w:bCs/>
            <w:webHidden/>
          </w:rPr>
          <w:instrText xml:space="preserve"> PAGEREF _Toc225507703 \h </w:instrText>
        </w:r>
        <w:r>
          <w:rPr>
            <w:bCs/>
            <w:webHidden/>
          </w:rPr>
        </w:r>
        <w:r>
          <w:rPr>
            <w:bCs/>
            <w:webHidden/>
          </w:rPr>
          <w:fldChar w:fldCharType="separate"/>
        </w:r>
        <w:r w:rsidR="003E42DE">
          <w:rPr>
            <w:bCs/>
            <w:webHidden/>
          </w:rPr>
          <w:t>23</w:t>
        </w:r>
        <w:r>
          <w:rPr>
            <w:bCs/>
            <w:webHidden/>
          </w:rPr>
          <w:fldChar w:fldCharType="end"/>
        </w:r>
      </w:hyperlink>
    </w:p>
    <w:p w14:paraId="01AFBAA5" w14:textId="7185BDFE" w:rsidR="00D515E8" w:rsidRPr="00FE0011" w:rsidRDefault="00D515E8" w:rsidP="00DD7712">
      <w:pPr>
        <w:pStyle w:val="TOC3"/>
        <w:rPr>
          <w:bCs/>
          <w:kern w:val="2"/>
          <w14:ligatures w14:val="standardContextual"/>
        </w:rPr>
      </w:pPr>
      <w:hyperlink w:anchor="_Toc225507704" w:history="1">
        <w:r>
          <w:rPr>
            <w:rStyle w:val="Hyperlink"/>
            <w:bCs/>
          </w:rPr>
          <w:t>Nonco</w:t>
        </w:r>
        <w:r>
          <w:rPr>
            <w:rStyle w:val="Hyperlink"/>
            <w:bCs/>
          </w:rPr>
          <w:t>m</w:t>
        </w:r>
        <w:r>
          <w:rPr>
            <w:rStyle w:val="Hyperlink"/>
            <w:bCs/>
          </w:rPr>
          <w:t>p</w:t>
        </w:r>
        <w:r>
          <w:rPr>
            <w:rStyle w:val="Hyperlink"/>
            <w:bCs/>
          </w:rPr>
          <w:t>liance</w:t>
        </w:r>
        <w:r>
          <w:rPr>
            <w:bCs/>
            <w:webHidden/>
          </w:rPr>
          <w:tab/>
        </w:r>
        <w:r>
          <w:rPr>
            <w:bCs/>
            <w:webHidden/>
          </w:rPr>
          <w:fldChar w:fldCharType="begin"/>
        </w:r>
        <w:r>
          <w:rPr>
            <w:bCs/>
            <w:webHidden/>
          </w:rPr>
          <w:instrText xml:space="preserve"> PAGEREF _Toc225507704 \h </w:instrText>
        </w:r>
        <w:r>
          <w:rPr>
            <w:bCs/>
            <w:webHidden/>
          </w:rPr>
        </w:r>
        <w:r>
          <w:rPr>
            <w:bCs/>
            <w:webHidden/>
          </w:rPr>
          <w:fldChar w:fldCharType="separate"/>
        </w:r>
        <w:r w:rsidR="003E42DE">
          <w:rPr>
            <w:bCs/>
            <w:webHidden/>
          </w:rPr>
          <w:t>24</w:t>
        </w:r>
        <w:r>
          <w:rPr>
            <w:bCs/>
            <w:webHidden/>
          </w:rPr>
          <w:fldChar w:fldCharType="end"/>
        </w:r>
      </w:hyperlink>
    </w:p>
    <w:p w14:paraId="4D97EE42" w14:textId="71209FE0" w:rsidR="00D515E8" w:rsidRPr="00FE0011" w:rsidRDefault="00D515E8" w:rsidP="00DD7712">
      <w:pPr>
        <w:pStyle w:val="TOC3"/>
        <w:rPr>
          <w:bCs/>
          <w:kern w:val="2"/>
          <w14:ligatures w14:val="standardContextual"/>
        </w:rPr>
      </w:pPr>
      <w:hyperlink w:anchor="_Toc225507705" w:history="1">
        <w:r>
          <w:rPr>
            <w:rStyle w:val="Hyperlink"/>
            <w:bCs/>
          </w:rPr>
          <w:t>Suspension and Termination of IRB-Approved Research:</w:t>
        </w:r>
        <w:r>
          <w:rPr>
            <w:bCs/>
            <w:webHidden/>
          </w:rPr>
          <w:tab/>
        </w:r>
        <w:r>
          <w:rPr>
            <w:bCs/>
            <w:webHidden/>
          </w:rPr>
          <w:fldChar w:fldCharType="begin"/>
        </w:r>
        <w:r>
          <w:rPr>
            <w:bCs/>
            <w:webHidden/>
          </w:rPr>
          <w:instrText xml:space="preserve"> PAGEREF _Toc225507705 \h </w:instrText>
        </w:r>
        <w:r>
          <w:rPr>
            <w:bCs/>
            <w:webHidden/>
          </w:rPr>
        </w:r>
        <w:r>
          <w:rPr>
            <w:bCs/>
            <w:webHidden/>
          </w:rPr>
          <w:fldChar w:fldCharType="separate"/>
        </w:r>
        <w:r w:rsidR="003E42DE">
          <w:rPr>
            <w:bCs/>
            <w:webHidden/>
          </w:rPr>
          <w:t>24</w:t>
        </w:r>
        <w:r>
          <w:rPr>
            <w:bCs/>
            <w:webHidden/>
          </w:rPr>
          <w:fldChar w:fldCharType="end"/>
        </w:r>
      </w:hyperlink>
    </w:p>
    <w:p w14:paraId="589C3B29" w14:textId="6E59DA83" w:rsidR="00D515E8" w:rsidRPr="00FE0011" w:rsidRDefault="00D515E8" w:rsidP="00DD7712">
      <w:pPr>
        <w:pStyle w:val="TOC2"/>
        <w:rPr>
          <w:bCs/>
          <w:kern w:val="2"/>
          <w14:ligatures w14:val="standardContextual"/>
        </w:rPr>
      </w:pPr>
      <w:hyperlink w:anchor="_Toc225507706" w:history="1">
        <w:r>
          <w:rPr>
            <w:rStyle w:val="Hyperlink"/>
            <w:bCs/>
          </w:rPr>
          <w:t>Close a Study</w:t>
        </w:r>
        <w:r>
          <w:rPr>
            <w:bCs/>
            <w:webHidden/>
          </w:rPr>
          <w:tab/>
        </w:r>
        <w:r>
          <w:rPr>
            <w:bCs/>
            <w:webHidden/>
          </w:rPr>
          <w:fldChar w:fldCharType="begin"/>
        </w:r>
        <w:r>
          <w:rPr>
            <w:bCs/>
            <w:webHidden/>
          </w:rPr>
          <w:instrText xml:space="preserve"> PAGEREF _Toc225507706 \h </w:instrText>
        </w:r>
        <w:r>
          <w:rPr>
            <w:bCs/>
            <w:webHidden/>
          </w:rPr>
        </w:r>
        <w:r>
          <w:rPr>
            <w:bCs/>
            <w:webHidden/>
          </w:rPr>
          <w:fldChar w:fldCharType="separate"/>
        </w:r>
        <w:r w:rsidR="003E42DE">
          <w:rPr>
            <w:bCs/>
            <w:webHidden/>
          </w:rPr>
          <w:t>24</w:t>
        </w:r>
        <w:r>
          <w:rPr>
            <w:bCs/>
            <w:webHidden/>
          </w:rPr>
          <w:fldChar w:fldCharType="end"/>
        </w:r>
      </w:hyperlink>
    </w:p>
    <w:p w14:paraId="7C9674EC" w14:textId="6BFA20A1" w:rsidR="00D515E8" w:rsidRPr="00FE0011" w:rsidRDefault="00D515E8" w:rsidP="00DD7712">
      <w:pPr>
        <w:pStyle w:val="TOC2"/>
        <w:ind w:left="0"/>
        <w:rPr>
          <w:bCs/>
          <w:kern w:val="2"/>
          <w14:ligatures w14:val="standardContextual"/>
        </w:rPr>
      </w:pPr>
      <w:hyperlink w:anchor="_Toc225507707" w:history="1">
        <w:r>
          <w:rPr>
            <w:rStyle w:val="Hyperlink"/>
            <w:bCs/>
          </w:rPr>
          <w:t>Record Keeping</w:t>
        </w:r>
        <w:r>
          <w:rPr>
            <w:bCs/>
            <w:webHidden/>
          </w:rPr>
          <w:tab/>
        </w:r>
        <w:r>
          <w:rPr>
            <w:bCs/>
            <w:webHidden/>
          </w:rPr>
          <w:fldChar w:fldCharType="begin"/>
        </w:r>
        <w:r>
          <w:rPr>
            <w:bCs/>
            <w:webHidden/>
          </w:rPr>
          <w:instrText xml:space="preserve"> PAGEREF _Toc225507707 \h </w:instrText>
        </w:r>
        <w:r>
          <w:rPr>
            <w:bCs/>
            <w:webHidden/>
          </w:rPr>
        </w:r>
        <w:r>
          <w:rPr>
            <w:bCs/>
            <w:webHidden/>
          </w:rPr>
          <w:fldChar w:fldCharType="separate"/>
        </w:r>
        <w:r w:rsidR="003E42DE">
          <w:rPr>
            <w:bCs/>
            <w:webHidden/>
          </w:rPr>
          <w:t>24</w:t>
        </w:r>
        <w:r>
          <w:rPr>
            <w:bCs/>
            <w:webHidden/>
          </w:rPr>
          <w:fldChar w:fldCharType="end"/>
        </w:r>
      </w:hyperlink>
    </w:p>
    <w:p w14:paraId="33108A8E" w14:textId="4975CE7F" w:rsidR="00D515E8" w:rsidRPr="00FE0011" w:rsidRDefault="00D515E8" w:rsidP="000D00DC">
      <w:pPr>
        <w:pStyle w:val="TOC1"/>
        <w:rPr>
          <w:kern w:val="2"/>
          <w:sz w:val="22"/>
          <w:szCs w:val="22"/>
          <w14:ligatures w14:val="standardContextual"/>
        </w:rPr>
      </w:pPr>
      <w:hyperlink w:anchor="_Toc225507708" w:history="1">
        <w:r>
          <w:rPr>
            <w:rStyle w:val="Hyperlink"/>
            <w:b w:val="0"/>
            <w:bCs/>
            <w:sz w:val="22"/>
            <w:szCs w:val="22"/>
          </w:rPr>
          <w:t>Collaborative and Multi-Site Research</w:t>
        </w:r>
        <w:r>
          <w:rPr>
            <w:webHidden/>
            <w:sz w:val="22"/>
            <w:szCs w:val="22"/>
          </w:rPr>
          <w:tab/>
        </w:r>
        <w:r>
          <w:rPr>
            <w:b w:val="0"/>
            <w:bCs/>
            <w:webHidden/>
            <w:sz w:val="22"/>
            <w:szCs w:val="22"/>
          </w:rPr>
          <w:fldChar w:fldCharType="begin"/>
        </w:r>
        <w:r>
          <w:rPr>
            <w:b w:val="0"/>
            <w:bCs/>
            <w:webHidden/>
            <w:sz w:val="22"/>
            <w:szCs w:val="22"/>
          </w:rPr>
          <w:instrText xml:space="preserve"> PAGEREF _Toc225507708 \h </w:instrText>
        </w:r>
        <w:r>
          <w:rPr>
            <w:b w:val="0"/>
            <w:bCs/>
            <w:webHidden/>
            <w:sz w:val="22"/>
            <w:szCs w:val="22"/>
          </w:rPr>
        </w:r>
        <w:r>
          <w:rPr>
            <w:b w:val="0"/>
            <w:bCs/>
            <w:webHidden/>
            <w:sz w:val="22"/>
            <w:szCs w:val="22"/>
          </w:rPr>
          <w:fldChar w:fldCharType="separate"/>
        </w:r>
        <w:r w:rsidR="003E42DE">
          <w:rPr>
            <w:b w:val="0"/>
            <w:bCs/>
            <w:webHidden/>
            <w:sz w:val="22"/>
            <w:szCs w:val="22"/>
          </w:rPr>
          <w:t>24</w:t>
        </w:r>
        <w:r>
          <w:rPr>
            <w:b w:val="0"/>
            <w:bCs/>
            <w:webHidden/>
            <w:sz w:val="22"/>
            <w:szCs w:val="22"/>
          </w:rPr>
          <w:fldChar w:fldCharType="end"/>
        </w:r>
      </w:hyperlink>
    </w:p>
    <w:p w14:paraId="1CA03724" w14:textId="0965C7A2" w:rsidR="00D515E8" w:rsidRPr="00FE0011" w:rsidRDefault="00D515E8" w:rsidP="00DD7712">
      <w:pPr>
        <w:pStyle w:val="TOC2"/>
        <w:rPr>
          <w:bCs/>
          <w:kern w:val="2"/>
          <w14:ligatures w14:val="standardContextual"/>
        </w:rPr>
      </w:pPr>
      <w:hyperlink w:anchor="_Toc225507709" w:history="1">
        <w:r>
          <w:rPr>
            <w:rStyle w:val="Hyperlink"/>
            <w:bCs/>
          </w:rPr>
          <w:t>Single IRB Review</w:t>
        </w:r>
        <w:r>
          <w:rPr>
            <w:bCs/>
            <w:webHidden/>
          </w:rPr>
          <w:tab/>
        </w:r>
        <w:r>
          <w:rPr>
            <w:bCs/>
            <w:webHidden/>
          </w:rPr>
          <w:fldChar w:fldCharType="begin"/>
        </w:r>
        <w:r>
          <w:rPr>
            <w:bCs/>
            <w:webHidden/>
          </w:rPr>
          <w:instrText xml:space="preserve"> PAGEREF _Toc225507709 \h </w:instrText>
        </w:r>
        <w:r>
          <w:rPr>
            <w:bCs/>
            <w:webHidden/>
          </w:rPr>
        </w:r>
        <w:r>
          <w:rPr>
            <w:bCs/>
            <w:webHidden/>
          </w:rPr>
          <w:fldChar w:fldCharType="separate"/>
        </w:r>
        <w:r w:rsidR="003E42DE">
          <w:rPr>
            <w:bCs/>
            <w:webHidden/>
          </w:rPr>
          <w:t>24</w:t>
        </w:r>
        <w:r>
          <w:rPr>
            <w:bCs/>
            <w:webHidden/>
          </w:rPr>
          <w:fldChar w:fldCharType="end"/>
        </w:r>
      </w:hyperlink>
    </w:p>
    <w:p w14:paraId="4970137B" w14:textId="74EB1CFE" w:rsidR="00D515E8" w:rsidRPr="00FE0011" w:rsidRDefault="00D515E8" w:rsidP="00DD7712">
      <w:pPr>
        <w:pStyle w:val="TOC2"/>
        <w:rPr>
          <w:bCs/>
          <w:kern w:val="2"/>
          <w14:ligatures w14:val="standardContextual"/>
        </w:rPr>
      </w:pPr>
      <w:hyperlink w:anchor="_Toc225507710" w:history="1">
        <w:r>
          <w:rPr>
            <w:rStyle w:val="Hyperlink"/>
            <w:bCs/>
          </w:rPr>
          <w:t>Determining the IRB of Record</w:t>
        </w:r>
        <w:r>
          <w:rPr>
            <w:bCs/>
            <w:webHidden/>
          </w:rPr>
          <w:tab/>
        </w:r>
        <w:r>
          <w:rPr>
            <w:bCs/>
            <w:webHidden/>
          </w:rPr>
          <w:fldChar w:fldCharType="begin"/>
        </w:r>
        <w:r>
          <w:rPr>
            <w:bCs/>
            <w:webHidden/>
          </w:rPr>
          <w:instrText xml:space="preserve"> PAGEREF _Toc225507710 \h </w:instrText>
        </w:r>
        <w:r>
          <w:rPr>
            <w:bCs/>
            <w:webHidden/>
          </w:rPr>
        </w:r>
        <w:r>
          <w:rPr>
            <w:bCs/>
            <w:webHidden/>
          </w:rPr>
          <w:fldChar w:fldCharType="separate"/>
        </w:r>
        <w:r w:rsidR="003E42DE">
          <w:rPr>
            <w:bCs/>
            <w:webHidden/>
          </w:rPr>
          <w:t>24</w:t>
        </w:r>
        <w:r>
          <w:rPr>
            <w:bCs/>
            <w:webHidden/>
          </w:rPr>
          <w:fldChar w:fldCharType="end"/>
        </w:r>
      </w:hyperlink>
    </w:p>
    <w:p w14:paraId="6BA82062" w14:textId="52D88285" w:rsidR="00D515E8" w:rsidRPr="00FE0011" w:rsidRDefault="00D515E8" w:rsidP="00DD7712">
      <w:pPr>
        <w:pStyle w:val="TOC2"/>
        <w:rPr>
          <w:bCs/>
          <w:kern w:val="2"/>
          <w14:ligatures w14:val="standardContextual"/>
        </w:rPr>
      </w:pPr>
      <w:hyperlink w:anchor="_Toc225507711" w:history="1">
        <w:r>
          <w:rPr>
            <w:rStyle w:val="Hyperlink"/>
            <w:bCs/>
          </w:rPr>
          <w:t>Submit a Request to Rely on an External IRB</w:t>
        </w:r>
        <w:r>
          <w:rPr>
            <w:bCs/>
            <w:webHidden/>
          </w:rPr>
          <w:tab/>
        </w:r>
        <w:r>
          <w:rPr>
            <w:bCs/>
            <w:webHidden/>
          </w:rPr>
          <w:fldChar w:fldCharType="begin"/>
        </w:r>
        <w:r>
          <w:rPr>
            <w:bCs/>
            <w:webHidden/>
          </w:rPr>
          <w:instrText xml:space="preserve"> PAGEREF _Toc225507711 \h </w:instrText>
        </w:r>
        <w:r>
          <w:rPr>
            <w:bCs/>
            <w:webHidden/>
          </w:rPr>
        </w:r>
        <w:r>
          <w:rPr>
            <w:bCs/>
            <w:webHidden/>
          </w:rPr>
          <w:fldChar w:fldCharType="separate"/>
        </w:r>
        <w:r w:rsidR="003E42DE">
          <w:rPr>
            <w:bCs/>
            <w:webHidden/>
          </w:rPr>
          <w:t>25</w:t>
        </w:r>
        <w:r>
          <w:rPr>
            <w:bCs/>
            <w:webHidden/>
          </w:rPr>
          <w:fldChar w:fldCharType="end"/>
        </w:r>
      </w:hyperlink>
    </w:p>
    <w:p w14:paraId="2BEF537A" w14:textId="34841723" w:rsidR="00D515E8" w:rsidRPr="00FE0011" w:rsidRDefault="00D515E8" w:rsidP="00DD7712">
      <w:pPr>
        <w:pStyle w:val="TOC2"/>
        <w:rPr>
          <w:bCs/>
          <w:kern w:val="2"/>
          <w14:ligatures w14:val="standardContextual"/>
        </w:rPr>
      </w:pPr>
      <w:hyperlink w:anchor="_Toc225507713" w:history="1">
        <w:r>
          <w:rPr>
            <w:rStyle w:val="Hyperlink"/>
            <w:bCs/>
          </w:rPr>
          <w:t xml:space="preserve">Requesting </w:t>
        </w:r>
        <w:r>
          <w:rPr>
            <w:rStyle w:val="Hyperlink"/>
            <w:bCs/>
          </w:rPr>
          <w:t>O</w:t>
        </w:r>
        <w:r>
          <w:rPr>
            <w:rStyle w:val="Hyperlink"/>
            <w:bCs/>
          </w:rPr>
          <w:t>hio State IRB to be an sIRB</w:t>
        </w:r>
        <w:r>
          <w:rPr>
            <w:bCs/>
            <w:webHidden/>
          </w:rPr>
          <w:tab/>
        </w:r>
        <w:r>
          <w:rPr>
            <w:bCs/>
            <w:webHidden/>
          </w:rPr>
          <w:fldChar w:fldCharType="begin"/>
        </w:r>
        <w:r>
          <w:rPr>
            <w:bCs/>
            <w:webHidden/>
          </w:rPr>
          <w:instrText xml:space="preserve"> PAGEREF _Toc225507713 \h </w:instrText>
        </w:r>
        <w:r>
          <w:rPr>
            <w:bCs/>
            <w:webHidden/>
          </w:rPr>
        </w:r>
        <w:r>
          <w:rPr>
            <w:bCs/>
            <w:webHidden/>
          </w:rPr>
          <w:fldChar w:fldCharType="separate"/>
        </w:r>
        <w:r w:rsidR="003E42DE">
          <w:rPr>
            <w:bCs/>
            <w:webHidden/>
          </w:rPr>
          <w:t>26</w:t>
        </w:r>
        <w:r>
          <w:rPr>
            <w:bCs/>
            <w:webHidden/>
          </w:rPr>
          <w:fldChar w:fldCharType="end"/>
        </w:r>
      </w:hyperlink>
    </w:p>
    <w:p w14:paraId="17623D2C" w14:textId="0869321C" w:rsidR="00D515E8" w:rsidRPr="00FE0011" w:rsidRDefault="00D515E8" w:rsidP="00DD7712">
      <w:pPr>
        <w:pStyle w:val="TOC3"/>
        <w:rPr>
          <w:bCs/>
          <w:kern w:val="2"/>
          <w14:ligatures w14:val="standardContextual"/>
        </w:rPr>
      </w:pPr>
      <w:hyperlink w:anchor="_Toc225507716" w:history="1">
        <w:r>
          <w:rPr>
            <w:rStyle w:val="Hyperlink"/>
            <w:bCs/>
          </w:rPr>
          <w:t>Collaborating with an External or Unaffiliated Individual Investigator</w:t>
        </w:r>
        <w:r>
          <w:rPr>
            <w:bCs/>
            <w:webHidden/>
          </w:rPr>
          <w:tab/>
        </w:r>
        <w:r>
          <w:rPr>
            <w:bCs/>
            <w:webHidden/>
          </w:rPr>
          <w:fldChar w:fldCharType="begin"/>
        </w:r>
        <w:r>
          <w:rPr>
            <w:bCs/>
            <w:webHidden/>
          </w:rPr>
          <w:instrText xml:space="preserve"> PAGEREF _Toc225507716 \h </w:instrText>
        </w:r>
        <w:r>
          <w:rPr>
            <w:bCs/>
            <w:webHidden/>
          </w:rPr>
        </w:r>
        <w:r>
          <w:rPr>
            <w:bCs/>
            <w:webHidden/>
          </w:rPr>
          <w:fldChar w:fldCharType="separate"/>
        </w:r>
        <w:r w:rsidR="003E42DE">
          <w:rPr>
            <w:bCs/>
            <w:webHidden/>
          </w:rPr>
          <w:t>29</w:t>
        </w:r>
        <w:r>
          <w:rPr>
            <w:bCs/>
            <w:webHidden/>
          </w:rPr>
          <w:fldChar w:fldCharType="end"/>
        </w:r>
      </w:hyperlink>
    </w:p>
    <w:p w14:paraId="2ED19043" w14:textId="03B53165" w:rsidR="00D515E8" w:rsidRPr="00FE0011" w:rsidRDefault="00D515E8" w:rsidP="00DD7712">
      <w:pPr>
        <w:pStyle w:val="TOC2"/>
        <w:rPr>
          <w:bCs/>
          <w:kern w:val="2"/>
          <w14:ligatures w14:val="standardContextual"/>
        </w:rPr>
      </w:pPr>
      <w:hyperlink w:anchor="_Toc225507719" w:history="1">
        <w:r>
          <w:rPr>
            <w:rStyle w:val="Hyperlink"/>
            <w:bCs/>
          </w:rPr>
          <w:t>Additional Knowledge Base Resources for Collaborative Research</w:t>
        </w:r>
        <w:r>
          <w:rPr>
            <w:bCs/>
            <w:webHidden/>
          </w:rPr>
          <w:tab/>
        </w:r>
        <w:r>
          <w:rPr>
            <w:bCs/>
            <w:webHidden/>
          </w:rPr>
          <w:fldChar w:fldCharType="begin"/>
        </w:r>
        <w:r>
          <w:rPr>
            <w:bCs/>
            <w:webHidden/>
          </w:rPr>
          <w:instrText xml:space="preserve"> PAGEREF _Toc225507719 \h </w:instrText>
        </w:r>
        <w:r>
          <w:rPr>
            <w:bCs/>
            <w:webHidden/>
          </w:rPr>
        </w:r>
        <w:r>
          <w:rPr>
            <w:bCs/>
            <w:webHidden/>
          </w:rPr>
          <w:fldChar w:fldCharType="separate"/>
        </w:r>
        <w:r w:rsidR="003E42DE">
          <w:rPr>
            <w:bCs/>
            <w:webHidden/>
          </w:rPr>
          <w:t>31</w:t>
        </w:r>
        <w:r>
          <w:rPr>
            <w:bCs/>
            <w:webHidden/>
          </w:rPr>
          <w:fldChar w:fldCharType="end"/>
        </w:r>
      </w:hyperlink>
    </w:p>
    <w:p w14:paraId="3898148F" w14:textId="551F2660" w:rsidR="00D515E8" w:rsidRPr="00FE0011" w:rsidRDefault="00D515E8" w:rsidP="000D00DC">
      <w:pPr>
        <w:pStyle w:val="TOC1"/>
        <w:rPr>
          <w:rStyle w:val="Hyperlink"/>
          <w:b w:val="0"/>
          <w:bCs/>
          <w:sz w:val="22"/>
          <w:szCs w:val="22"/>
        </w:rPr>
      </w:pPr>
      <w:hyperlink w:anchor="_Toc225507723" w:history="1">
        <w:r>
          <w:rPr>
            <w:rStyle w:val="Hyperlink"/>
            <w:b w:val="0"/>
            <w:bCs/>
            <w:sz w:val="22"/>
            <w:szCs w:val="22"/>
          </w:rPr>
          <w:t>Additional Information</w:t>
        </w:r>
        <w:r>
          <w:rPr>
            <w:webHidden/>
            <w:sz w:val="22"/>
            <w:szCs w:val="22"/>
          </w:rPr>
          <w:tab/>
        </w:r>
        <w:r>
          <w:rPr>
            <w:b w:val="0"/>
            <w:bCs/>
            <w:webHidden/>
            <w:sz w:val="22"/>
            <w:szCs w:val="22"/>
          </w:rPr>
          <w:fldChar w:fldCharType="begin"/>
        </w:r>
        <w:r>
          <w:rPr>
            <w:b w:val="0"/>
            <w:bCs/>
            <w:webHidden/>
            <w:sz w:val="22"/>
            <w:szCs w:val="22"/>
          </w:rPr>
          <w:instrText xml:space="preserve"> PAGEREF _Toc225507723 \h </w:instrText>
        </w:r>
        <w:r>
          <w:rPr>
            <w:b w:val="0"/>
            <w:bCs/>
            <w:webHidden/>
            <w:sz w:val="22"/>
            <w:szCs w:val="22"/>
          </w:rPr>
        </w:r>
        <w:r>
          <w:rPr>
            <w:b w:val="0"/>
            <w:bCs/>
            <w:webHidden/>
            <w:sz w:val="22"/>
            <w:szCs w:val="22"/>
          </w:rPr>
          <w:fldChar w:fldCharType="separate"/>
        </w:r>
        <w:r w:rsidR="003E42DE">
          <w:rPr>
            <w:b w:val="0"/>
            <w:bCs/>
            <w:webHidden/>
            <w:sz w:val="22"/>
            <w:szCs w:val="22"/>
          </w:rPr>
          <w:t>31</w:t>
        </w:r>
        <w:r>
          <w:rPr>
            <w:b w:val="0"/>
            <w:bCs/>
            <w:webHidden/>
            <w:sz w:val="22"/>
            <w:szCs w:val="22"/>
          </w:rPr>
          <w:fldChar w:fldCharType="end"/>
        </w:r>
      </w:hyperlink>
    </w:p>
    <w:p w14:paraId="3D5990F5" w14:textId="77777777" w:rsidR="000D00DC" w:rsidRPr="00FE0011" w:rsidRDefault="000D00DC" w:rsidP="000D00DC">
      <w:pPr>
        <w:rPr>
          <w:noProof/>
        </w:rPr>
      </w:pPr>
    </w:p>
    <w:p w14:paraId="301AED22" w14:textId="77777777" w:rsidR="00DD7712" w:rsidRPr="00FE0011" w:rsidRDefault="00DD7712" w:rsidP="00DD7712">
      <w:pPr>
        <w:rPr>
          <w:bCs/>
          <w:noProof/>
        </w:rPr>
      </w:pPr>
      <w:r>
        <w:rPr>
          <w:bCs/>
          <w:noProof/>
        </w:rPr>
        <w:t xml:space="preserve">A Appendices: Additional Requirements </w:t>
      </w:r>
    </w:p>
    <w:p w14:paraId="1407FAEF" w14:textId="300742AB" w:rsidR="00D515E8" w:rsidRPr="00FE0011" w:rsidRDefault="00D515E8" w:rsidP="00DD7712">
      <w:pPr>
        <w:pStyle w:val="TOC2"/>
        <w:rPr>
          <w:bCs/>
          <w:kern w:val="2"/>
          <w14:ligatures w14:val="standardContextual"/>
        </w:rPr>
      </w:pPr>
      <w:hyperlink w:anchor="_Toc225507724" w:history="1">
        <w:r>
          <w:rPr>
            <w:rStyle w:val="Hyperlink"/>
            <w:bCs/>
            <w14:scene3d>
              <w14:camera w14:prst="orthographicFront"/>
              <w14:lightRig w14:rig="threePt" w14:dir="t">
                <w14:rot w14:lat="0" w14:lon="0" w14:rev="0"/>
              </w14:lightRig>
            </w14:scene3d>
          </w:rPr>
          <w:t xml:space="preserve">Appendix A-1 </w:t>
        </w:r>
        <w:r>
          <w:rPr>
            <w:rStyle w:val="Hyperlink"/>
            <w:bCs/>
          </w:rPr>
          <w:t>Additional Requirements for DHHS-Regulated Research</w:t>
        </w:r>
        <w:r>
          <w:rPr>
            <w:bCs/>
            <w:webHidden/>
          </w:rPr>
          <w:tab/>
        </w:r>
        <w:r>
          <w:rPr>
            <w:bCs/>
            <w:webHidden/>
          </w:rPr>
          <w:fldChar w:fldCharType="begin"/>
        </w:r>
        <w:r>
          <w:rPr>
            <w:bCs/>
            <w:webHidden/>
          </w:rPr>
          <w:instrText xml:space="preserve"> PAGEREF _Toc225507724 \h </w:instrText>
        </w:r>
        <w:r>
          <w:rPr>
            <w:bCs/>
            <w:webHidden/>
          </w:rPr>
        </w:r>
        <w:r>
          <w:rPr>
            <w:bCs/>
            <w:webHidden/>
          </w:rPr>
          <w:fldChar w:fldCharType="separate"/>
        </w:r>
        <w:r w:rsidR="003E42DE">
          <w:rPr>
            <w:bCs/>
            <w:webHidden/>
          </w:rPr>
          <w:t>32</w:t>
        </w:r>
        <w:r>
          <w:rPr>
            <w:bCs/>
            <w:webHidden/>
          </w:rPr>
          <w:fldChar w:fldCharType="end"/>
        </w:r>
      </w:hyperlink>
    </w:p>
    <w:p w14:paraId="1132648A" w14:textId="7AA8D767" w:rsidR="00D515E8" w:rsidRPr="00FE0011" w:rsidRDefault="00D515E8" w:rsidP="00DD7712">
      <w:pPr>
        <w:pStyle w:val="TOC2"/>
        <w:rPr>
          <w:bCs/>
          <w:kern w:val="2"/>
          <w14:ligatures w14:val="standardContextual"/>
        </w:rPr>
      </w:pPr>
      <w:hyperlink w:anchor="_Toc225507725" w:history="1">
        <w:r>
          <w:rPr>
            <w:rStyle w:val="Hyperlink"/>
            <w:bCs/>
            <w14:scene3d>
              <w14:camera w14:prst="orthographicFront"/>
              <w14:lightRig w14:rig="threePt" w14:dir="t">
                <w14:rot w14:lat="0" w14:lon="0" w14:rev="0"/>
              </w14:lightRig>
            </w14:scene3d>
          </w:rPr>
          <w:t xml:space="preserve">Appendix A-2 </w:t>
        </w:r>
        <w:r>
          <w:rPr>
            <w:rStyle w:val="Hyperlink"/>
            <w:bCs/>
          </w:rPr>
          <w:t>Additional Requirements for FDA-Regulated Research</w:t>
        </w:r>
        <w:r>
          <w:rPr>
            <w:bCs/>
            <w:webHidden/>
          </w:rPr>
          <w:tab/>
        </w:r>
        <w:r>
          <w:rPr>
            <w:bCs/>
            <w:webHidden/>
          </w:rPr>
          <w:fldChar w:fldCharType="begin"/>
        </w:r>
        <w:r>
          <w:rPr>
            <w:bCs/>
            <w:webHidden/>
          </w:rPr>
          <w:instrText xml:space="preserve"> PAGEREF _Toc225507725 \h </w:instrText>
        </w:r>
        <w:r>
          <w:rPr>
            <w:bCs/>
            <w:webHidden/>
          </w:rPr>
        </w:r>
        <w:r>
          <w:rPr>
            <w:bCs/>
            <w:webHidden/>
          </w:rPr>
          <w:fldChar w:fldCharType="separate"/>
        </w:r>
        <w:r w:rsidR="003E42DE">
          <w:rPr>
            <w:bCs/>
            <w:webHidden/>
          </w:rPr>
          <w:t>34</w:t>
        </w:r>
        <w:r>
          <w:rPr>
            <w:bCs/>
            <w:webHidden/>
          </w:rPr>
          <w:fldChar w:fldCharType="end"/>
        </w:r>
      </w:hyperlink>
    </w:p>
    <w:p w14:paraId="5547C112" w14:textId="0989DB2B" w:rsidR="00D515E8" w:rsidRPr="00FE0011" w:rsidRDefault="00D515E8" w:rsidP="00DD7712">
      <w:pPr>
        <w:pStyle w:val="TOC2"/>
        <w:rPr>
          <w:bCs/>
          <w:kern w:val="2"/>
          <w14:ligatures w14:val="standardContextual"/>
        </w:rPr>
      </w:pPr>
      <w:hyperlink w:anchor="_Toc225507726" w:history="1">
        <w:r>
          <w:rPr>
            <w:rStyle w:val="Hyperlink"/>
            <w:bCs/>
            <w14:scene3d>
              <w14:camera w14:prst="orthographicFront"/>
              <w14:lightRig w14:rig="threePt" w14:dir="t">
                <w14:rot w14:lat="0" w14:lon="0" w14:rev="0"/>
              </w14:lightRig>
            </w14:scene3d>
          </w:rPr>
          <w:t xml:space="preserve">Appendix A-3 </w:t>
        </w:r>
        <w:r>
          <w:rPr>
            <w:rStyle w:val="Hyperlink"/>
            <w:bCs/>
          </w:rPr>
          <w:t>Additional Requirements for Clinical Trials (ICH-GCP)</w:t>
        </w:r>
        <w:r>
          <w:rPr>
            <w:bCs/>
            <w:webHidden/>
          </w:rPr>
          <w:tab/>
        </w:r>
        <w:r>
          <w:rPr>
            <w:bCs/>
            <w:webHidden/>
          </w:rPr>
          <w:fldChar w:fldCharType="begin"/>
        </w:r>
        <w:r>
          <w:rPr>
            <w:bCs/>
            <w:webHidden/>
          </w:rPr>
          <w:instrText xml:space="preserve"> PAGEREF _Toc225507726 \h </w:instrText>
        </w:r>
        <w:r>
          <w:rPr>
            <w:bCs/>
            <w:webHidden/>
          </w:rPr>
        </w:r>
        <w:r>
          <w:rPr>
            <w:bCs/>
            <w:webHidden/>
          </w:rPr>
          <w:fldChar w:fldCharType="separate"/>
        </w:r>
        <w:r w:rsidR="003E42DE">
          <w:rPr>
            <w:bCs/>
            <w:webHidden/>
          </w:rPr>
          <w:t>41</w:t>
        </w:r>
        <w:r>
          <w:rPr>
            <w:bCs/>
            <w:webHidden/>
          </w:rPr>
          <w:fldChar w:fldCharType="end"/>
        </w:r>
      </w:hyperlink>
    </w:p>
    <w:p w14:paraId="3CC6BF8F" w14:textId="744BF3C6" w:rsidR="00D515E8" w:rsidRPr="00FE0011" w:rsidRDefault="00D515E8" w:rsidP="00DD7712">
      <w:pPr>
        <w:pStyle w:val="TOC2"/>
        <w:rPr>
          <w:bCs/>
          <w:kern w:val="2"/>
          <w14:ligatures w14:val="standardContextual"/>
        </w:rPr>
      </w:pPr>
      <w:hyperlink w:anchor="_Toc225507727" w:history="1">
        <w:r>
          <w:rPr>
            <w:rStyle w:val="Hyperlink"/>
            <w:bCs/>
            <w14:scene3d>
              <w14:camera w14:prst="orthographicFront"/>
              <w14:lightRig w14:rig="threePt" w14:dir="t">
                <w14:rot w14:lat="0" w14:lon="0" w14:rev="0"/>
              </w14:lightRig>
            </w14:scene3d>
          </w:rPr>
          <w:t xml:space="preserve">Appendix A-4 </w:t>
        </w:r>
        <w:r>
          <w:rPr>
            <w:rStyle w:val="Hyperlink"/>
            <w:bCs/>
          </w:rPr>
          <w:t>Additional Requirements for Department of Defense (DOD) research</w:t>
        </w:r>
        <w:r>
          <w:rPr>
            <w:bCs/>
            <w:webHidden/>
          </w:rPr>
          <w:tab/>
        </w:r>
        <w:r>
          <w:rPr>
            <w:bCs/>
            <w:webHidden/>
          </w:rPr>
          <w:fldChar w:fldCharType="begin"/>
        </w:r>
        <w:r>
          <w:rPr>
            <w:bCs/>
            <w:webHidden/>
          </w:rPr>
          <w:instrText xml:space="preserve"> PAGEREF _Toc225507727 \h </w:instrText>
        </w:r>
        <w:r>
          <w:rPr>
            <w:bCs/>
            <w:webHidden/>
          </w:rPr>
        </w:r>
        <w:r>
          <w:rPr>
            <w:bCs/>
            <w:webHidden/>
          </w:rPr>
          <w:fldChar w:fldCharType="separate"/>
        </w:r>
        <w:r w:rsidR="003E42DE">
          <w:rPr>
            <w:bCs/>
            <w:webHidden/>
          </w:rPr>
          <w:t>48</w:t>
        </w:r>
        <w:r>
          <w:rPr>
            <w:bCs/>
            <w:webHidden/>
          </w:rPr>
          <w:fldChar w:fldCharType="end"/>
        </w:r>
      </w:hyperlink>
    </w:p>
    <w:p w14:paraId="2FAF99A2" w14:textId="7BD02BCA" w:rsidR="00D515E8" w:rsidRPr="00FE0011" w:rsidRDefault="00D515E8" w:rsidP="00DD7712">
      <w:pPr>
        <w:pStyle w:val="TOC2"/>
        <w:rPr>
          <w:bCs/>
          <w:kern w:val="2"/>
          <w14:ligatures w14:val="standardContextual"/>
        </w:rPr>
      </w:pPr>
      <w:hyperlink w:anchor="_Toc225507728" w:history="1">
        <w:r>
          <w:rPr>
            <w:rStyle w:val="Hyperlink"/>
            <w:bCs/>
            <w14:scene3d>
              <w14:camera w14:prst="orthographicFront"/>
              <w14:lightRig w14:rig="threePt" w14:dir="t">
                <w14:rot w14:lat="0" w14:lon="0" w14:rev="0"/>
              </w14:lightRig>
            </w14:scene3d>
          </w:rPr>
          <w:t xml:space="preserve">Appendix A-5 </w:t>
        </w:r>
        <w:r>
          <w:rPr>
            <w:rStyle w:val="Hyperlink"/>
            <w:bCs/>
          </w:rPr>
          <w:t>Additional Requirements for Department of Energy (DOE) Research</w:t>
        </w:r>
        <w:r>
          <w:rPr>
            <w:bCs/>
            <w:webHidden/>
          </w:rPr>
          <w:tab/>
        </w:r>
        <w:r>
          <w:rPr>
            <w:bCs/>
            <w:webHidden/>
          </w:rPr>
          <w:fldChar w:fldCharType="begin"/>
        </w:r>
        <w:r>
          <w:rPr>
            <w:bCs/>
            <w:webHidden/>
          </w:rPr>
          <w:instrText xml:space="preserve"> PAGEREF _Toc225507728 \h </w:instrText>
        </w:r>
        <w:r>
          <w:rPr>
            <w:bCs/>
            <w:webHidden/>
          </w:rPr>
        </w:r>
        <w:r>
          <w:rPr>
            <w:bCs/>
            <w:webHidden/>
          </w:rPr>
          <w:fldChar w:fldCharType="separate"/>
        </w:r>
        <w:r w:rsidR="003E42DE">
          <w:rPr>
            <w:bCs/>
            <w:webHidden/>
          </w:rPr>
          <w:t>51</w:t>
        </w:r>
        <w:r>
          <w:rPr>
            <w:bCs/>
            <w:webHidden/>
          </w:rPr>
          <w:fldChar w:fldCharType="end"/>
        </w:r>
      </w:hyperlink>
    </w:p>
    <w:p w14:paraId="7EA596AB" w14:textId="6294B171" w:rsidR="00D515E8" w:rsidRPr="00FE0011" w:rsidRDefault="00D515E8" w:rsidP="00DD7712">
      <w:pPr>
        <w:pStyle w:val="TOC2"/>
        <w:rPr>
          <w:bCs/>
          <w:kern w:val="2"/>
          <w14:ligatures w14:val="standardContextual"/>
        </w:rPr>
      </w:pPr>
      <w:hyperlink w:anchor="_Toc225507729" w:history="1">
        <w:r>
          <w:rPr>
            <w:rStyle w:val="Hyperlink"/>
            <w:bCs/>
            <w14:scene3d>
              <w14:camera w14:prst="orthographicFront"/>
              <w14:lightRig w14:rig="threePt" w14:dir="t">
                <w14:rot w14:lat="0" w14:lon="0" w14:rev="0"/>
              </w14:lightRig>
            </w14:scene3d>
          </w:rPr>
          <w:t xml:space="preserve">Appendix A-6 </w:t>
        </w:r>
        <w:r>
          <w:rPr>
            <w:rStyle w:val="Hyperlink"/>
            <w:bCs/>
          </w:rPr>
          <w:t>Additional Requirements for Department of Justice (DOJ) Research</w:t>
        </w:r>
        <w:r>
          <w:rPr>
            <w:bCs/>
            <w:webHidden/>
          </w:rPr>
          <w:tab/>
        </w:r>
        <w:r>
          <w:rPr>
            <w:bCs/>
            <w:webHidden/>
          </w:rPr>
          <w:fldChar w:fldCharType="begin"/>
        </w:r>
        <w:r>
          <w:rPr>
            <w:bCs/>
            <w:webHidden/>
          </w:rPr>
          <w:instrText xml:space="preserve"> PAGEREF _Toc225507729 \h </w:instrText>
        </w:r>
        <w:r>
          <w:rPr>
            <w:bCs/>
            <w:webHidden/>
          </w:rPr>
        </w:r>
        <w:r>
          <w:rPr>
            <w:bCs/>
            <w:webHidden/>
          </w:rPr>
          <w:fldChar w:fldCharType="separate"/>
        </w:r>
        <w:r w:rsidR="003E42DE">
          <w:rPr>
            <w:bCs/>
            <w:webHidden/>
          </w:rPr>
          <w:t>54</w:t>
        </w:r>
        <w:r>
          <w:rPr>
            <w:bCs/>
            <w:webHidden/>
          </w:rPr>
          <w:fldChar w:fldCharType="end"/>
        </w:r>
      </w:hyperlink>
    </w:p>
    <w:p w14:paraId="31920E84" w14:textId="1D1C9D81" w:rsidR="00D515E8" w:rsidRPr="00FE0011" w:rsidRDefault="009B71AE" w:rsidP="00DD7712">
      <w:pPr>
        <w:pStyle w:val="TOC3"/>
        <w:rPr>
          <w:bCs/>
          <w:kern w:val="2"/>
          <w14:ligatures w14:val="standardContextual"/>
        </w:rPr>
      </w:pPr>
      <w:hyperlink w:anchor="_Toc225507730" w:history="1">
        <w:r>
          <w:rPr>
            <w:rStyle w:val="Hyperlink"/>
            <w:bCs/>
          </w:rPr>
          <w:t>Additional Requirements for DOJ Research conducted in the Federal Bureau of</w:t>
        </w:r>
        <w:r w:rsidR="009302F8">
          <w:rPr>
            <w:rStyle w:val="Hyperlink"/>
            <w:bCs/>
          </w:rPr>
          <w:t xml:space="preserve"> </w:t>
        </w:r>
        <w:r>
          <w:rPr>
            <w:rStyle w:val="Hyperlink"/>
            <w:bCs/>
          </w:rPr>
          <w:t>Prisons……</w:t>
        </w:r>
        <w:r w:rsidR="009302F8">
          <w:rPr>
            <w:rStyle w:val="Hyperlink"/>
            <w:bCs/>
          </w:rPr>
          <w:t>….…</w:t>
        </w:r>
        <w:r>
          <w:rPr>
            <w:bCs/>
            <w:webHidden/>
          </w:rPr>
          <w:fldChar w:fldCharType="begin"/>
        </w:r>
        <w:r>
          <w:rPr>
            <w:bCs/>
            <w:webHidden/>
          </w:rPr>
          <w:instrText xml:space="preserve"> PAGEREF _Toc225507730 \h </w:instrText>
        </w:r>
        <w:r>
          <w:rPr>
            <w:bCs/>
            <w:webHidden/>
          </w:rPr>
        </w:r>
        <w:r>
          <w:rPr>
            <w:bCs/>
            <w:webHidden/>
          </w:rPr>
          <w:fldChar w:fldCharType="separate"/>
        </w:r>
        <w:r w:rsidR="003E42DE">
          <w:rPr>
            <w:bCs/>
            <w:webHidden/>
          </w:rPr>
          <w:t>54</w:t>
        </w:r>
        <w:r>
          <w:rPr>
            <w:bCs/>
            <w:webHidden/>
          </w:rPr>
          <w:fldChar w:fldCharType="end"/>
        </w:r>
      </w:hyperlink>
    </w:p>
    <w:p w14:paraId="4B43A31D" w14:textId="554188CB" w:rsidR="00D515E8" w:rsidRPr="00FE0011" w:rsidRDefault="009B71AE" w:rsidP="00DD7712">
      <w:pPr>
        <w:pStyle w:val="TOC3"/>
        <w:rPr>
          <w:bCs/>
          <w:kern w:val="2"/>
          <w14:ligatures w14:val="standardContextual"/>
        </w:rPr>
      </w:pPr>
      <w:hyperlink w:anchor="_Toc225507731" w:history="1">
        <w:r>
          <w:rPr>
            <w:rStyle w:val="Hyperlink"/>
            <w:bCs/>
          </w:rPr>
          <w:t>Additional Requirements for DOJ Research Funded by the National Institute of Justice……………</w:t>
        </w:r>
        <w:r>
          <w:rPr>
            <w:bCs/>
            <w:webHidden/>
          </w:rPr>
          <w:fldChar w:fldCharType="begin"/>
        </w:r>
        <w:r>
          <w:rPr>
            <w:bCs/>
            <w:webHidden/>
          </w:rPr>
          <w:instrText xml:space="preserve"> PAGEREF _Toc225507731 \h </w:instrText>
        </w:r>
        <w:r>
          <w:rPr>
            <w:bCs/>
            <w:webHidden/>
          </w:rPr>
        </w:r>
        <w:r>
          <w:rPr>
            <w:bCs/>
            <w:webHidden/>
          </w:rPr>
          <w:fldChar w:fldCharType="separate"/>
        </w:r>
        <w:r w:rsidR="003E42DE">
          <w:rPr>
            <w:bCs/>
            <w:webHidden/>
          </w:rPr>
          <w:t>56</w:t>
        </w:r>
        <w:r>
          <w:rPr>
            <w:bCs/>
            <w:webHidden/>
          </w:rPr>
          <w:fldChar w:fldCharType="end"/>
        </w:r>
      </w:hyperlink>
    </w:p>
    <w:p w14:paraId="7CD55C1C" w14:textId="3262093B" w:rsidR="00D515E8" w:rsidRPr="00FE0011" w:rsidRDefault="00D515E8" w:rsidP="00DD7712">
      <w:pPr>
        <w:pStyle w:val="TOC2"/>
        <w:rPr>
          <w:bCs/>
          <w:kern w:val="2"/>
          <w14:ligatures w14:val="standardContextual"/>
        </w:rPr>
      </w:pPr>
      <w:hyperlink w:anchor="_Toc225507732" w:history="1">
        <w:r>
          <w:rPr>
            <w:rStyle w:val="Hyperlink"/>
            <w:bCs/>
            <w14:scene3d>
              <w14:camera w14:prst="orthographicFront"/>
              <w14:lightRig w14:rig="threePt" w14:dir="t">
                <w14:rot w14:lat="0" w14:lon="0" w14:rev="0"/>
              </w14:lightRig>
            </w14:scene3d>
          </w:rPr>
          <w:t xml:space="preserve">Appendix A-7 </w:t>
        </w:r>
        <w:r>
          <w:rPr>
            <w:rStyle w:val="Hyperlink"/>
            <w:bCs/>
          </w:rPr>
          <w:t>Additional Requirements for Department of Education (ED) Research…</w:t>
        </w:r>
        <w:r w:rsidR="009302F8">
          <w:rPr>
            <w:rStyle w:val="Hyperlink"/>
            <w:bCs/>
          </w:rPr>
          <w:t>……….…….</w:t>
        </w:r>
        <w:r>
          <w:rPr>
            <w:bCs/>
            <w:webHidden/>
          </w:rPr>
          <w:fldChar w:fldCharType="begin"/>
        </w:r>
        <w:r>
          <w:rPr>
            <w:bCs/>
            <w:webHidden/>
          </w:rPr>
          <w:instrText xml:space="preserve"> PAGEREF _Toc225507732 \h </w:instrText>
        </w:r>
        <w:r>
          <w:rPr>
            <w:bCs/>
            <w:webHidden/>
          </w:rPr>
        </w:r>
        <w:r>
          <w:rPr>
            <w:bCs/>
            <w:webHidden/>
          </w:rPr>
          <w:fldChar w:fldCharType="separate"/>
        </w:r>
        <w:r w:rsidR="003E42DE">
          <w:rPr>
            <w:bCs/>
            <w:webHidden/>
          </w:rPr>
          <w:t>58</w:t>
        </w:r>
        <w:r>
          <w:rPr>
            <w:bCs/>
            <w:webHidden/>
          </w:rPr>
          <w:fldChar w:fldCharType="end"/>
        </w:r>
      </w:hyperlink>
    </w:p>
    <w:p w14:paraId="203B9071" w14:textId="4FA07B54" w:rsidR="00D515E8" w:rsidRPr="00FE0011" w:rsidRDefault="00D515E8" w:rsidP="00DD7712">
      <w:pPr>
        <w:pStyle w:val="TOC2"/>
        <w:rPr>
          <w:bCs/>
          <w:kern w:val="2"/>
          <w14:ligatures w14:val="standardContextual"/>
        </w:rPr>
      </w:pPr>
      <w:hyperlink w:anchor="_Toc225507733" w:history="1">
        <w:r>
          <w:rPr>
            <w:rStyle w:val="Hyperlink"/>
            <w:bCs/>
            <w14:scene3d>
              <w14:camera w14:prst="orthographicFront"/>
              <w14:lightRig w14:rig="threePt" w14:dir="t">
                <w14:rot w14:lat="0" w14:lon="0" w14:rev="0"/>
              </w14:lightRig>
            </w14:scene3d>
          </w:rPr>
          <w:t xml:space="preserve">Appendix A-8 </w:t>
        </w:r>
        <w:r>
          <w:rPr>
            <w:rStyle w:val="Hyperlink"/>
            <w:bCs/>
          </w:rPr>
          <w:t xml:space="preserve">Additional Requirements for Environmental Protection Agency (EPA) </w:t>
        </w:r>
        <w:r w:rsidR="009302F8">
          <w:rPr>
            <w:rStyle w:val="Hyperlink"/>
            <w:bCs/>
          </w:rPr>
          <w:t>..</w:t>
        </w:r>
        <w:r>
          <w:rPr>
            <w:rStyle w:val="Hyperlink"/>
            <w:bCs/>
          </w:rPr>
          <w:t>……………..</w:t>
        </w:r>
        <w:r>
          <w:rPr>
            <w:bCs/>
            <w:webHidden/>
          </w:rPr>
          <w:fldChar w:fldCharType="begin"/>
        </w:r>
        <w:r>
          <w:rPr>
            <w:bCs/>
            <w:webHidden/>
          </w:rPr>
          <w:instrText xml:space="preserve"> PAGEREF _Toc225507733 \h </w:instrText>
        </w:r>
        <w:r>
          <w:rPr>
            <w:bCs/>
            <w:webHidden/>
          </w:rPr>
        </w:r>
        <w:r>
          <w:rPr>
            <w:bCs/>
            <w:webHidden/>
          </w:rPr>
          <w:fldChar w:fldCharType="separate"/>
        </w:r>
        <w:r w:rsidR="003E42DE">
          <w:rPr>
            <w:bCs/>
            <w:webHidden/>
          </w:rPr>
          <w:t>60</w:t>
        </w:r>
        <w:r>
          <w:rPr>
            <w:bCs/>
            <w:webHidden/>
          </w:rPr>
          <w:fldChar w:fldCharType="end"/>
        </w:r>
      </w:hyperlink>
    </w:p>
    <w:p w14:paraId="2820F2AE" w14:textId="7DA844A9" w:rsidR="00D515E8" w:rsidRPr="00FE0011" w:rsidRDefault="00D515E8" w:rsidP="00DD7712">
      <w:pPr>
        <w:pStyle w:val="TOC2"/>
        <w:rPr>
          <w:bCs/>
          <w:kern w:val="2"/>
          <w14:ligatures w14:val="standardContextual"/>
        </w:rPr>
      </w:pPr>
      <w:hyperlink w:anchor="_Toc225507734" w:history="1">
        <w:r>
          <w:rPr>
            <w:rStyle w:val="Hyperlink"/>
            <w:bCs/>
            <w14:scene3d>
              <w14:camera w14:prst="orthographicFront"/>
              <w14:lightRig w14:rig="threePt" w14:dir="t">
                <w14:rot w14:lat="0" w14:lon="0" w14:rev="0"/>
              </w14:lightRig>
            </w14:scene3d>
          </w:rPr>
          <w:t xml:space="preserve">Appendix A-9 </w:t>
        </w:r>
        <w:r>
          <w:rPr>
            <w:rStyle w:val="Hyperlink"/>
            <w:bCs/>
          </w:rPr>
          <w:t>Single IRB Studies…………………………………………</w:t>
        </w:r>
        <w:r w:rsidR="009302F8">
          <w:rPr>
            <w:rStyle w:val="Hyperlink"/>
            <w:bCs/>
          </w:rPr>
          <w:t>…………………………………</w:t>
        </w:r>
        <w:r>
          <w:rPr>
            <w:rStyle w:val="Hyperlink"/>
            <w:bCs/>
          </w:rPr>
          <w:t>………………</w:t>
        </w:r>
        <w:r w:rsidR="009302F8">
          <w:rPr>
            <w:rStyle w:val="Hyperlink"/>
            <w:bCs/>
          </w:rPr>
          <w:t>.</w:t>
        </w:r>
        <w:r>
          <w:rPr>
            <w:rStyle w:val="Hyperlink"/>
            <w:bCs/>
          </w:rPr>
          <w:t xml:space="preserve">… </w:t>
        </w:r>
        <w:r>
          <w:rPr>
            <w:bCs/>
            <w:webHidden/>
          </w:rPr>
          <w:fldChar w:fldCharType="begin"/>
        </w:r>
        <w:r>
          <w:rPr>
            <w:bCs/>
            <w:webHidden/>
          </w:rPr>
          <w:instrText xml:space="preserve"> PAGEREF _Toc225507734 \h </w:instrText>
        </w:r>
        <w:r>
          <w:rPr>
            <w:bCs/>
            <w:webHidden/>
          </w:rPr>
        </w:r>
        <w:r>
          <w:rPr>
            <w:bCs/>
            <w:webHidden/>
          </w:rPr>
          <w:fldChar w:fldCharType="separate"/>
        </w:r>
        <w:r w:rsidR="003E42DE">
          <w:rPr>
            <w:bCs/>
            <w:webHidden/>
          </w:rPr>
          <w:t>61</w:t>
        </w:r>
        <w:r>
          <w:rPr>
            <w:bCs/>
            <w:webHidden/>
          </w:rPr>
          <w:fldChar w:fldCharType="end"/>
        </w:r>
      </w:hyperlink>
    </w:p>
    <w:p w14:paraId="130AB676" w14:textId="46269C2D" w:rsidR="00D515E8" w:rsidRPr="00FE0011" w:rsidRDefault="00D515E8" w:rsidP="00DD7712">
      <w:pPr>
        <w:pStyle w:val="TOC2"/>
        <w:rPr>
          <w:bCs/>
          <w:kern w:val="2"/>
          <w14:ligatures w14:val="standardContextual"/>
        </w:rPr>
      </w:pPr>
      <w:hyperlink w:anchor="_Toc225507735" w:history="1">
        <w:r>
          <w:rPr>
            <w:rStyle w:val="Hyperlink"/>
            <w:bCs/>
            <w14:scene3d>
              <w14:camera w14:prst="orthographicFront"/>
              <w14:lightRig w14:rig="threePt" w14:dir="t">
                <w14:rot w14:lat="0" w14:lon="0" w14:rev="0"/>
              </w14:lightRig>
            </w14:scene3d>
          </w:rPr>
          <w:t xml:space="preserve">Appendix A-10 </w:t>
        </w:r>
        <w:r>
          <w:rPr>
            <w:rStyle w:val="Hyperlink"/>
            <w:bCs/>
          </w:rPr>
          <w:t>Additional Requirements for Research Subject to EU General Data Protection Regulations (GDPR)………………………………………………</w:t>
        </w:r>
        <w:r w:rsidR="009302F8">
          <w:rPr>
            <w:rStyle w:val="Hyperlink"/>
            <w:bCs/>
          </w:rPr>
          <w:t>………………………………………………….</w:t>
        </w:r>
        <w:r>
          <w:rPr>
            <w:rStyle w:val="Hyperlink"/>
            <w:bCs/>
          </w:rPr>
          <w:t xml:space="preserve">……………... </w:t>
        </w:r>
        <w:r>
          <w:rPr>
            <w:bCs/>
            <w:webHidden/>
          </w:rPr>
          <w:fldChar w:fldCharType="begin"/>
        </w:r>
        <w:r>
          <w:rPr>
            <w:bCs/>
            <w:webHidden/>
          </w:rPr>
          <w:instrText xml:space="preserve"> PAGEREF _Toc225507735 \h </w:instrText>
        </w:r>
        <w:r>
          <w:rPr>
            <w:bCs/>
            <w:webHidden/>
          </w:rPr>
        </w:r>
        <w:r>
          <w:rPr>
            <w:bCs/>
            <w:webHidden/>
          </w:rPr>
          <w:fldChar w:fldCharType="separate"/>
        </w:r>
        <w:r w:rsidR="003E42DE">
          <w:rPr>
            <w:bCs/>
            <w:webHidden/>
          </w:rPr>
          <w:t>62</w:t>
        </w:r>
        <w:r>
          <w:rPr>
            <w:bCs/>
            <w:webHidden/>
          </w:rPr>
          <w:fldChar w:fldCharType="end"/>
        </w:r>
      </w:hyperlink>
    </w:p>
    <w:p w14:paraId="1D0677A7" w14:textId="5336177F" w:rsidR="00D515E8" w:rsidRPr="00FE0011" w:rsidRDefault="00D515E8" w:rsidP="00DD7712">
      <w:pPr>
        <w:pStyle w:val="TOC2"/>
        <w:rPr>
          <w:rStyle w:val="Hyperlink"/>
          <w:bCs/>
        </w:rPr>
      </w:pPr>
      <w:hyperlink w:anchor="_Toc225507736" w:history="1">
        <w:r>
          <w:rPr>
            <w:rStyle w:val="Hyperlink"/>
            <w:bCs/>
            <w14:scene3d>
              <w14:camera w14:prst="orthographicFront"/>
              <w14:lightRig w14:rig="threePt" w14:dir="t">
                <w14:rot w14:lat="0" w14:lon="0" w14:rev="0"/>
              </w14:lightRig>
            </w14:scene3d>
          </w:rPr>
          <w:t xml:space="preserve">Appendix A-11 </w:t>
        </w:r>
        <w:r>
          <w:rPr>
            <w:rStyle w:val="Hyperlink"/>
            <w:bCs/>
          </w:rPr>
          <w:t>Emergency/Disaster Preparedness Considerations for Investigators Conducting Human Research ……………………………………………</w:t>
        </w:r>
        <w:r w:rsidR="009302F8">
          <w:rPr>
            <w:rStyle w:val="Hyperlink"/>
            <w:bCs/>
          </w:rPr>
          <w:t>……………………………………………………</w:t>
        </w:r>
        <w:r>
          <w:rPr>
            <w:rStyle w:val="Hyperlink"/>
            <w:bCs/>
          </w:rPr>
          <w:t>…………………..</w:t>
        </w:r>
        <w:r>
          <w:rPr>
            <w:bCs/>
            <w:webHidden/>
          </w:rPr>
          <w:fldChar w:fldCharType="begin"/>
        </w:r>
        <w:r>
          <w:rPr>
            <w:bCs/>
            <w:webHidden/>
          </w:rPr>
          <w:instrText xml:space="preserve"> PAGEREF _Toc225507736 \h </w:instrText>
        </w:r>
        <w:r>
          <w:rPr>
            <w:bCs/>
            <w:webHidden/>
          </w:rPr>
        </w:r>
        <w:r>
          <w:rPr>
            <w:bCs/>
            <w:webHidden/>
          </w:rPr>
          <w:fldChar w:fldCharType="separate"/>
        </w:r>
        <w:r w:rsidR="003E42DE">
          <w:rPr>
            <w:bCs/>
            <w:webHidden/>
          </w:rPr>
          <w:t>63</w:t>
        </w:r>
        <w:r>
          <w:rPr>
            <w:bCs/>
            <w:webHidden/>
          </w:rPr>
          <w:fldChar w:fldCharType="end"/>
        </w:r>
      </w:hyperlink>
    </w:p>
    <w:p w14:paraId="1C2910A5" w14:textId="77777777" w:rsidR="000D00DC" w:rsidRPr="00FE0011" w:rsidRDefault="000D00DC" w:rsidP="000D00DC">
      <w:pPr>
        <w:rPr>
          <w:noProof/>
        </w:rPr>
      </w:pPr>
    </w:p>
    <w:p w14:paraId="6E704EA6" w14:textId="20691FEE" w:rsidR="00D515E8" w:rsidRPr="00FE0011" w:rsidRDefault="00D515E8" w:rsidP="000D00DC">
      <w:pPr>
        <w:pStyle w:val="TOC1"/>
        <w:rPr>
          <w:kern w:val="2"/>
          <w:sz w:val="22"/>
          <w:szCs w:val="22"/>
          <w14:ligatures w14:val="standardContextual"/>
        </w:rPr>
      </w:pPr>
      <w:hyperlink w:anchor="_Toc225507737" w:history="1">
        <w:r>
          <w:rPr>
            <w:rStyle w:val="Hyperlink"/>
            <w:b w:val="0"/>
            <w:sz w:val="22"/>
            <w:szCs w:val="22"/>
          </w:rPr>
          <w:t>B Appendices: Human Research Protection Program Policies</w:t>
        </w:r>
        <w:r>
          <w:rPr>
            <w:webHidden/>
            <w:sz w:val="22"/>
            <w:szCs w:val="22"/>
          </w:rPr>
          <w:tab/>
        </w:r>
        <w:r>
          <w:rPr>
            <w:b w:val="0"/>
            <w:bCs/>
            <w:webHidden/>
            <w:sz w:val="22"/>
            <w:szCs w:val="22"/>
          </w:rPr>
          <w:fldChar w:fldCharType="begin"/>
        </w:r>
        <w:r>
          <w:rPr>
            <w:b w:val="0"/>
            <w:bCs/>
            <w:webHidden/>
            <w:sz w:val="22"/>
            <w:szCs w:val="22"/>
          </w:rPr>
          <w:instrText xml:space="preserve"> PAGEREF _Toc225507737 \h </w:instrText>
        </w:r>
        <w:r>
          <w:rPr>
            <w:b w:val="0"/>
            <w:bCs/>
            <w:webHidden/>
            <w:sz w:val="22"/>
            <w:szCs w:val="22"/>
          </w:rPr>
        </w:r>
        <w:r>
          <w:rPr>
            <w:b w:val="0"/>
            <w:bCs/>
            <w:webHidden/>
            <w:sz w:val="22"/>
            <w:szCs w:val="22"/>
          </w:rPr>
          <w:fldChar w:fldCharType="separate"/>
        </w:r>
        <w:r w:rsidR="003E42DE">
          <w:rPr>
            <w:b w:val="0"/>
            <w:bCs/>
            <w:webHidden/>
            <w:sz w:val="22"/>
            <w:szCs w:val="22"/>
          </w:rPr>
          <w:t>65</w:t>
        </w:r>
        <w:r>
          <w:rPr>
            <w:b w:val="0"/>
            <w:bCs/>
            <w:webHidden/>
            <w:sz w:val="22"/>
            <w:szCs w:val="22"/>
          </w:rPr>
          <w:fldChar w:fldCharType="end"/>
        </w:r>
      </w:hyperlink>
    </w:p>
    <w:p w14:paraId="658625CC" w14:textId="5E358CB9" w:rsidR="00D515E8" w:rsidRPr="00FE0011" w:rsidRDefault="00D515E8" w:rsidP="00DD7712">
      <w:pPr>
        <w:pStyle w:val="TOC2"/>
        <w:rPr>
          <w:bCs/>
          <w:kern w:val="2"/>
          <w14:ligatures w14:val="standardContextual"/>
        </w:rPr>
      </w:pPr>
      <w:hyperlink w:anchor="_Toc225507738" w:history="1">
        <w:r>
          <w:rPr>
            <w:rStyle w:val="Hyperlink"/>
            <w:bCs/>
          </w:rPr>
          <w:t>Appendix-B1Research Involving Human Subjects</w:t>
        </w:r>
        <w:r>
          <w:rPr>
            <w:bCs/>
            <w:webHidden/>
          </w:rPr>
          <w:tab/>
        </w:r>
        <w:r>
          <w:rPr>
            <w:bCs/>
            <w:webHidden/>
          </w:rPr>
          <w:fldChar w:fldCharType="begin"/>
        </w:r>
        <w:r>
          <w:rPr>
            <w:bCs/>
            <w:webHidden/>
          </w:rPr>
          <w:instrText xml:space="preserve"> PAGEREF _Toc225507738 \h </w:instrText>
        </w:r>
        <w:r>
          <w:rPr>
            <w:bCs/>
            <w:webHidden/>
          </w:rPr>
        </w:r>
        <w:r>
          <w:rPr>
            <w:bCs/>
            <w:webHidden/>
          </w:rPr>
          <w:fldChar w:fldCharType="separate"/>
        </w:r>
        <w:r w:rsidR="003E42DE">
          <w:rPr>
            <w:bCs/>
            <w:webHidden/>
          </w:rPr>
          <w:t>65</w:t>
        </w:r>
        <w:r>
          <w:rPr>
            <w:bCs/>
            <w:webHidden/>
          </w:rPr>
          <w:fldChar w:fldCharType="end"/>
        </w:r>
      </w:hyperlink>
    </w:p>
    <w:p w14:paraId="6664E7BC" w14:textId="733E6E71" w:rsidR="00D515E8" w:rsidRPr="00FE0011" w:rsidRDefault="00D515E8" w:rsidP="00DD7712">
      <w:pPr>
        <w:pStyle w:val="TOC2"/>
        <w:rPr>
          <w:bCs/>
          <w:kern w:val="2"/>
          <w14:ligatures w14:val="standardContextual"/>
        </w:rPr>
      </w:pPr>
      <w:hyperlink w:anchor="_Toc225507739" w:history="1">
        <w:r>
          <w:rPr>
            <w:rStyle w:val="Hyperlink"/>
            <w:bCs/>
          </w:rPr>
          <w:t>Appendix B-2  Organizational Financial Conflicts of Interest</w:t>
        </w:r>
        <w:r>
          <w:rPr>
            <w:bCs/>
            <w:webHidden/>
          </w:rPr>
          <w:tab/>
        </w:r>
        <w:r>
          <w:rPr>
            <w:bCs/>
            <w:webHidden/>
          </w:rPr>
          <w:fldChar w:fldCharType="begin"/>
        </w:r>
        <w:r>
          <w:rPr>
            <w:bCs/>
            <w:webHidden/>
          </w:rPr>
          <w:instrText xml:space="preserve"> PAGEREF _Toc225507739 \h </w:instrText>
        </w:r>
        <w:r>
          <w:rPr>
            <w:bCs/>
            <w:webHidden/>
          </w:rPr>
        </w:r>
        <w:r>
          <w:rPr>
            <w:bCs/>
            <w:webHidden/>
          </w:rPr>
          <w:fldChar w:fldCharType="separate"/>
        </w:r>
        <w:r w:rsidR="003E42DE">
          <w:rPr>
            <w:bCs/>
            <w:webHidden/>
          </w:rPr>
          <w:t>73</w:t>
        </w:r>
        <w:r>
          <w:rPr>
            <w:bCs/>
            <w:webHidden/>
          </w:rPr>
          <w:fldChar w:fldCharType="end"/>
        </w:r>
      </w:hyperlink>
    </w:p>
    <w:p w14:paraId="481B1553" w14:textId="0ABF0AF8" w:rsidR="00D515E8" w:rsidRPr="00FE0011" w:rsidRDefault="00D515E8" w:rsidP="00DD7712">
      <w:pPr>
        <w:pStyle w:val="TOC2"/>
        <w:rPr>
          <w:bCs/>
          <w:kern w:val="2"/>
          <w14:ligatures w14:val="standardContextual"/>
        </w:rPr>
      </w:pPr>
      <w:hyperlink w:anchor="_Toc225507740" w:history="1">
        <w:r>
          <w:rPr>
            <w:rStyle w:val="Hyperlink"/>
            <w:bCs/>
          </w:rPr>
          <w:t xml:space="preserve">Appendix B-3  </w:t>
        </w:r>
        <w:r>
          <w:rPr>
            <w:rStyle w:val="Hyperlink"/>
            <w:bCs/>
            <w:smallCaps/>
          </w:rPr>
          <w:t>Noncompliance</w:t>
        </w:r>
        <w:r>
          <w:rPr>
            <w:bCs/>
            <w:webHidden/>
          </w:rPr>
          <w:tab/>
        </w:r>
        <w:r>
          <w:rPr>
            <w:bCs/>
            <w:webHidden/>
          </w:rPr>
          <w:fldChar w:fldCharType="begin"/>
        </w:r>
        <w:r>
          <w:rPr>
            <w:bCs/>
            <w:webHidden/>
          </w:rPr>
          <w:instrText xml:space="preserve"> PAGEREF _Toc225507740 \h </w:instrText>
        </w:r>
        <w:r>
          <w:rPr>
            <w:bCs/>
            <w:webHidden/>
          </w:rPr>
        </w:r>
        <w:r>
          <w:rPr>
            <w:bCs/>
            <w:webHidden/>
          </w:rPr>
          <w:fldChar w:fldCharType="separate"/>
        </w:r>
        <w:r w:rsidR="003E42DE">
          <w:rPr>
            <w:bCs/>
            <w:webHidden/>
          </w:rPr>
          <w:t>77</w:t>
        </w:r>
        <w:r>
          <w:rPr>
            <w:bCs/>
            <w:webHidden/>
          </w:rPr>
          <w:fldChar w:fldCharType="end"/>
        </w:r>
      </w:hyperlink>
    </w:p>
    <w:p w14:paraId="520DFEEC" w14:textId="534F3722" w:rsidR="00D515E8" w:rsidRPr="00FE0011" w:rsidRDefault="00D515E8" w:rsidP="00DD7712">
      <w:pPr>
        <w:pStyle w:val="TOC2"/>
        <w:rPr>
          <w:bCs/>
          <w:kern w:val="2"/>
          <w14:ligatures w14:val="standardContextual"/>
        </w:rPr>
      </w:pPr>
      <w:hyperlink w:anchor="_Toc225507741" w:history="1">
        <w:r>
          <w:rPr>
            <w:rStyle w:val="Hyperlink"/>
            <w:bCs/>
          </w:rPr>
          <w:t>Appendix B-4  Responsibilities of Principal Investigators,  Co-Investigators, and Key Personnel</w:t>
        </w:r>
        <w:r>
          <w:rPr>
            <w:bCs/>
            <w:webHidden/>
          </w:rPr>
          <w:tab/>
        </w:r>
        <w:r>
          <w:rPr>
            <w:bCs/>
            <w:webHidden/>
          </w:rPr>
          <w:fldChar w:fldCharType="begin"/>
        </w:r>
        <w:r>
          <w:rPr>
            <w:bCs/>
            <w:webHidden/>
          </w:rPr>
          <w:instrText xml:space="preserve"> PAGEREF _Toc225507741 \h </w:instrText>
        </w:r>
        <w:r>
          <w:rPr>
            <w:bCs/>
            <w:webHidden/>
          </w:rPr>
        </w:r>
        <w:r>
          <w:rPr>
            <w:bCs/>
            <w:webHidden/>
          </w:rPr>
          <w:fldChar w:fldCharType="separate"/>
        </w:r>
        <w:r w:rsidR="003E42DE">
          <w:rPr>
            <w:bCs/>
            <w:webHidden/>
          </w:rPr>
          <w:t>83</w:t>
        </w:r>
        <w:r>
          <w:rPr>
            <w:bCs/>
            <w:webHidden/>
          </w:rPr>
          <w:fldChar w:fldCharType="end"/>
        </w:r>
      </w:hyperlink>
    </w:p>
    <w:p w14:paraId="7DF9818B" w14:textId="094C573A" w:rsidR="00D515E8" w:rsidRPr="00FE0011" w:rsidRDefault="00D515E8" w:rsidP="00DD7712">
      <w:pPr>
        <w:pStyle w:val="TOC2"/>
        <w:rPr>
          <w:bCs/>
          <w:kern w:val="2"/>
          <w14:ligatures w14:val="standardContextual"/>
        </w:rPr>
      </w:pPr>
      <w:hyperlink w:anchor="_Toc225507742" w:history="1">
        <w:r>
          <w:rPr>
            <w:rStyle w:val="Hyperlink"/>
            <w:bCs/>
          </w:rPr>
          <w:t>Appendix B-5  HRPP Quality Improvement Activities</w:t>
        </w:r>
        <w:r>
          <w:rPr>
            <w:bCs/>
            <w:webHidden/>
          </w:rPr>
          <w:tab/>
        </w:r>
        <w:r>
          <w:rPr>
            <w:bCs/>
            <w:webHidden/>
          </w:rPr>
          <w:fldChar w:fldCharType="begin"/>
        </w:r>
        <w:r>
          <w:rPr>
            <w:bCs/>
            <w:webHidden/>
          </w:rPr>
          <w:instrText xml:space="preserve"> PAGEREF _Toc225507742 \h </w:instrText>
        </w:r>
        <w:r>
          <w:rPr>
            <w:bCs/>
            <w:webHidden/>
          </w:rPr>
        </w:r>
        <w:r>
          <w:rPr>
            <w:bCs/>
            <w:webHidden/>
          </w:rPr>
          <w:fldChar w:fldCharType="separate"/>
        </w:r>
        <w:r w:rsidR="003E42DE">
          <w:rPr>
            <w:bCs/>
            <w:webHidden/>
          </w:rPr>
          <w:t>88</w:t>
        </w:r>
        <w:r>
          <w:rPr>
            <w:bCs/>
            <w:webHidden/>
          </w:rPr>
          <w:fldChar w:fldCharType="end"/>
        </w:r>
      </w:hyperlink>
    </w:p>
    <w:p w14:paraId="67EB9B38" w14:textId="2EDC6733" w:rsidR="00D515E8" w:rsidRPr="00FE0011" w:rsidRDefault="00D515E8" w:rsidP="00DD7712">
      <w:pPr>
        <w:pStyle w:val="TOC2"/>
        <w:rPr>
          <w:bCs/>
          <w:kern w:val="2"/>
          <w14:ligatures w14:val="standardContextual"/>
        </w:rPr>
      </w:pPr>
      <w:hyperlink w:anchor="_Toc225507743" w:history="1">
        <w:r>
          <w:rPr>
            <w:rStyle w:val="Hyperlink"/>
            <w:bCs/>
          </w:rPr>
          <w:t>Appendix B-6  Exempt Research</w:t>
        </w:r>
        <w:r>
          <w:rPr>
            <w:bCs/>
            <w:webHidden/>
          </w:rPr>
          <w:tab/>
        </w:r>
        <w:r>
          <w:rPr>
            <w:bCs/>
            <w:webHidden/>
          </w:rPr>
          <w:fldChar w:fldCharType="begin"/>
        </w:r>
        <w:r>
          <w:rPr>
            <w:bCs/>
            <w:webHidden/>
          </w:rPr>
          <w:instrText xml:space="preserve"> PAGEREF _Toc225507743 \h </w:instrText>
        </w:r>
        <w:r>
          <w:rPr>
            <w:bCs/>
            <w:webHidden/>
          </w:rPr>
        </w:r>
        <w:r>
          <w:rPr>
            <w:bCs/>
            <w:webHidden/>
          </w:rPr>
          <w:fldChar w:fldCharType="separate"/>
        </w:r>
        <w:r w:rsidR="003E42DE">
          <w:rPr>
            <w:bCs/>
            <w:webHidden/>
          </w:rPr>
          <w:t>91</w:t>
        </w:r>
        <w:r>
          <w:rPr>
            <w:bCs/>
            <w:webHidden/>
          </w:rPr>
          <w:fldChar w:fldCharType="end"/>
        </w:r>
      </w:hyperlink>
    </w:p>
    <w:p w14:paraId="54AE9892" w14:textId="5650443A" w:rsidR="00D515E8" w:rsidRPr="00FE0011" w:rsidRDefault="00D515E8" w:rsidP="00DD7712">
      <w:pPr>
        <w:pStyle w:val="TOC2"/>
        <w:rPr>
          <w:bCs/>
          <w:kern w:val="2"/>
          <w14:ligatures w14:val="standardContextual"/>
        </w:rPr>
      </w:pPr>
      <w:hyperlink w:anchor="_Toc225507744" w:history="1">
        <w:r>
          <w:rPr>
            <w:rStyle w:val="Hyperlink"/>
            <w:bCs/>
          </w:rPr>
          <w:t>Appendix B-7  Board Assignment and Reviewer Assignment for Convened Review</w:t>
        </w:r>
        <w:r>
          <w:rPr>
            <w:bCs/>
            <w:webHidden/>
          </w:rPr>
          <w:tab/>
        </w:r>
        <w:r>
          <w:rPr>
            <w:bCs/>
            <w:webHidden/>
          </w:rPr>
          <w:fldChar w:fldCharType="begin"/>
        </w:r>
        <w:r>
          <w:rPr>
            <w:bCs/>
            <w:webHidden/>
          </w:rPr>
          <w:instrText xml:space="preserve"> PAGEREF _Toc225507744 \h </w:instrText>
        </w:r>
        <w:r>
          <w:rPr>
            <w:bCs/>
            <w:webHidden/>
          </w:rPr>
        </w:r>
        <w:r>
          <w:rPr>
            <w:bCs/>
            <w:webHidden/>
          </w:rPr>
          <w:fldChar w:fldCharType="separate"/>
        </w:r>
        <w:r w:rsidR="003E42DE">
          <w:rPr>
            <w:bCs/>
            <w:webHidden/>
          </w:rPr>
          <w:t>98</w:t>
        </w:r>
        <w:r>
          <w:rPr>
            <w:bCs/>
            <w:webHidden/>
          </w:rPr>
          <w:fldChar w:fldCharType="end"/>
        </w:r>
      </w:hyperlink>
    </w:p>
    <w:p w14:paraId="49200217" w14:textId="6A3385BC" w:rsidR="00D515E8" w:rsidRPr="00FE0011" w:rsidRDefault="00D515E8" w:rsidP="00DD7712">
      <w:pPr>
        <w:pStyle w:val="TOC2"/>
        <w:rPr>
          <w:bCs/>
          <w:kern w:val="2"/>
          <w14:ligatures w14:val="standardContextual"/>
        </w:rPr>
      </w:pPr>
      <w:hyperlink w:anchor="_Toc225507745" w:history="1">
        <w:r>
          <w:rPr>
            <w:rStyle w:val="Hyperlink"/>
            <w:bCs/>
          </w:rPr>
          <w:t>Appendix B-8  Review of Research by the Convened IRB</w:t>
        </w:r>
        <w:r>
          <w:rPr>
            <w:bCs/>
            <w:webHidden/>
          </w:rPr>
          <w:tab/>
        </w:r>
        <w:r>
          <w:rPr>
            <w:bCs/>
            <w:webHidden/>
          </w:rPr>
          <w:fldChar w:fldCharType="begin"/>
        </w:r>
        <w:r>
          <w:rPr>
            <w:bCs/>
            <w:webHidden/>
          </w:rPr>
          <w:instrText xml:space="preserve"> PAGEREF _Toc225507745 \h </w:instrText>
        </w:r>
        <w:r>
          <w:rPr>
            <w:bCs/>
            <w:webHidden/>
          </w:rPr>
        </w:r>
        <w:r>
          <w:rPr>
            <w:bCs/>
            <w:webHidden/>
          </w:rPr>
          <w:fldChar w:fldCharType="separate"/>
        </w:r>
        <w:r w:rsidR="003E42DE">
          <w:rPr>
            <w:bCs/>
            <w:webHidden/>
          </w:rPr>
          <w:t>103</w:t>
        </w:r>
        <w:r>
          <w:rPr>
            <w:bCs/>
            <w:webHidden/>
          </w:rPr>
          <w:fldChar w:fldCharType="end"/>
        </w:r>
      </w:hyperlink>
    </w:p>
    <w:p w14:paraId="6BFCF928" w14:textId="37EEBAF7" w:rsidR="00D515E8" w:rsidRPr="00FE0011" w:rsidRDefault="00D515E8" w:rsidP="00DD7712">
      <w:pPr>
        <w:pStyle w:val="TOC2"/>
        <w:rPr>
          <w:bCs/>
          <w:kern w:val="2"/>
          <w14:ligatures w14:val="standardContextual"/>
        </w:rPr>
      </w:pPr>
      <w:hyperlink w:anchor="_Toc225507746" w:history="1">
        <w:r>
          <w:rPr>
            <w:rStyle w:val="Hyperlink"/>
            <w:bCs/>
          </w:rPr>
          <w:t>Appendix B-9  RB Actions and Communications</w:t>
        </w:r>
        <w:r>
          <w:rPr>
            <w:bCs/>
            <w:webHidden/>
          </w:rPr>
          <w:tab/>
        </w:r>
        <w:r>
          <w:rPr>
            <w:bCs/>
            <w:webHidden/>
          </w:rPr>
          <w:fldChar w:fldCharType="begin"/>
        </w:r>
        <w:r>
          <w:rPr>
            <w:bCs/>
            <w:webHidden/>
          </w:rPr>
          <w:instrText xml:space="preserve"> PAGEREF _Toc225507746 \h </w:instrText>
        </w:r>
        <w:r>
          <w:rPr>
            <w:bCs/>
            <w:webHidden/>
          </w:rPr>
        </w:r>
        <w:r>
          <w:rPr>
            <w:bCs/>
            <w:webHidden/>
          </w:rPr>
          <w:fldChar w:fldCharType="separate"/>
        </w:r>
        <w:r w:rsidR="003E42DE">
          <w:rPr>
            <w:bCs/>
            <w:webHidden/>
          </w:rPr>
          <w:t>111</w:t>
        </w:r>
        <w:r>
          <w:rPr>
            <w:bCs/>
            <w:webHidden/>
          </w:rPr>
          <w:fldChar w:fldCharType="end"/>
        </w:r>
      </w:hyperlink>
    </w:p>
    <w:p w14:paraId="62EF5456" w14:textId="4F0D1109" w:rsidR="00D515E8" w:rsidRPr="00FE0011" w:rsidRDefault="00D515E8" w:rsidP="00DD7712">
      <w:pPr>
        <w:pStyle w:val="TOC2"/>
        <w:rPr>
          <w:bCs/>
          <w:kern w:val="2"/>
          <w14:ligatures w14:val="standardContextual"/>
        </w:rPr>
      </w:pPr>
      <w:hyperlink w:anchor="_Toc225507747" w:history="1">
        <w:r>
          <w:rPr>
            <w:rStyle w:val="Hyperlink"/>
            <w:bCs/>
          </w:rPr>
          <w:t>Appendix B-10   Expedited and Administrative Review Procedures</w:t>
        </w:r>
        <w:r>
          <w:rPr>
            <w:bCs/>
            <w:webHidden/>
          </w:rPr>
          <w:tab/>
        </w:r>
        <w:r>
          <w:rPr>
            <w:bCs/>
            <w:webHidden/>
          </w:rPr>
          <w:fldChar w:fldCharType="begin"/>
        </w:r>
        <w:r>
          <w:rPr>
            <w:bCs/>
            <w:webHidden/>
          </w:rPr>
          <w:instrText xml:space="preserve"> PAGEREF _Toc225507747 \h </w:instrText>
        </w:r>
        <w:r>
          <w:rPr>
            <w:bCs/>
            <w:webHidden/>
          </w:rPr>
        </w:r>
        <w:r>
          <w:rPr>
            <w:bCs/>
            <w:webHidden/>
          </w:rPr>
          <w:fldChar w:fldCharType="separate"/>
        </w:r>
        <w:r w:rsidR="003E42DE">
          <w:rPr>
            <w:bCs/>
            <w:webHidden/>
          </w:rPr>
          <w:t>117</w:t>
        </w:r>
        <w:r>
          <w:rPr>
            <w:bCs/>
            <w:webHidden/>
          </w:rPr>
          <w:fldChar w:fldCharType="end"/>
        </w:r>
      </w:hyperlink>
    </w:p>
    <w:p w14:paraId="12835B29" w14:textId="70758586" w:rsidR="00D515E8" w:rsidRPr="00FE0011" w:rsidRDefault="00D515E8" w:rsidP="00DD7712">
      <w:pPr>
        <w:pStyle w:val="TOC2"/>
        <w:rPr>
          <w:bCs/>
          <w:kern w:val="2"/>
          <w14:ligatures w14:val="standardContextual"/>
        </w:rPr>
      </w:pPr>
      <w:hyperlink w:anchor="_Toc225507748" w:history="1">
        <w:r>
          <w:rPr>
            <w:rStyle w:val="Hyperlink"/>
            <w:bCs/>
          </w:rPr>
          <w:t>Appendix B-11   Suspension and Termination of IRB-Approved Research……………</w:t>
        </w:r>
        <w:r>
          <w:rPr>
            <w:bCs/>
            <w:webHidden/>
          </w:rPr>
          <w:fldChar w:fldCharType="begin"/>
        </w:r>
        <w:r>
          <w:rPr>
            <w:bCs/>
            <w:webHidden/>
          </w:rPr>
          <w:instrText xml:space="preserve"> PAGEREF _Toc225507748 \h </w:instrText>
        </w:r>
        <w:r>
          <w:rPr>
            <w:bCs/>
            <w:webHidden/>
          </w:rPr>
        </w:r>
        <w:r>
          <w:rPr>
            <w:bCs/>
            <w:webHidden/>
          </w:rPr>
          <w:fldChar w:fldCharType="separate"/>
        </w:r>
        <w:r w:rsidR="003E42DE">
          <w:rPr>
            <w:bCs/>
            <w:webHidden/>
          </w:rPr>
          <w:t>129</w:t>
        </w:r>
        <w:r>
          <w:rPr>
            <w:bCs/>
            <w:webHidden/>
          </w:rPr>
          <w:fldChar w:fldCharType="end"/>
        </w:r>
      </w:hyperlink>
    </w:p>
    <w:p w14:paraId="544CE74B" w14:textId="2617E983" w:rsidR="00D515E8" w:rsidRPr="00FE0011" w:rsidRDefault="00D515E8" w:rsidP="00DD7712">
      <w:pPr>
        <w:pStyle w:val="TOC2"/>
        <w:rPr>
          <w:bCs/>
          <w:kern w:val="2"/>
          <w14:ligatures w14:val="standardContextual"/>
        </w:rPr>
      </w:pPr>
      <w:hyperlink w:anchor="_Toc225507749" w:history="1">
        <w:r>
          <w:rPr>
            <w:rStyle w:val="Hyperlink"/>
            <w:bCs/>
          </w:rPr>
          <w:t>Appendix B-12  Recruiting Methods, Recruitment Materials, and Participant Compensation</w:t>
        </w:r>
        <w:r>
          <w:rPr>
            <w:bCs/>
            <w:webHidden/>
          </w:rPr>
          <w:t xml:space="preserve"> ………………………………………………………………………………...</w:t>
        </w:r>
        <w:r>
          <w:rPr>
            <w:bCs/>
            <w:webHidden/>
          </w:rPr>
          <w:fldChar w:fldCharType="begin"/>
        </w:r>
        <w:r>
          <w:rPr>
            <w:bCs/>
            <w:webHidden/>
          </w:rPr>
          <w:instrText xml:space="preserve"> PAGEREF _Toc225507749 \h </w:instrText>
        </w:r>
        <w:r>
          <w:rPr>
            <w:bCs/>
            <w:webHidden/>
          </w:rPr>
        </w:r>
        <w:r>
          <w:rPr>
            <w:bCs/>
            <w:webHidden/>
          </w:rPr>
          <w:fldChar w:fldCharType="separate"/>
        </w:r>
        <w:r w:rsidR="003E42DE">
          <w:rPr>
            <w:bCs/>
            <w:webHidden/>
          </w:rPr>
          <w:t>132</w:t>
        </w:r>
        <w:r>
          <w:rPr>
            <w:bCs/>
            <w:webHidden/>
          </w:rPr>
          <w:fldChar w:fldCharType="end"/>
        </w:r>
      </w:hyperlink>
    </w:p>
    <w:p w14:paraId="25521951" w14:textId="2DF71925" w:rsidR="00D515E8" w:rsidRPr="00FE0011" w:rsidRDefault="00D515E8" w:rsidP="00DD7712">
      <w:pPr>
        <w:pStyle w:val="TOC2"/>
        <w:rPr>
          <w:bCs/>
          <w:kern w:val="2"/>
          <w14:ligatures w14:val="standardContextual"/>
        </w:rPr>
      </w:pPr>
      <w:hyperlink w:anchor="_Toc225507750" w:history="1">
        <w:r>
          <w:rPr>
            <w:rStyle w:val="Hyperlink"/>
            <w:bCs/>
          </w:rPr>
          <w:t>Appendix B-13  Privacy and Confidentiality</w:t>
        </w:r>
        <w:r>
          <w:rPr>
            <w:bCs/>
            <w:webHidden/>
          </w:rPr>
          <w:tab/>
        </w:r>
        <w:r>
          <w:rPr>
            <w:bCs/>
            <w:webHidden/>
          </w:rPr>
          <w:fldChar w:fldCharType="begin"/>
        </w:r>
        <w:r>
          <w:rPr>
            <w:bCs/>
            <w:webHidden/>
          </w:rPr>
          <w:instrText xml:space="preserve"> PAGEREF _Toc225507750 \h </w:instrText>
        </w:r>
        <w:r>
          <w:rPr>
            <w:bCs/>
            <w:webHidden/>
          </w:rPr>
        </w:r>
        <w:r>
          <w:rPr>
            <w:bCs/>
            <w:webHidden/>
          </w:rPr>
          <w:fldChar w:fldCharType="separate"/>
        </w:r>
        <w:r w:rsidR="003E42DE">
          <w:rPr>
            <w:bCs/>
            <w:webHidden/>
          </w:rPr>
          <w:t>138</w:t>
        </w:r>
        <w:r>
          <w:rPr>
            <w:bCs/>
            <w:webHidden/>
          </w:rPr>
          <w:fldChar w:fldCharType="end"/>
        </w:r>
      </w:hyperlink>
    </w:p>
    <w:p w14:paraId="59A1EF92" w14:textId="54A6CB92" w:rsidR="00D515E8" w:rsidRPr="00FE0011" w:rsidRDefault="00D515E8" w:rsidP="00DD7712">
      <w:pPr>
        <w:pStyle w:val="TOC2"/>
        <w:rPr>
          <w:bCs/>
          <w:kern w:val="2"/>
          <w14:ligatures w14:val="standardContextual"/>
        </w:rPr>
      </w:pPr>
      <w:hyperlink w:anchor="_Toc225507751" w:history="1">
        <w:r>
          <w:rPr>
            <w:rStyle w:val="Hyperlink"/>
            <w:bCs/>
          </w:rPr>
          <w:t>Appendix B-14  Informed C</w:t>
        </w:r>
        <w:r>
          <w:rPr>
            <w:rStyle w:val="Hyperlink"/>
            <w:bCs/>
          </w:rPr>
          <w:t>o</w:t>
        </w:r>
        <w:r>
          <w:rPr>
            <w:rStyle w:val="Hyperlink"/>
            <w:bCs/>
          </w:rPr>
          <w:t>nsent Process and the Eleme</w:t>
        </w:r>
        <w:r>
          <w:rPr>
            <w:rStyle w:val="Hyperlink"/>
            <w:bCs/>
          </w:rPr>
          <w:t>n</w:t>
        </w:r>
        <w:r>
          <w:rPr>
            <w:rStyle w:val="Hyperlink"/>
            <w:bCs/>
          </w:rPr>
          <w:t>ts of Informed Consent</w:t>
        </w:r>
        <w:r>
          <w:rPr>
            <w:bCs/>
            <w:webHidden/>
          </w:rPr>
          <w:tab/>
        </w:r>
        <w:r>
          <w:rPr>
            <w:bCs/>
            <w:webHidden/>
          </w:rPr>
          <w:fldChar w:fldCharType="begin"/>
        </w:r>
        <w:r>
          <w:rPr>
            <w:bCs/>
            <w:webHidden/>
          </w:rPr>
          <w:instrText xml:space="preserve"> PAGEREF _Toc225507751 \h </w:instrText>
        </w:r>
        <w:r>
          <w:rPr>
            <w:bCs/>
            <w:webHidden/>
          </w:rPr>
        </w:r>
        <w:r>
          <w:rPr>
            <w:bCs/>
            <w:webHidden/>
          </w:rPr>
          <w:fldChar w:fldCharType="separate"/>
        </w:r>
        <w:r w:rsidR="003E42DE">
          <w:rPr>
            <w:bCs/>
            <w:webHidden/>
          </w:rPr>
          <w:t>142</w:t>
        </w:r>
        <w:r>
          <w:rPr>
            <w:bCs/>
            <w:webHidden/>
          </w:rPr>
          <w:fldChar w:fldCharType="end"/>
        </w:r>
      </w:hyperlink>
    </w:p>
    <w:p w14:paraId="3470A841" w14:textId="323BD05F" w:rsidR="00D515E8" w:rsidRPr="00FE0011" w:rsidRDefault="00D515E8" w:rsidP="00DD7712">
      <w:pPr>
        <w:pStyle w:val="TOC2"/>
        <w:rPr>
          <w:bCs/>
          <w:kern w:val="2"/>
          <w14:ligatures w14:val="standardContextual"/>
        </w:rPr>
      </w:pPr>
      <w:hyperlink w:anchor="_Toc225507752" w:history="1">
        <w:r>
          <w:rPr>
            <w:rStyle w:val="Hyperlink"/>
            <w:bCs/>
          </w:rPr>
          <w:t xml:space="preserve">Appendix B-15 Documentation </w:t>
        </w:r>
        <w:r>
          <w:rPr>
            <w:rStyle w:val="Hyperlink"/>
            <w:bCs/>
          </w:rPr>
          <w:t>o</w:t>
        </w:r>
        <w:r>
          <w:rPr>
            <w:rStyle w:val="Hyperlink"/>
            <w:bCs/>
          </w:rPr>
          <w:t>f the Informed Consent Process</w:t>
        </w:r>
        <w:r>
          <w:rPr>
            <w:bCs/>
            <w:webHidden/>
          </w:rPr>
          <w:tab/>
        </w:r>
        <w:r>
          <w:rPr>
            <w:bCs/>
            <w:webHidden/>
          </w:rPr>
          <w:fldChar w:fldCharType="begin"/>
        </w:r>
        <w:r>
          <w:rPr>
            <w:bCs/>
            <w:webHidden/>
          </w:rPr>
          <w:instrText xml:space="preserve"> PAGEREF _Toc225507752 \h </w:instrText>
        </w:r>
        <w:r>
          <w:rPr>
            <w:bCs/>
            <w:webHidden/>
          </w:rPr>
        </w:r>
        <w:r>
          <w:rPr>
            <w:bCs/>
            <w:webHidden/>
          </w:rPr>
          <w:fldChar w:fldCharType="separate"/>
        </w:r>
        <w:r w:rsidR="003E42DE">
          <w:rPr>
            <w:bCs/>
            <w:webHidden/>
          </w:rPr>
          <w:t>149</w:t>
        </w:r>
        <w:r>
          <w:rPr>
            <w:bCs/>
            <w:webHidden/>
          </w:rPr>
          <w:fldChar w:fldCharType="end"/>
        </w:r>
      </w:hyperlink>
    </w:p>
    <w:p w14:paraId="60F394E3" w14:textId="4145ED2E" w:rsidR="00D515E8" w:rsidRPr="00FE0011" w:rsidRDefault="00D515E8" w:rsidP="00DD7712">
      <w:pPr>
        <w:pStyle w:val="TOC2"/>
        <w:rPr>
          <w:bCs/>
          <w:kern w:val="2"/>
          <w14:ligatures w14:val="standardContextual"/>
        </w:rPr>
      </w:pPr>
      <w:hyperlink w:anchor="_Toc225507753" w:history="1">
        <w:r>
          <w:rPr>
            <w:rStyle w:val="Hyperlink"/>
            <w:bCs/>
          </w:rPr>
          <w:t>Appendix B-16 Assent and Parental Permission………………………………………….</w:t>
        </w:r>
        <w:r>
          <w:rPr>
            <w:bCs/>
            <w:webHidden/>
          </w:rPr>
          <w:fldChar w:fldCharType="begin"/>
        </w:r>
        <w:r>
          <w:rPr>
            <w:bCs/>
            <w:webHidden/>
          </w:rPr>
          <w:instrText xml:space="preserve"> PAGEREF _Toc225507753 \h </w:instrText>
        </w:r>
        <w:r>
          <w:rPr>
            <w:bCs/>
            <w:webHidden/>
          </w:rPr>
        </w:r>
        <w:r>
          <w:rPr>
            <w:bCs/>
            <w:webHidden/>
          </w:rPr>
          <w:fldChar w:fldCharType="separate"/>
        </w:r>
        <w:r w:rsidR="003E42DE">
          <w:rPr>
            <w:bCs/>
            <w:webHidden/>
          </w:rPr>
          <w:t>153</w:t>
        </w:r>
        <w:r>
          <w:rPr>
            <w:bCs/>
            <w:webHidden/>
          </w:rPr>
          <w:fldChar w:fldCharType="end"/>
        </w:r>
      </w:hyperlink>
    </w:p>
    <w:p w14:paraId="7BA3A90B" w14:textId="121D1100" w:rsidR="00D515E8" w:rsidRPr="00FE0011" w:rsidRDefault="00D515E8" w:rsidP="00DD7712">
      <w:pPr>
        <w:pStyle w:val="TOC2"/>
        <w:rPr>
          <w:bCs/>
          <w:kern w:val="2"/>
          <w14:ligatures w14:val="standardContextual"/>
        </w:rPr>
      </w:pPr>
      <w:hyperlink w:anchor="_Toc225507754" w:history="1">
        <w:r>
          <w:rPr>
            <w:rStyle w:val="Hyperlink"/>
            <w:bCs/>
          </w:rPr>
          <w:t>Appendix B-17  Short Form Informed Consent</w:t>
        </w:r>
        <w:r>
          <w:rPr>
            <w:bCs/>
            <w:webHidden/>
          </w:rPr>
          <w:tab/>
        </w:r>
        <w:r>
          <w:rPr>
            <w:bCs/>
            <w:webHidden/>
          </w:rPr>
          <w:fldChar w:fldCharType="begin"/>
        </w:r>
        <w:r>
          <w:rPr>
            <w:bCs/>
            <w:webHidden/>
          </w:rPr>
          <w:instrText xml:space="preserve"> PAGEREF _Toc225507754 \h </w:instrText>
        </w:r>
        <w:r>
          <w:rPr>
            <w:bCs/>
            <w:webHidden/>
          </w:rPr>
        </w:r>
        <w:r>
          <w:rPr>
            <w:bCs/>
            <w:webHidden/>
          </w:rPr>
          <w:fldChar w:fldCharType="separate"/>
        </w:r>
        <w:r w:rsidR="003E42DE">
          <w:rPr>
            <w:bCs/>
            <w:webHidden/>
          </w:rPr>
          <w:t>159</w:t>
        </w:r>
        <w:r>
          <w:rPr>
            <w:bCs/>
            <w:webHidden/>
          </w:rPr>
          <w:fldChar w:fldCharType="end"/>
        </w:r>
      </w:hyperlink>
    </w:p>
    <w:p w14:paraId="5099105E" w14:textId="31EF147D" w:rsidR="00D515E8" w:rsidRPr="00FE0011" w:rsidRDefault="00D515E8" w:rsidP="00DD7712">
      <w:pPr>
        <w:pStyle w:val="TOC2"/>
        <w:rPr>
          <w:bCs/>
          <w:kern w:val="2"/>
          <w14:ligatures w14:val="standardContextual"/>
        </w:rPr>
      </w:pPr>
      <w:hyperlink w:anchor="_Toc225507755" w:history="1">
        <w:r>
          <w:rPr>
            <w:rStyle w:val="Hyperlink"/>
            <w:bCs/>
          </w:rPr>
          <w:t>Appendix B-18  Data and Safety Monitoring</w:t>
        </w:r>
        <w:r>
          <w:rPr>
            <w:bCs/>
            <w:webHidden/>
          </w:rPr>
          <w:tab/>
        </w:r>
        <w:r>
          <w:rPr>
            <w:bCs/>
            <w:webHidden/>
          </w:rPr>
          <w:fldChar w:fldCharType="begin"/>
        </w:r>
        <w:r>
          <w:rPr>
            <w:bCs/>
            <w:webHidden/>
          </w:rPr>
          <w:instrText xml:space="preserve"> PAGEREF _Toc225507755 \h </w:instrText>
        </w:r>
        <w:r>
          <w:rPr>
            <w:bCs/>
            <w:webHidden/>
          </w:rPr>
        </w:r>
        <w:r>
          <w:rPr>
            <w:bCs/>
            <w:webHidden/>
          </w:rPr>
          <w:fldChar w:fldCharType="separate"/>
        </w:r>
        <w:r w:rsidR="003E42DE">
          <w:rPr>
            <w:bCs/>
            <w:webHidden/>
          </w:rPr>
          <w:t>162</w:t>
        </w:r>
        <w:r>
          <w:rPr>
            <w:bCs/>
            <w:webHidden/>
          </w:rPr>
          <w:fldChar w:fldCharType="end"/>
        </w:r>
      </w:hyperlink>
    </w:p>
    <w:p w14:paraId="1B15CC47" w14:textId="4736D72C" w:rsidR="00D515E8" w:rsidRPr="00FE0011" w:rsidRDefault="00D515E8" w:rsidP="00DD7712">
      <w:pPr>
        <w:pStyle w:val="TOC2"/>
        <w:rPr>
          <w:bCs/>
          <w:kern w:val="2"/>
          <w14:ligatures w14:val="standardContextual"/>
        </w:rPr>
      </w:pPr>
      <w:hyperlink w:anchor="_Toc225507756" w:history="1">
        <w:r>
          <w:rPr>
            <w:rStyle w:val="Hyperlink"/>
            <w:bCs/>
          </w:rPr>
          <w:t xml:space="preserve">Appendix B-19  </w:t>
        </w:r>
        <w:r>
          <w:rPr>
            <w:bCs/>
            <w:kern w:val="2"/>
            <w14:ligatures w14:val="standardContextual"/>
          </w:rPr>
          <w:tab/>
        </w:r>
        <w:r>
          <w:rPr>
            <w:rStyle w:val="Hyperlink"/>
            <w:bCs/>
          </w:rPr>
          <w:t>Event Reporting- Unanticipated Problems Involving Risks to Subjects or Others, Adverse Events, and Other Problems</w:t>
        </w:r>
        <w:r>
          <w:rPr>
            <w:bCs/>
            <w:webHidden/>
          </w:rPr>
          <w:tab/>
        </w:r>
        <w:r>
          <w:rPr>
            <w:bCs/>
            <w:webHidden/>
          </w:rPr>
          <w:fldChar w:fldCharType="begin"/>
        </w:r>
        <w:r>
          <w:rPr>
            <w:bCs/>
            <w:webHidden/>
          </w:rPr>
          <w:instrText xml:space="preserve"> PAGEREF _Toc225507756 \h </w:instrText>
        </w:r>
        <w:r>
          <w:rPr>
            <w:bCs/>
            <w:webHidden/>
          </w:rPr>
        </w:r>
        <w:r>
          <w:rPr>
            <w:bCs/>
            <w:webHidden/>
          </w:rPr>
          <w:fldChar w:fldCharType="separate"/>
        </w:r>
        <w:r w:rsidR="003E42DE">
          <w:rPr>
            <w:bCs/>
            <w:webHidden/>
          </w:rPr>
          <w:t>166</w:t>
        </w:r>
        <w:r>
          <w:rPr>
            <w:bCs/>
            <w:webHidden/>
          </w:rPr>
          <w:fldChar w:fldCharType="end"/>
        </w:r>
      </w:hyperlink>
    </w:p>
    <w:p w14:paraId="2E4A8960" w14:textId="232593D4" w:rsidR="00D515E8" w:rsidRPr="00FE0011" w:rsidRDefault="00D515E8" w:rsidP="00DD7712">
      <w:pPr>
        <w:pStyle w:val="TOC2"/>
        <w:rPr>
          <w:bCs/>
          <w:kern w:val="2"/>
          <w14:ligatures w14:val="standardContextual"/>
        </w:rPr>
      </w:pPr>
      <w:hyperlink w:anchor="_Toc225507757" w:history="1">
        <w:r>
          <w:rPr>
            <w:rStyle w:val="Hyperlink"/>
            <w:bCs/>
          </w:rPr>
          <w:t>Appendix B-20  Research Involving Pregnant Women, Fetuses, or Neonates</w:t>
        </w:r>
        <w:r>
          <w:rPr>
            <w:bCs/>
            <w:webHidden/>
          </w:rPr>
          <w:tab/>
        </w:r>
        <w:r>
          <w:rPr>
            <w:bCs/>
            <w:webHidden/>
          </w:rPr>
          <w:fldChar w:fldCharType="begin"/>
        </w:r>
        <w:r>
          <w:rPr>
            <w:bCs/>
            <w:webHidden/>
          </w:rPr>
          <w:instrText xml:space="preserve"> PAGEREF _Toc225507757 \h </w:instrText>
        </w:r>
        <w:r>
          <w:rPr>
            <w:bCs/>
            <w:webHidden/>
          </w:rPr>
        </w:r>
        <w:r>
          <w:rPr>
            <w:bCs/>
            <w:webHidden/>
          </w:rPr>
          <w:fldChar w:fldCharType="separate"/>
        </w:r>
        <w:r w:rsidR="003E42DE">
          <w:rPr>
            <w:bCs/>
            <w:webHidden/>
          </w:rPr>
          <w:t>172</w:t>
        </w:r>
        <w:r>
          <w:rPr>
            <w:bCs/>
            <w:webHidden/>
          </w:rPr>
          <w:fldChar w:fldCharType="end"/>
        </w:r>
      </w:hyperlink>
    </w:p>
    <w:p w14:paraId="7C84E995" w14:textId="1860A7F7" w:rsidR="00D515E8" w:rsidRPr="00FE0011" w:rsidRDefault="00D515E8" w:rsidP="00DD7712">
      <w:pPr>
        <w:pStyle w:val="TOC2"/>
        <w:rPr>
          <w:bCs/>
          <w:kern w:val="2"/>
          <w14:ligatures w14:val="standardContextual"/>
        </w:rPr>
      </w:pPr>
      <w:hyperlink w:anchor="_Toc225507758" w:history="1">
        <w:r>
          <w:rPr>
            <w:rStyle w:val="Hyperlink"/>
            <w:bCs/>
          </w:rPr>
          <w:t>Appendix B-21  Research Involving Prisoners</w:t>
        </w:r>
        <w:r>
          <w:rPr>
            <w:bCs/>
            <w:webHidden/>
          </w:rPr>
          <w:tab/>
        </w:r>
        <w:r>
          <w:rPr>
            <w:bCs/>
            <w:webHidden/>
          </w:rPr>
          <w:fldChar w:fldCharType="begin"/>
        </w:r>
        <w:r>
          <w:rPr>
            <w:bCs/>
            <w:webHidden/>
          </w:rPr>
          <w:instrText xml:space="preserve"> PAGEREF _Toc225507758 \h </w:instrText>
        </w:r>
        <w:r>
          <w:rPr>
            <w:bCs/>
            <w:webHidden/>
          </w:rPr>
        </w:r>
        <w:r>
          <w:rPr>
            <w:bCs/>
            <w:webHidden/>
          </w:rPr>
          <w:fldChar w:fldCharType="separate"/>
        </w:r>
        <w:r w:rsidR="003E42DE">
          <w:rPr>
            <w:bCs/>
            <w:webHidden/>
          </w:rPr>
          <w:t>177</w:t>
        </w:r>
        <w:r>
          <w:rPr>
            <w:bCs/>
            <w:webHidden/>
          </w:rPr>
          <w:fldChar w:fldCharType="end"/>
        </w:r>
      </w:hyperlink>
    </w:p>
    <w:p w14:paraId="120204CC" w14:textId="7542DF82" w:rsidR="00D515E8" w:rsidRPr="00FE0011" w:rsidRDefault="00D515E8" w:rsidP="00DD7712">
      <w:pPr>
        <w:pStyle w:val="TOC2"/>
        <w:rPr>
          <w:bCs/>
          <w:kern w:val="2"/>
          <w14:ligatures w14:val="standardContextual"/>
        </w:rPr>
      </w:pPr>
      <w:hyperlink w:anchor="_Toc225507759" w:history="1">
        <w:r>
          <w:rPr>
            <w:rStyle w:val="Hyperlink"/>
            <w:bCs/>
          </w:rPr>
          <w:t>Appendix B-22  Research Involving Children</w:t>
        </w:r>
        <w:r>
          <w:rPr>
            <w:bCs/>
            <w:webHidden/>
          </w:rPr>
          <w:tab/>
        </w:r>
        <w:r>
          <w:rPr>
            <w:bCs/>
            <w:webHidden/>
          </w:rPr>
          <w:fldChar w:fldCharType="begin"/>
        </w:r>
        <w:r>
          <w:rPr>
            <w:bCs/>
            <w:webHidden/>
          </w:rPr>
          <w:instrText xml:space="preserve"> PAGEREF _Toc225507759 \h </w:instrText>
        </w:r>
        <w:r>
          <w:rPr>
            <w:bCs/>
            <w:webHidden/>
          </w:rPr>
        </w:r>
        <w:r>
          <w:rPr>
            <w:bCs/>
            <w:webHidden/>
          </w:rPr>
          <w:fldChar w:fldCharType="separate"/>
        </w:r>
        <w:r w:rsidR="003E42DE">
          <w:rPr>
            <w:bCs/>
            <w:webHidden/>
          </w:rPr>
          <w:t>182</w:t>
        </w:r>
        <w:r>
          <w:rPr>
            <w:bCs/>
            <w:webHidden/>
          </w:rPr>
          <w:fldChar w:fldCharType="end"/>
        </w:r>
      </w:hyperlink>
    </w:p>
    <w:p w14:paraId="727ECFC3" w14:textId="1A194AA8" w:rsidR="00D515E8" w:rsidRPr="00FE0011" w:rsidRDefault="00D515E8" w:rsidP="00DD7712">
      <w:pPr>
        <w:pStyle w:val="TOC2"/>
        <w:rPr>
          <w:bCs/>
          <w:kern w:val="2"/>
          <w14:ligatures w14:val="standardContextual"/>
        </w:rPr>
      </w:pPr>
      <w:hyperlink w:anchor="_Toc225507760" w:history="1">
        <w:r>
          <w:rPr>
            <w:rStyle w:val="Hyperlink"/>
            <w:bCs/>
          </w:rPr>
          <w:t xml:space="preserve">Appendix B-23  </w:t>
        </w:r>
        <w:r>
          <w:rPr>
            <w:bCs/>
            <w:kern w:val="2"/>
            <w14:ligatures w14:val="standardContextual"/>
          </w:rPr>
          <w:tab/>
        </w:r>
        <w:r>
          <w:rPr>
            <w:rStyle w:val="Hyperlink"/>
            <w:bCs/>
          </w:rPr>
          <w:t>Vulnerable Populations: Students, Employees, and Adults with Impaired Decision-Making Capacity</w:t>
        </w:r>
        <w:r>
          <w:rPr>
            <w:bCs/>
            <w:webHidden/>
          </w:rPr>
          <w:tab/>
        </w:r>
        <w:r>
          <w:rPr>
            <w:bCs/>
            <w:webHidden/>
          </w:rPr>
          <w:fldChar w:fldCharType="begin"/>
        </w:r>
        <w:r>
          <w:rPr>
            <w:bCs/>
            <w:webHidden/>
          </w:rPr>
          <w:instrText xml:space="preserve"> PAGEREF _Toc225507760 \h </w:instrText>
        </w:r>
        <w:r>
          <w:rPr>
            <w:bCs/>
            <w:webHidden/>
          </w:rPr>
        </w:r>
        <w:r>
          <w:rPr>
            <w:bCs/>
            <w:webHidden/>
          </w:rPr>
          <w:fldChar w:fldCharType="separate"/>
        </w:r>
        <w:r w:rsidR="003E42DE">
          <w:rPr>
            <w:bCs/>
            <w:webHidden/>
          </w:rPr>
          <w:t>187</w:t>
        </w:r>
        <w:r>
          <w:rPr>
            <w:bCs/>
            <w:webHidden/>
          </w:rPr>
          <w:fldChar w:fldCharType="end"/>
        </w:r>
      </w:hyperlink>
    </w:p>
    <w:p w14:paraId="05F55AE3" w14:textId="7A5CFBD4" w:rsidR="00D515E8" w:rsidRPr="00FE0011" w:rsidRDefault="00D515E8" w:rsidP="00DD7712">
      <w:pPr>
        <w:pStyle w:val="TOC2"/>
        <w:rPr>
          <w:bCs/>
          <w:kern w:val="2"/>
          <w14:ligatures w14:val="standardContextual"/>
        </w:rPr>
      </w:pPr>
      <w:hyperlink w:anchor="_Toc225507761" w:history="1">
        <w:r>
          <w:rPr>
            <w:rStyle w:val="Hyperlink"/>
            <w:bCs/>
            <w:kern w:val="32"/>
          </w:rPr>
          <w:t xml:space="preserve">Appendix B-24  </w:t>
        </w:r>
        <w:r>
          <w:rPr>
            <w:rStyle w:val="Hyperlink"/>
            <w:bCs/>
          </w:rPr>
          <w:t>Research Involving Investigational Drugs</w:t>
        </w:r>
        <w:r>
          <w:rPr>
            <w:bCs/>
            <w:webHidden/>
          </w:rPr>
          <w:tab/>
        </w:r>
        <w:r>
          <w:rPr>
            <w:bCs/>
            <w:webHidden/>
          </w:rPr>
          <w:fldChar w:fldCharType="begin"/>
        </w:r>
        <w:r>
          <w:rPr>
            <w:bCs/>
            <w:webHidden/>
          </w:rPr>
          <w:instrText xml:space="preserve"> PAGEREF _Toc225507761 \h </w:instrText>
        </w:r>
        <w:r>
          <w:rPr>
            <w:bCs/>
            <w:webHidden/>
          </w:rPr>
        </w:r>
        <w:r>
          <w:rPr>
            <w:bCs/>
            <w:webHidden/>
          </w:rPr>
          <w:fldChar w:fldCharType="separate"/>
        </w:r>
        <w:r w:rsidR="003E42DE">
          <w:rPr>
            <w:bCs/>
            <w:webHidden/>
          </w:rPr>
          <w:t>195</w:t>
        </w:r>
        <w:r>
          <w:rPr>
            <w:bCs/>
            <w:webHidden/>
          </w:rPr>
          <w:fldChar w:fldCharType="end"/>
        </w:r>
      </w:hyperlink>
    </w:p>
    <w:p w14:paraId="30AC716F" w14:textId="1E25EBD0" w:rsidR="00D515E8" w:rsidRPr="00FE0011" w:rsidRDefault="00D515E8" w:rsidP="00DD7712">
      <w:pPr>
        <w:pStyle w:val="TOC2"/>
        <w:rPr>
          <w:bCs/>
          <w:kern w:val="2"/>
          <w14:ligatures w14:val="standardContextual"/>
        </w:rPr>
      </w:pPr>
      <w:hyperlink w:anchor="_Toc225507762" w:history="1">
        <w:r>
          <w:rPr>
            <w:rStyle w:val="Hyperlink"/>
            <w:bCs/>
          </w:rPr>
          <w:t>Appendix B-25  Research Involving Medical Devices</w:t>
        </w:r>
        <w:r>
          <w:rPr>
            <w:bCs/>
            <w:webHidden/>
          </w:rPr>
          <w:tab/>
        </w:r>
        <w:r>
          <w:rPr>
            <w:bCs/>
            <w:webHidden/>
          </w:rPr>
          <w:fldChar w:fldCharType="begin"/>
        </w:r>
        <w:r>
          <w:rPr>
            <w:bCs/>
            <w:webHidden/>
          </w:rPr>
          <w:instrText xml:space="preserve"> PAGEREF _Toc225507762 \h </w:instrText>
        </w:r>
        <w:r>
          <w:rPr>
            <w:bCs/>
            <w:webHidden/>
          </w:rPr>
        </w:r>
        <w:r>
          <w:rPr>
            <w:bCs/>
            <w:webHidden/>
          </w:rPr>
          <w:fldChar w:fldCharType="separate"/>
        </w:r>
        <w:r w:rsidR="003E42DE">
          <w:rPr>
            <w:bCs/>
            <w:webHidden/>
          </w:rPr>
          <w:t>201</w:t>
        </w:r>
        <w:r>
          <w:rPr>
            <w:bCs/>
            <w:webHidden/>
          </w:rPr>
          <w:fldChar w:fldCharType="end"/>
        </w:r>
      </w:hyperlink>
    </w:p>
    <w:p w14:paraId="6288874A" w14:textId="7ED25AFB" w:rsidR="00D515E8" w:rsidRPr="00FE0011" w:rsidRDefault="00D515E8" w:rsidP="00DD7712">
      <w:pPr>
        <w:pStyle w:val="TOC2"/>
        <w:rPr>
          <w:bCs/>
          <w:kern w:val="2"/>
          <w14:ligatures w14:val="standardContextual"/>
        </w:rPr>
      </w:pPr>
      <w:hyperlink w:anchor="_Toc225507763" w:history="1">
        <w:r>
          <w:rPr>
            <w:rStyle w:val="Hyperlink"/>
            <w:bCs/>
          </w:rPr>
          <w:t>Appendix B-26  Research Involving Data and/or Biospecimens</w:t>
        </w:r>
        <w:r>
          <w:rPr>
            <w:bCs/>
            <w:webHidden/>
          </w:rPr>
          <w:tab/>
        </w:r>
        <w:r>
          <w:rPr>
            <w:bCs/>
            <w:webHidden/>
          </w:rPr>
          <w:fldChar w:fldCharType="begin"/>
        </w:r>
        <w:r>
          <w:rPr>
            <w:bCs/>
            <w:webHidden/>
          </w:rPr>
          <w:instrText xml:space="preserve"> PAGEREF _Toc225507763 \h </w:instrText>
        </w:r>
        <w:r>
          <w:rPr>
            <w:bCs/>
            <w:webHidden/>
          </w:rPr>
        </w:r>
        <w:r>
          <w:rPr>
            <w:bCs/>
            <w:webHidden/>
          </w:rPr>
          <w:fldChar w:fldCharType="separate"/>
        </w:r>
        <w:r w:rsidR="003E42DE">
          <w:rPr>
            <w:bCs/>
            <w:webHidden/>
          </w:rPr>
          <w:t>210</w:t>
        </w:r>
        <w:r>
          <w:rPr>
            <w:bCs/>
            <w:webHidden/>
          </w:rPr>
          <w:fldChar w:fldCharType="end"/>
        </w:r>
      </w:hyperlink>
    </w:p>
    <w:p w14:paraId="2ABB052A" w14:textId="0250DE35" w:rsidR="00D515E8" w:rsidRPr="00FE0011" w:rsidRDefault="00D515E8" w:rsidP="00DD7712">
      <w:pPr>
        <w:pStyle w:val="TOC2"/>
        <w:rPr>
          <w:bCs/>
          <w:kern w:val="2"/>
          <w14:ligatures w14:val="standardContextual"/>
        </w:rPr>
      </w:pPr>
      <w:hyperlink w:anchor="_Toc225507764" w:history="1">
        <w:r>
          <w:rPr>
            <w:rStyle w:val="Hyperlink"/>
            <w:bCs/>
          </w:rPr>
          <w:t>Appendix B-27  Planned Emergency Research</w:t>
        </w:r>
        <w:r>
          <w:rPr>
            <w:bCs/>
            <w:webHidden/>
          </w:rPr>
          <w:tab/>
        </w:r>
        <w:r>
          <w:rPr>
            <w:bCs/>
            <w:webHidden/>
          </w:rPr>
          <w:fldChar w:fldCharType="begin"/>
        </w:r>
        <w:r>
          <w:rPr>
            <w:bCs/>
            <w:webHidden/>
          </w:rPr>
          <w:instrText xml:space="preserve"> PAGEREF _Toc225507764 \h </w:instrText>
        </w:r>
        <w:r>
          <w:rPr>
            <w:bCs/>
            <w:webHidden/>
          </w:rPr>
        </w:r>
        <w:r>
          <w:rPr>
            <w:bCs/>
            <w:webHidden/>
          </w:rPr>
          <w:fldChar w:fldCharType="separate"/>
        </w:r>
        <w:r w:rsidR="003E42DE">
          <w:rPr>
            <w:bCs/>
            <w:webHidden/>
          </w:rPr>
          <w:t>218</w:t>
        </w:r>
        <w:r>
          <w:rPr>
            <w:bCs/>
            <w:webHidden/>
          </w:rPr>
          <w:fldChar w:fldCharType="end"/>
        </w:r>
      </w:hyperlink>
    </w:p>
    <w:p w14:paraId="63C1E995" w14:textId="26AFF8C7" w:rsidR="00D515E8" w:rsidRPr="00FE0011" w:rsidRDefault="00D515E8" w:rsidP="00DD7712">
      <w:pPr>
        <w:pStyle w:val="TOC2"/>
        <w:rPr>
          <w:bCs/>
          <w:kern w:val="2"/>
          <w14:ligatures w14:val="standardContextual"/>
        </w:rPr>
      </w:pPr>
      <w:hyperlink w:anchor="_Toc225507765" w:history="1">
        <w:r>
          <w:rPr>
            <w:rStyle w:val="Hyperlink"/>
            <w:bCs/>
          </w:rPr>
          <w:t>Appendix B-28  Emergency Use of Inv</w:t>
        </w:r>
        <w:r>
          <w:rPr>
            <w:rStyle w:val="Hyperlink"/>
            <w:bCs/>
          </w:rPr>
          <w:t>e</w:t>
        </w:r>
        <w:r>
          <w:rPr>
            <w:rStyle w:val="Hyperlink"/>
            <w:bCs/>
          </w:rPr>
          <w:t>stigational Drugs, Biologics, or Devices</w:t>
        </w:r>
        <w:r>
          <w:rPr>
            <w:bCs/>
            <w:webHidden/>
          </w:rPr>
          <w:tab/>
        </w:r>
        <w:r>
          <w:rPr>
            <w:bCs/>
            <w:webHidden/>
          </w:rPr>
          <w:fldChar w:fldCharType="begin"/>
        </w:r>
        <w:r>
          <w:rPr>
            <w:bCs/>
            <w:webHidden/>
          </w:rPr>
          <w:instrText xml:space="preserve"> PAGEREF _Toc225507765 \h </w:instrText>
        </w:r>
        <w:r>
          <w:rPr>
            <w:bCs/>
            <w:webHidden/>
          </w:rPr>
        </w:r>
        <w:r>
          <w:rPr>
            <w:bCs/>
            <w:webHidden/>
          </w:rPr>
          <w:fldChar w:fldCharType="separate"/>
        </w:r>
        <w:r w:rsidR="003E42DE">
          <w:rPr>
            <w:bCs/>
            <w:webHidden/>
          </w:rPr>
          <w:t>222</w:t>
        </w:r>
        <w:r>
          <w:rPr>
            <w:bCs/>
            <w:webHidden/>
          </w:rPr>
          <w:fldChar w:fldCharType="end"/>
        </w:r>
      </w:hyperlink>
    </w:p>
    <w:p w14:paraId="212AE45A" w14:textId="1E59C0AF" w:rsidR="00D515E8" w:rsidRPr="00FE0011" w:rsidRDefault="00D515E8" w:rsidP="00DD7712">
      <w:pPr>
        <w:pStyle w:val="TOC2"/>
        <w:rPr>
          <w:bCs/>
          <w:kern w:val="2"/>
          <w14:ligatures w14:val="standardContextual"/>
        </w:rPr>
      </w:pPr>
      <w:hyperlink w:anchor="_Toc225507766" w:history="1">
        <w:r>
          <w:rPr>
            <w:rStyle w:val="Hyperlink"/>
            <w:bCs/>
          </w:rPr>
          <w:t xml:space="preserve">Appendix B-29  </w:t>
        </w:r>
        <w:r>
          <w:rPr>
            <w:rStyle w:val="Hyperlink"/>
            <w:bCs/>
            <w:smallCaps/>
          </w:rPr>
          <w:t>IRB Composition and IRB Member Roles and Responsibilities</w:t>
        </w:r>
        <w:r>
          <w:rPr>
            <w:bCs/>
            <w:webHidden/>
          </w:rPr>
          <w:tab/>
        </w:r>
        <w:r>
          <w:rPr>
            <w:bCs/>
            <w:webHidden/>
          </w:rPr>
          <w:fldChar w:fldCharType="begin"/>
        </w:r>
        <w:r>
          <w:rPr>
            <w:bCs/>
            <w:webHidden/>
          </w:rPr>
          <w:instrText xml:space="preserve"> PAGEREF _Toc225507766 \h </w:instrText>
        </w:r>
        <w:r>
          <w:rPr>
            <w:bCs/>
            <w:webHidden/>
          </w:rPr>
        </w:r>
        <w:r>
          <w:rPr>
            <w:bCs/>
            <w:webHidden/>
          </w:rPr>
          <w:fldChar w:fldCharType="separate"/>
        </w:r>
        <w:r w:rsidR="003E42DE">
          <w:rPr>
            <w:bCs/>
            <w:webHidden/>
          </w:rPr>
          <w:t>228</w:t>
        </w:r>
        <w:r>
          <w:rPr>
            <w:bCs/>
            <w:webHidden/>
          </w:rPr>
          <w:fldChar w:fldCharType="end"/>
        </w:r>
      </w:hyperlink>
    </w:p>
    <w:p w14:paraId="058727C4" w14:textId="1B10A9ED" w:rsidR="00D515E8" w:rsidRPr="00FE0011" w:rsidRDefault="00D515E8" w:rsidP="00DD7712">
      <w:pPr>
        <w:pStyle w:val="TOC2"/>
        <w:rPr>
          <w:bCs/>
          <w:kern w:val="2"/>
          <w14:ligatures w14:val="standardContextual"/>
        </w:rPr>
      </w:pPr>
      <w:hyperlink w:anchor="_Toc225507767" w:history="1">
        <w:r>
          <w:rPr>
            <w:rStyle w:val="Hyperlink"/>
            <w:bCs/>
          </w:rPr>
          <w:t>Appendix B-30  IRB Member and Consultant Conflict of Interest</w:t>
        </w:r>
        <w:r>
          <w:rPr>
            <w:bCs/>
            <w:webHidden/>
          </w:rPr>
          <w:tab/>
        </w:r>
        <w:r>
          <w:rPr>
            <w:bCs/>
            <w:webHidden/>
          </w:rPr>
          <w:fldChar w:fldCharType="begin"/>
        </w:r>
        <w:r>
          <w:rPr>
            <w:bCs/>
            <w:webHidden/>
          </w:rPr>
          <w:instrText xml:space="preserve"> PAGEREF _Toc225507767 \h </w:instrText>
        </w:r>
        <w:r>
          <w:rPr>
            <w:bCs/>
            <w:webHidden/>
          </w:rPr>
        </w:r>
        <w:r>
          <w:rPr>
            <w:bCs/>
            <w:webHidden/>
          </w:rPr>
          <w:fldChar w:fldCharType="separate"/>
        </w:r>
        <w:r w:rsidR="003E42DE">
          <w:rPr>
            <w:bCs/>
            <w:webHidden/>
          </w:rPr>
          <w:t>235</w:t>
        </w:r>
        <w:r>
          <w:rPr>
            <w:bCs/>
            <w:webHidden/>
          </w:rPr>
          <w:fldChar w:fldCharType="end"/>
        </w:r>
      </w:hyperlink>
    </w:p>
    <w:p w14:paraId="2D0D403A" w14:textId="4903758E" w:rsidR="00D515E8" w:rsidRPr="00FE0011" w:rsidRDefault="00D515E8" w:rsidP="00DD7712">
      <w:pPr>
        <w:pStyle w:val="TOC2"/>
        <w:rPr>
          <w:bCs/>
          <w:kern w:val="2"/>
          <w14:ligatures w14:val="standardContextual"/>
        </w:rPr>
      </w:pPr>
      <w:hyperlink w:anchor="_Toc225507768" w:history="1">
        <w:r>
          <w:rPr>
            <w:rStyle w:val="Hyperlink"/>
            <w:bCs/>
          </w:rPr>
          <w:t xml:space="preserve">Appendix B-31  </w:t>
        </w:r>
        <w:r>
          <w:rPr>
            <w:bCs/>
            <w:kern w:val="2"/>
            <w14:ligatures w14:val="standardContextual"/>
          </w:rPr>
          <w:tab/>
        </w:r>
        <w:r>
          <w:rPr>
            <w:rStyle w:val="Hyperlink"/>
            <w:bCs/>
          </w:rPr>
          <w:t>IRB Reporting – Unanticipated Problems, Noncompliance, Suspensions, and Terminations</w:t>
        </w:r>
        <w:r>
          <w:rPr>
            <w:bCs/>
            <w:webHidden/>
          </w:rPr>
          <w:tab/>
        </w:r>
        <w:r>
          <w:rPr>
            <w:bCs/>
            <w:webHidden/>
          </w:rPr>
          <w:fldChar w:fldCharType="begin"/>
        </w:r>
        <w:r>
          <w:rPr>
            <w:bCs/>
            <w:webHidden/>
          </w:rPr>
          <w:instrText xml:space="preserve"> PAGEREF _Toc225507768 \h </w:instrText>
        </w:r>
        <w:r>
          <w:rPr>
            <w:bCs/>
            <w:webHidden/>
          </w:rPr>
        </w:r>
        <w:r>
          <w:rPr>
            <w:bCs/>
            <w:webHidden/>
          </w:rPr>
          <w:fldChar w:fldCharType="separate"/>
        </w:r>
        <w:r w:rsidR="003E42DE">
          <w:rPr>
            <w:bCs/>
            <w:webHidden/>
          </w:rPr>
          <w:t>239</w:t>
        </w:r>
        <w:r>
          <w:rPr>
            <w:bCs/>
            <w:webHidden/>
          </w:rPr>
          <w:fldChar w:fldCharType="end"/>
        </w:r>
      </w:hyperlink>
    </w:p>
    <w:p w14:paraId="7065C97C" w14:textId="3410BACE" w:rsidR="00D515E8" w:rsidRPr="00FE0011" w:rsidRDefault="00D515E8" w:rsidP="00DD7712">
      <w:pPr>
        <w:pStyle w:val="TOC2"/>
        <w:rPr>
          <w:bCs/>
          <w:kern w:val="2"/>
          <w14:ligatures w14:val="standardContextual"/>
        </w:rPr>
      </w:pPr>
      <w:hyperlink w:anchor="_Toc225507769" w:history="1">
        <w:r>
          <w:rPr>
            <w:rStyle w:val="Hyperlink"/>
            <w:bCs/>
          </w:rPr>
          <w:t>Appendix-B-32  IRB Recordkeeping</w:t>
        </w:r>
        <w:r>
          <w:rPr>
            <w:bCs/>
            <w:webHidden/>
          </w:rPr>
          <w:tab/>
        </w:r>
        <w:r>
          <w:rPr>
            <w:bCs/>
            <w:webHidden/>
          </w:rPr>
          <w:fldChar w:fldCharType="begin"/>
        </w:r>
        <w:r>
          <w:rPr>
            <w:bCs/>
            <w:webHidden/>
          </w:rPr>
          <w:instrText xml:space="preserve"> PAGEREF _Toc225507769 \h </w:instrText>
        </w:r>
        <w:r>
          <w:rPr>
            <w:bCs/>
            <w:webHidden/>
          </w:rPr>
        </w:r>
        <w:r>
          <w:rPr>
            <w:bCs/>
            <w:webHidden/>
          </w:rPr>
          <w:fldChar w:fldCharType="separate"/>
        </w:r>
        <w:r w:rsidR="003E42DE">
          <w:rPr>
            <w:bCs/>
            <w:webHidden/>
          </w:rPr>
          <w:t>242</w:t>
        </w:r>
        <w:r>
          <w:rPr>
            <w:bCs/>
            <w:webHidden/>
          </w:rPr>
          <w:fldChar w:fldCharType="end"/>
        </w:r>
      </w:hyperlink>
    </w:p>
    <w:p w14:paraId="0BEF80C7" w14:textId="759939DD" w:rsidR="00D515E8" w:rsidRPr="00FE0011" w:rsidRDefault="00D515E8" w:rsidP="00DD7712">
      <w:pPr>
        <w:pStyle w:val="TOC2"/>
        <w:rPr>
          <w:rStyle w:val="Hyperlink"/>
          <w:bCs/>
        </w:rPr>
      </w:pPr>
      <w:hyperlink w:anchor="_Toc225507770" w:history="1">
        <w:r>
          <w:rPr>
            <w:rStyle w:val="Hyperlink"/>
            <w:bCs/>
          </w:rPr>
          <w:t xml:space="preserve">Appendix B-33  </w:t>
        </w:r>
        <w:r>
          <w:rPr>
            <w:rStyle w:val="Hyperlink"/>
            <w:bCs/>
          </w:rPr>
          <w:t>R</w:t>
        </w:r>
        <w:r>
          <w:rPr>
            <w:rStyle w:val="Hyperlink"/>
            <w:bCs/>
          </w:rPr>
          <w:t>esearch Involving Radiation</w:t>
        </w:r>
        <w:r>
          <w:rPr>
            <w:bCs/>
            <w:webHidden/>
          </w:rPr>
          <w:tab/>
        </w:r>
        <w:r>
          <w:rPr>
            <w:bCs/>
            <w:webHidden/>
          </w:rPr>
          <w:fldChar w:fldCharType="begin"/>
        </w:r>
        <w:r>
          <w:rPr>
            <w:bCs/>
            <w:webHidden/>
          </w:rPr>
          <w:instrText xml:space="preserve"> PAGEREF _Toc225507770 \h </w:instrText>
        </w:r>
        <w:r>
          <w:rPr>
            <w:bCs/>
            <w:webHidden/>
          </w:rPr>
        </w:r>
        <w:r>
          <w:rPr>
            <w:bCs/>
            <w:webHidden/>
          </w:rPr>
          <w:fldChar w:fldCharType="separate"/>
        </w:r>
        <w:r w:rsidR="003E42DE">
          <w:rPr>
            <w:bCs/>
            <w:webHidden/>
          </w:rPr>
          <w:t>246</w:t>
        </w:r>
        <w:r>
          <w:rPr>
            <w:bCs/>
            <w:webHidden/>
          </w:rPr>
          <w:fldChar w:fldCharType="end"/>
        </w:r>
      </w:hyperlink>
    </w:p>
    <w:p w14:paraId="7E2C06F7" w14:textId="77777777" w:rsidR="000D00DC" w:rsidRPr="00FE0011" w:rsidRDefault="000D00DC" w:rsidP="000D00DC">
      <w:pPr>
        <w:rPr>
          <w:noProof/>
        </w:rPr>
      </w:pPr>
    </w:p>
    <w:p w14:paraId="7A14262A" w14:textId="4EF67CDA" w:rsidR="00D515E8" w:rsidRPr="00DD7712" w:rsidRDefault="00D515E8" w:rsidP="000D00DC">
      <w:pPr>
        <w:pStyle w:val="TOC1"/>
        <w:rPr>
          <w:kern w:val="2"/>
          <w14:ligatures w14:val="standardContextual"/>
        </w:rPr>
      </w:pPr>
      <w:hyperlink w:anchor="_Toc225507771" w:history="1">
        <w:r>
          <w:rPr>
            <w:rStyle w:val="Hyperlink"/>
            <w:b w:val="0"/>
            <w:bCs/>
            <w:sz w:val="22"/>
            <w:szCs w:val="22"/>
          </w:rPr>
          <w:t>App</w:t>
        </w:r>
        <w:r>
          <w:rPr>
            <w:rStyle w:val="Hyperlink"/>
            <w:b w:val="0"/>
            <w:bCs/>
            <w:sz w:val="22"/>
            <w:szCs w:val="22"/>
          </w:rPr>
          <w:t>e</w:t>
        </w:r>
        <w:r>
          <w:rPr>
            <w:rStyle w:val="Hyperlink"/>
            <w:b w:val="0"/>
            <w:bCs/>
            <w:sz w:val="22"/>
            <w:szCs w:val="22"/>
          </w:rPr>
          <w:t>ndix C  Huron Toolkit Table o</w:t>
        </w:r>
        <w:r>
          <w:rPr>
            <w:rStyle w:val="Hyperlink"/>
            <w:b w:val="0"/>
            <w:bCs/>
            <w:sz w:val="22"/>
            <w:szCs w:val="22"/>
          </w:rPr>
          <w:t>f</w:t>
        </w:r>
        <w:r>
          <w:rPr>
            <w:rStyle w:val="Hyperlink"/>
            <w:b w:val="0"/>
            <w:bCs/>
            <w:sz w:val="22"/>
            <w:szCs w:val="22"/>
          </w:rPr>
          <w:t xml:space="preserve"> Contents</w:t>
        </w:r>
        <w:r>
          <w:rPr>
            <w:webHidden/>
            <w:sz w:val="22"/>
            <w:szCs w:val="22"/>
          </w:rPr>
          <w:tab/>
        </w:r>
        <w:r>
          <w:rPr>
            <w:b w:val="0"/>
            <w:bCs/>
            <w:webHidden/>
            <w:sz w:val="22"/>
            <w:szCs w:val="22"/>
          </w:rPr>
          <w:fldChar w:fldCharType="begin"/>
        </w:r>
        <w:r>
          <w:rPr>
            <w:b w:val="0"/>
            <w:bCs/>
            <w:webHidden/>
            <w:sz w:val="22"/>
            <w:szCs w:val="22"/>
          </w:rPr>
          <w:instrText xml:space="preserve"> PAGEREF _Toc225507771 \h </w:instrText>
        </w:r>
        <w:r>
          <w:rPr>
            <w:b w:val="0"/>
            <w:bCs/>
            <w:webHidden/>
            <w:sz w:val="22"/>
            <w:szCs w:val="22"/>
          </w:rPr>
        </w:r>
        <w:r>
          <w:rPr>
            <w:b w:val="0"/>
            <w:bCs/>
            <w:webHidden/>
            <w:sz w:val="22"/>
            <w:szCs w:val="22"/>
          </w:rPr>
          <w:fldChar w:fldCharType="separate"/>
        </w:r>
        <w:r w:rsidR="003E42DE">
          <w:rPr>
            <w:b w:val="0"/>
            <w:bCs/>
            <w:webHidden/>
            <w:sz w:val="22"/>
            <w:szCs w:val="22"/>
          </w:rPr>
          <w:t>250</w:t>
        </w:r>
        <w:r>
          <w:rPr>
            <w:b w:val="0"/>
            <w:bCs/>
            <w:webHidden/>
            <w:sz w:val="22"/>
            <w:szCs w:val="22"/>
          </w:rPr>
          <w:fldChar w:fldCharType="end"/>
        </w:r>
      </w:hyperlink>
    </w:p>
    <w:p w14:paraId="720923F3" w14:textId="77777777" w:rsidR="004521D0" w:rsidRPr="00044899" w:rsidRDefault="00D515E8" w:rsidP="00DD7712">
      <w:pPr>
        <w:sectPr w:rsidR="004521D0" w:rsidRPr="00044899" w:rsidSect="00503AA5">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pPr>
      <w:r>
        <w:rPr>
          <w:bCs/>
          <w:sz w:val="24"/>
          <w:szCs w:val="24"/>
        </w:rPr>
        <w:fldChar w:fldCharType="end"/>
      </w:r>
    </w:p>
    <w:p w14:paraId="63B50382" w14:textId="77777777" w:rsidR="004521D0" w:rsidRPr="001F749B" w:rsidRDefault="00FC5FAC" w:rsidP="001F749B">
      <w:pPr>
        <w:pStyle w:val="Heading1"/>
      </w:pPr>
      <w:bookmarkStart w:id="0" w:name="_Toc267154224"/>
      <w:bookmarkStart w:id="1" w:name="_Toc401788105"/>
      <w:bookmarkStart w:id="2" w:name="_Toc212142120"/>
      <w:bookmarkStart w:id="3" w:name="_Toc225507662"/>
      <w:r>
        <w:t>Purpose</w:t>
      </w:r>
      <w:bookmarkEnd w:id="0"/>
      <w:bookmarkEnd w:id="1"/>
      <w:bookmarkEnd w:id="2"/>
      <w:bookmarkEnd w:id="3"/>
      <w:r>
        <w:tab/>
      </w:r>
    </w:p>
    <w:p w14:paraId="32547129" w14:textId="77777777" w:rsidR="004521D0" w:rsidRDefault="004B5D1B">
      <w:pPr>
        <w:pStyle w:val="BodyText"/>
        <w:spacing w:line="276" w:lineRule="auto"/>
      </w:pPr>
      <w:r>
        <w:t>This document, HRP-103 - INVESTIGATOR MANUAL, is designed to guide you through policies and procedures related to the conduct of human subjects research that are specific to Ohio State.</w:t>
      </w:r>
    </w:p>
    <w:p w14:paraId="6C86110D" w14:textId="77777777" w:rsidR="003F5675" w:rsidRPr="003F5675" w:rsidRDefault="004B5D1B" w:rsidP="002F625D">
      <w:pPr>
        <w:pStyle w:val="BodyText"/>
        <w:spacing w:line="276" w:lineRule="auto"/>
      </w:pPr>
      <w:r>
        <w:t>General information regarding human subjects research protections and relevant federal regulations and guidance is incorporated into required human subjects protections training. For additional information see below: “Required training for research staff.”</w:t>
      </w:r>
    </w:p>
    <w:p w14:paraId="6E4913C9" w14:textId="77777777" w:rsidR="004521D0" w:rsidRPr="001F749B" w:rsidRDefault="0079466F" w:rsidP="001F749B">
      <w:pPr>
        <w:pStyle w:val="Heading1"/>
      </w:pPr>
      <w:bookmarkStart w:id="4" w:name="_Toc1137734850"/>
      <w:bookmarkStart w:id="5" w:name="_Toc212142121"/>
      <w:bookmarkStart w:id="6" w:name="_Toc225507663"/>
      <w:r>
        <w:t>Human Subjects Research</w:t>
      </w:r>
      <w:bookmarkEnd w:id="4"/>
      <w:bookmarkEnd w:id="5"/>
      <w:bookmarkEnd w:id="6"/>
    </w:p>
    <w:p w14:paraId="0488EDCD" w14:textId="77777777" w:rsidR="00556BAE" w:rsidRPr="001F749B" w:rsidRDefault="00556BAE" w:rsidP="001F749B">
      <w:pPr>
        <w:pStyle w:val="Heading2"/>
      </w:pPr>
      <w:bookmarkStart w:id="7" w:name="_Toc212142122"/>
      <w:bookmarkStart w:id="8" w:name="_Toc225507664"/>
      <w:r>
        <w:t>Human Research Protection Program (HRPP)</w:t>
      </w:r>
      <w:bookmarkEnd w:id="7"/>
      <w:bookmarkEnd w:id="8"/>
    </w:p>
    <w:p w14:paraId="1417749E" w14:textId="77777777" w:rsidR="00556BAE" w:rsidRPr="0083074B" w:rsidRDefault="00003E87" w:rsidP="00D45AEF">
      <w:pPr>
        <w:pStyle w:val="BodyText"/>
      </w:pPr>
      <w:r>
        <w:t xml:space="preserve">University policy, </w:t>
      </w:r>
      <w:hyperlink r:id="rId16" w:history="1">
        <w:r>
          <w:rPr>
            <w:rStyle w:val="Hyperlink"/>
          </w:rPr>
          <w:t xml:space="preserve">Human Research Protection Program </w:t>
        </w:r>
      </w:hyperlink>
      <w:r>
        <w:t>defines the activities Ohio State considers to be human subjects research and describes the university’s program for  protecting the rights and welfare of all human participants in research. The policy describes the following:</w:t>
      </w:r>
    </w:p>
    <w:p w14:paraId="62E18C24" w14:textId="77777777" w:rsidR="004B48B5" w:rsidRPr="0083074B" w:rsidRDefault="004B48B5" w:rsidP="008E1F98">
      <w:pPr>
        <w:pStyle w:val="BodyText"/>
        <w:numPr>
          <w:ilvl w:val="0"/>
          <w:numId w:val="1"/>
        </w:numPr>
        <w:spacing w:after="0"/>
      </w:pPr>
      <w:r>
        <w:t>The mission of the HRPP.</w:t>
      </w:r>
    </w:p>
    <w:p w14:paraId="01CA2A82" w14:textId="77777777" w:rsidR="00556BAE" w:rsidRPr="0083074B" w:rsidRDefault="00556BAE" w:rsidP="008E1F98">
      <w:pPr>
        <w:pStyle w:val="BodyText"/>
        <w:numPr>
          <w:ilvl w:val="0"/>
          <w:numId w:val="1"/>
        </w:numPr>
        <w:spacing w:after="0"/>
      </w:pPr>
      <w:r>
        <w:t>The ethical principles governing the conduct of human subjects research.</w:t>
      </w:r>
    </w:p>
    <w:p w14:paraId="43CD6025" w14:textId="77777777" w:rsidR="00556BAE" w:rsidRPr="0083074B" w:rsidRDefault="00556BAE" w:rsidP="008E1F98">
      <w:pPr>
        <w:pStyle w:val="BodyText"/>
        <w:numPr>
          <w:ilvl w:val="0"/>
          <w:numId w:val="1"/>
        </w:numPr>
        <w:spacing w:after="0"/>
      </w:pPr>
      <w:r>
        <w:t>The applicable laws that govern human research.</w:t>
      </w:r>
    </w:p>
    <w:p w14:paraId="38EE37A6" w14:textId="77777777" w:rsidR="00B938D8" w:rsidRPr="0083074B" w:rsidRDefault="00B938D8" w:rsidP="008E1F98">
      <w:pPr>
        <w:pStyle w:val="BodyText"/>
        <w:numPr>
          <w:ilvl w:val="0"/>
          <w:numId w:val="1"/>
        </w:numPr>
        <w:spacing w:after="0"/>
      </w:pPr>
      <w:r>
        <w:lastRenderedPageBreak/>
        <w:t>Ohio State’s Association for the Accreditation of Human Research Protection Programs (AAHRPP) accreditation.</w:t>
      </w:r>
    </w:p>
    <w:p w14:paraId="25D99B5F" w14:textId="77777777" w:rsidR="00556BAE" w:rsidRPr="0083074B" w:rsidRDefault="00B938D8" w:rsidP="008E1F98">
      <w:pPr>
        <w:pStyle w:val="BodyText"/>
        <w:numPr>
          <w:ilvl w:val="0"/>
          <w:numId w:val="1"/>
        </w:numPr>
        <w:spacing w:after="0"/>
      </w:pPr>
      <w:r>
        <w:t>Research subject to the HRPP and when the institution becomes “engaged in human research” and when someone is acting as an agent of Ohio State conducting human research.</w:t>
      </w:r>
    </w:p>
    <w:p w14:paraId="282A4A9A" w14:textId="77777777" w:rsidR="00556BAE" w:rsidRPr="0083074B" w:rsidRDefault="00556BAE" w:rsidP="008E1F98">
      <w:pPr>
        <w:pStyle w:val="BodyText"/>
        <w:numPr>
          <w:ilvl w:val="0"/>
          <w:numId w:val="1"/>
        </w:numPr>
        <w:spacing w:after="0"/>
      </w:pPr>
      <w:r>
        <w:t>The components of the HRPP.</w:t>
      </w:r>
    </w:p>
    <w:p w14:paraId="797CCD89" w14:textId="77777777" w:rsidR="00556BAE" w:rsidRPr="0083074B" w:rsidRDefault="00556BAE" w:rsidP="008E1F98">
      <w:pPr>
        <w:pStyle w:val="BodyText"/>
        <w:numPr>
          <w:ilvl w:val="0"/>
          <w:numId w:val="1"/>
        </w:numPr>
        <w:spacing w:after="0"/>
      </w:pPr>
      <w:r>
        <w:t>The authority, responsibility, and independence of the IRBs.</w:t>
      </w:r>
    </w:p>
    <w:p w14:paraId="43E5E792" w14:textId="77777777" w:rsidR="00E6141F" w:rsidRPr="0083074B" w:rsidRDefault="004B5D1B" w:rsidP="004B48B5">
      <w:pPr>
        <w:pStyle w:val="BodyText"/>
      </w:pPr>
      <w:r>
        <w:t xml:space="preserve">You may not conduct human subjects research without prior IRB review and approval or an institutional review and determination of exempt human research. If you have questions about whether an activity is human subjects research, contact ORRP staff for assistance. If you wish to have a written human subjects research determination, provide a written request to </w:t>
      </w:r>
      <w:hyperlink r:id="rId17" w:history="1">
        <w:r>
          <w:rPr>
            <w:rStyle w:val="Hyperlink"/>
          </w:rPr>
          <w:t>ORRPDeterminations@osu.edu</w:t>
        </w:r>
      </w:hyperlink>
      <w:r>
        <w:t>.</w:t>
      </w:r>
    </w:p>
    <w:p w14:paraId="65F1ADF8" w14:textId="77777777" w:rsidR="004B48B5" w:rsidRPr="0083074B" w:rsidRDefault="004B48B5" w:rsidP="007F17AF">
      <w:pPr>
        <w:pStyle w:val="BodyText"/>
      </w:pPr>
      <w:r>
        <w:t>Exempt research: research that involves human subjects that is not subject to regulations requiring IRB review and approval. Categories of research activities that may be determined to be exempt from review by the IRB are defined by federal regulations and university policy. Note: Investigators performing exempt research must comply with the requirements of the HRPP even when the research is exempt.</w:t>
      </w:r>
    </w:p>
    <w:p w14:paraId="03ABEC72" w14:textId="77777777" w:rsidR="003124B1" w:rsidRPr="0030299E" w:rsidRDefault="003124B1" w:rsidP="001F749B">
      <w:pPr>
        <w:pStyle w:val="Heading2"/>
      </w:pPr>
      <w:hyperlink w:anchor="B5" w:history="1">
        <w:bookmarkStart w:id="9" w:name="_Toc225507665"/>
        <w:bookmarkStart w:id="10" w:name="_Toc212142123"/>
        <w:r>
          <w:t>HRPP Quality Improvement Activities</w:t>
        </w:r>
        <w:bookmarkEnd w:id="9"/>
        <w:bookmarkEnd w:id="10"/>
      </w:hyperlink>
    </w:p>
    <w:p w14:paraId="759A93B9" w14:textId="77777777" w:rsidR="00320136" w:rsidRDefault="003124B1" w:rsidP="002F625D">
      <w:pPr>
        <w:pStyle w:val="ListBullet2"/>
        <w:numPr>
          <w:ilvl w:val="0"/>
          <w:numId w:val="0"/>
        </w:numPr>
        <w:spacing w:line="276" w:lineRule="auto"/>
        <w:rPr>
          <w:sz w:val="22"/>
          <w:szCs w:val="22"/>
        </w:rPr>
      </w:pPr>
      <w:r>
        <w:rPr>
          <w:sz w:val="22"/>
          <w:szCs w:val="22"/>
        </w:rPr>
        <w:t>The HRPP supports a quality improvement (QI) program to promote and maintain ethical research conduct and compliance with state and federal regulations, federal guidance, institutional policies, and best practices for human subjects protections. All Ohio State human subjects research and activities of the HRPP are included in the scope of the QI program. The HRPP QI program evaluates and improves human research protections and HRPP activities through education, training, and monitoring. </w:t>
      </w:r>
    </w:p>
    <w:p w14:paraId="462216E5" w14:textId="77777777" w:rsidR="00FD6740" w:rsidRPr="001F749B" w:rsidRDefault="00037DB3" w:rsidP="001F749B">
      <w:pPr>
        <w:pStyle w:val="Heading2"/>
      </w:pPr>
      <w:bookmarkStart w:id="11" w:name="_Toc212142124"/>
      <w:bookmarkStart w:id="12" w:name="_Toc225507666"/>
      <w:r>
        <w:t>Conducting Human Subjects Research</w:t>
      </w:r>
      <w:bookmarkEnd w:id="11"/>
      <w:bookmarkEnd w:id="12"/>
    </w:p>
    <w:p w14:paraId="24D51E3E" w14:textId="77777777" w:rsidR="00BA5623" w:rsidRPr="00E6416A" w:rsidRDefault="00CD52EE" w:rsidP="00B632B2">
      <w:r>
        <w:t xml:space="preserve">When conducting human subjects research, you are required to follow all university and IRB policies and procedures. The </w:t>
      </w:r>
      <w:hyperlink r:id="rId18" w:history="1">
        <w:r>
          <w:rPr>
            <w:rStyle w:val="Hyperlink"/>
          </w:rPr>
          <w:t>Huron IRB System Library</w:t>
        </w:r>
      </w:hyperlink>
      <w:r>
        <w:t xml:space="preserve"> serves as a human subjects research resource repository and is indexed to include general documents, HRPP policies, standard operating procedures (SOPs), worksheets, reviewer checklists, and templates. These documents together with the university HRPP policy collectively represent guidance for research conducted at Ohio State. The documents support study development and following them ensures compliance with federal and local regulations. IRB policies are described throughout this Investigator Manual and are included in </w:t>
      </w:r>
      <w:hyperlink w:anchor="BAppendices" w:history="1">
        <w:r>
          <w:rPr>
            <w:rStyle w:val="Hyperlink"/>
          </w:rPr>
          <w:t>Appendix B</w:t>
        </w:r>
      </w:hyperlink>
      <w:r>
        <w:t>. Additionally, SOPs, worksheets, checklists, templates and forms are also referenced throughout this manual. All active Huron library documents  are listed in the Huron Table of contents (</w:t>
      </w:r>
      <w:hyperlink w:anchor="AppendixC" w:history="1">
        <w:r>
          <w:rPr>
            <w:rStyle w:val="Hyperlink"/>
          </w:rPr>
          <w:t>Appendix C</w:t>
        </w:r>
      </w:hyperlink>
      <w:r>
        <w:t xml:space="preserve">). </w:t>
      </w:r>
    </w:p>
    <w:p w14:paraId="1EF5FC34" w14:textId="77777777" w:rsidR="00FC6B6E" w:rsidRPr="00E6416A" w:rsidRDefault="00A95582" w:rsidP="00A07209">
      <w:pPr>
        <w:pStyle w:val="ListParagraph"/>
        <w:numPr>
          <w:ilvl w:val="0"/>
          <w:numId w:val="63"/>
        </w:numPr>
        <w:spacing w:after="0"/>
      </w:pPr>
      <w:r>
        <w:rPr>
          <w:b/>
          <w:bCs/>
        </w:rPr>
        <w:t xml:space="preserve">HRPP Policies: </w:t>
      </w:r>
      <w:r>
        <w:t xml:space="preserve">Provide detail on regulatory requirements associated with conducting human subjects research and Ohio State specific guidance for complying with those regulations. </w:t>
      </w:r>
    </w:p>
    <w:p w14:paraId="5DD91BE6" w14:textId="77777777" w:rsidR="003F5675" w:rsidRPr="00E6416A" w:rsidRDefault="003D46C3" w:rsidP="00A07209">
      <w:pPr>
        <w:pStyle w:val="ListParagraph"/>
        <w:numPr>
          <w:ilvl w:val="0"/>
          <w:numId w:val="63"/>
        </w:numPr>
        <w:spacing w:after="0"/>
      </w:pPr>
      <w:r>
        <w:rPr>
          <w:b/>
          <w:bCs/>
        </w:rPr>
        <w:t>SOPs:</w:t>
      </w:r>
      <w:r>
        <w:t xml:space="preserve"> Procedural documents outlining IRB processes. </w:t>
      </w:r>
    </w:p>
    <w:p w14:paraId="6D102B8E" w14:textId="77777777" w:rsidR="003F5675" w:rsidRPr="00E6416A" w:rsidRDefault="003F5675" w:rsidP="00A07209">
      <w:pPr>
        <w:pStyle w:val="ListParagraph"/>
        <w:numPr>
          <w:ilvl w:val="0"/>
          <w:numId w:val="63"/>
        </w:numPr>
        <w:spacing w:after="0"/>
      </w:pPr>
      <w:hyperlink r:id="rId19" w:history="1">
        <w:r>
          <w:rPr>
            <w:rStyle w:val="Hyperlink"/>
            <w:b/>
            <w:bCs/>
            <w:color w:val="auto"/>
            <w:u w:val="none"/>
          </w:rPr>
          <w:t>Worksheets</w:t>
        </w:r>
      </w:hyperlink>
      <w:r>
        <w:t>: Tools for IRB members, ORRP staff, and researchers to provide guidance for research-related procedures. They are not required to be completed or retained.</w:t>
      </w:r>
    </w:p>
    <w:p w14:paraId="2063E119" w14:textId="77777777" w:rsidR="00BA5623" w:rsidRPr="00E6416A" w:rsidRDefault="003F5675" w:rsidP="00A07209">
      <w:pPr>
        <w:pStyle w:val="ListParagraph"/>
        <w:numPr>
          <w:ilvl w:val="0"/>
          <w:numId w:val="63"/>
        </w:numPr>
        <w:spacing w:after="0"/>
        <w:rPr>
          <w:u w:val="single"/>
        </w:rPr>
      </w:pPr>
      <w:hyperlink r:id="rId20" w:history="1">
        <w:r>
          <w:rPr>
            <w:rStyle w:val="Hyperlink"/>
            <w:b/>
            <w:bCs/>
            <w:color w:val="auto"/>
            <w:u w:val="none"/>
          </w:rPr>
          <w:t>Checklists</w:t>
        </w:r>
      </w:hyperlink>
      <w:r>
        <w:t xml:space="preserve">: Used by IRB reviewers to document regulatory decisions and must be completed and uploaded with their reviews. Checklists 401-402 are only used when the electronic system is unavailable. </w:t>
      </w:r>
    </w:p>
    <w:p w14:paraId="32BF2EF6" w14:textId="77777777" w:rsidR="0030617F" w:rsidRPr="00E6416A" w:rsidRDefault="00597978" w:rsidP="00A07209">
      <w:pPr>
        <w:pStyle w:val="ListBullet2"/>
        <w:numPr>
          <w:ilvl w:val="0"/>
          <w:numId w:val="63"/>
        </w:numPr>
        <w:spacing w:line="276" w:lineRule="auto"/>
        <w:rPr>
          <w:sz w:val="22"/>
          <w:szCs w:val="22"/>
        </w:rPr>
      </w:pPr>
      <w:r>
        <w:rPr>
          <w:b/>
          <w:bCs/>
          <w:sz w:val="22"/>
          <w:szCs w:val="22"/>
        </w:rPr>
        <w:lastRenderedPageBreak/>
        <w:t xml:space="preserve">Templates and Forms: </w:t>
      </w:r>
      <w:r>
        <w:rPr>
          <w:sz w:val="22"/>
          <w:szCs w:val="22"/>
        </w:rPr>
        <w:t xml:space="preserve">Used by researchers or reviewers to provide supplemental information. Templates are used by the researcher as a starting point for research submissions. </w:t>
      </w:r>
    </w:p>
    <w:p w14:paraId="6B7953A7" w14:textId="77777777" w:rsidR="008719AE" w:rsidRPr="001F749B" w:rsidRDefault="008719AE" w:rsidP="001F749B">
      <w:pPr>
        <w:pStyle w:val="Heading1"/>
      </w:pPr>
      <w:bookmarkStart w:id="13" w:name="_Toc212142125"/>
      <w:bookmarkStart w:id="14" w:name="_Toc225507667"/>
      <w:bookmarkStart w:id="15" w:name="_Toc615460048"/>
      <w:bookmarkStart w:id="16" w:name="What_training_does_my_staff_and_I_need"/>
      <w:r>
        <w:t>Researcher Roles and Requirements</w:t>
      </w:r>
      <w:bookmarkEnd w:id="13"/>
      <w:bookmarkEnd w:id="14"/>
      <w:r>
        <w:t xml:space="preserve"> </w:t>
      </w:r>
    </w:p>
    <w:p w14:paraId="288B2807" w14:textId="77777777" w:rsidR="00B175FD" w:rsidRPr="001F749B" w:rsidRDefault="00F5501E" w:rsidP="001F749B">
      <w:pPr>
        <w:pStyle w:val="Heading2"/>
      </w:pPr>
      <w:bookmarkStart w:id="17" w:name="_Toc212142126"/>
      <w:bookmarkStart w:id="18" w:name="_Toc225507668"/>
      <w:r>
        <w:t>Principal Investigator (PI)</w:t>
      </w:r>
      <w:bookmarkEnd w:id="15"/>
      <w:bookmarkEnd w:id="17"/>
      <w:bookmarkEnd w:id="18"/>
    </w:p>
    <w:p w14:paraId="7D8B5FD8" w14:textId="77777777" w:rsidR="6077F9BB" w:rsidRPr="00E6416A" w:rsidRDefault="00F126B6" w:rsidP="6077F9BB">
      <w:r>
        <w:t xml:space="preserve">The principal investigator has the appropriate scientific and/or scholarly training and expertise to assume direct responsibility for the ethical conduct of the study. They provide technical and administrative oversight of the research and make important study-related decisions. PIs at Ohio State are ultimately responsible for the ethical conduct of human subjects research and for compliance with federal regulations, applicable state and local law, and university policies. These responsibilities are shared with research staff and the HRPP. See </w:t>
      </w:r>
      <w:hyperlink w:anchor="B4" w:history="1">
        <w:r>
          <w:rPr>
            <w:rStyle w:val="Hyperlink"/>
          </w:rPr>
          <w:t xml:space="preserve">Responsibilities of Principal Investigators, Co-Investigators, and Key Personnel </w:t>
        </w:r>
      </w:hyperlink>
      <w:r>
        <w:rPr>
          <w:rStyle w:val="Hyperlink"/>
          <w:color w:val="auto"/>
          <w:u w:val="none"/>
        </w:rPr>
        <w:t xml:space="preserve"> for more information</w:t>
      </w:r>
      <w:r>
        <w:t xml:space="preserve">. </w:t>
      </w:r>
    </w:p>
    <w:p w14:paraId="66E8D05C" w14:textId="77777777" w:rsidR="00E03471" w:rsidRPr="00C53BF5" w:rsidRDefault="25672D3F" w:rsidP="00C53BF5">
      <w:pPr>
        <w:pStyle w:val="Heading2"/>
      </w:pPr>
      <w:bookmarkStart w:id="19" w:name="_Toc212142127"/>
      <w:bookmarkStart w:id="20" w:name="_Toc225507669"/>
      <w:bookmarkStart w:id="21" w:name="_Toc1605253661"/>
      <w:r>
        <w:t>PI Proxy</w:t>
      </w:r>
      <w:bookmarkEnd w:id="19"/>
      <w:bookmarkEnd w:id="20"/>
      <w:r>
        <w:t xml:space="preserve"> </w:t>
      </w:r>
      <w:bookmarkEnd w:id="21"/>
    </w:p>
    <w:p w14:paraId="0C8E5309" w14:textId="77777777" w:rsidR="00E14745" w:rsidRPr="00E6416A" w:rsidRDefault="006A53AE" w:rsidP="0092150C">
      <w:r>
        <w:t xml:space="preserve">A PI proxy is a study team member designated by the PI to perform tasks on their behalf. The Huron system allows for one or more PI proxies to be added to each study. </w:t>
      </w:r>
    </w:p>
    <w:p w14:paraId="4B142C2D" w14:textId="77777777" w:rsidR="0092150C" w:rsidRPr="00E6416A" w:rsidRDefault="00234183" w:rsidP="0092150C">
      <w:r>
        <w:t>At Ohio State, initial applications, modifications, and continuing reviews must be personally submitted by the PI. This is confirmed during screening and these submissions will be returned to the study team if not submitted by the PI. A PI proxy may submit responses to clarifications requested, personnel only modifications, and responses to modifications required to secure approval issued by the IRB. As stated previously, the PI is ultimately responsible for the ethical conduct of the human subjects study and for compliance with federal regulations, applicable state and local law, and university policies.</w:t>
      </w:r>
    </w:p>
    <w:p w14:paraId="5FEFA51E" w14:textId="77777777" w:rsidR="001C53E6" w:rsidRPr="00C53BF5" w:rsidRDefault="00385F7F" w:rsidP="00C53BF5">
      <w:pPr>
        <w:pStyle w:val="Heading2"/>
      </w:pPr>
      <w:bookmarkStart w:id="22" w:name="_Toc599617645"/>
      <w:bookmarkStart w:id="23" w:name="_Toc212142128"/>
      <w:bookmarkStart w:id="24" w:name="_Toc225507670"/>
      <w:r>
        <w:t>Primary Contact</w:t>
      </w:r>
      <w:bookmarkEnd w:id="22"/>
      <w:bookmarkEnd w:id="23"/>
      <w:bookmarkEnd w:id="24"/>
    </w:p>
    <w:p w14:paraId="079E69E3" w14:textId="77777777" w:rsidR="00333A75" w:rsidRPr="00291371" w:rsidRDefault="00333A75" w:rsidP="00291371">
      <w:r>
        <w:t xml:space="preserve">The primary contact can access the study and will receive study notifications. The primary contact also can create (but not submit) a submission on behalf of the PI. The PI may designate only one primary contact per study. </w:t>
      </w:r>
    </w:p>
    <w:p w14:paraId="6350D1D9" w14:textId="77777777" w:rsidR="004521D0" w:rsidRPr="0083074B" w:rsidRDefault="00385F7F" w:rsidP="0083074B">
      <w:pPr>
        <w:pStyle w:val="Heading3"/>
      </w:pPr>
      <w:bookmarkStart w:id="25" w:name="_Toc212142129"/>
      <w:bookmarkStart w:id="26" w:name="_Toc225507671"/>
      <w:bookmarkStart w:id="27" w:name="_Toc1061111887"/>
      <w:r>
        <w:t>Required Training for Research Staff</w:t>
      </w:r>
      <w:bookmarkEnd w:id="25"/>
      <w:bookmarkEnd w:id="26"/>
      <w:r>
        <w:t xml:space="preserve">  </w:t>
      </w:r>
      <w:bookmarkEnd w:id="16"/>
      <w:bookmarkEnd w:id="27"/>
    </w:p>
    <w:p w14:paraId="2E8F6E5D" w14:textId="219C9616" w:rsidR="00646D5D" w:rsidRDefault="004B5D1B">
      <w:pPr>
        <w:pStyle w:val="BodyText"/>
        <w:spacing w:line="276" w:lineRule="auto"/>
      </w:pPr>
      <w:r>
        <w:t xml:space="preserve">All members of the research team involved in the design, conduct, and/or reporting of human subjects research (including exempt research) must complete the following two Collaborative Institutional Training Initiative (CITI) online training courses accessed at </w:t>
      </w:r>
      <w:hyperlink r:id="rId21" w:history="1">
        <w:r>
          <w:rPr>
            <w:rStyle w:val="Hyperlink"/>
          </w:rPr>
          <w:t>http://go.osu.edu/citi</w:t>
        </w:r>
      </w:hyperlink>
      <w:r>
        <w:t>. There may be additional training requirements based on federal, state, or departmental policies:</w:t>
      </w:r>
    </w:p>
    <w:p w14:paraId="4F89BB47" w14:textId="77777777" w:rsidR="00CD4E57" w:rsidRPr="00E6416A" w:rsidRDefault="00646D5D" w:rsidP="00A07209">
      <w:pPr>
        <w:pStyle w:val="BodyText"/>
        <w:numPr>
          <w:ilvl w:val="0"/>
          <w:numId w:val="472"/>
        </w:numPr>
        <w:spacing w:line="276" w:lineRule="auto"/>
      </w:pPr>
      <w:r>
        <w:t>Human Subjects Protection (HSP): HSP training is valid for a three-year period, after which time the training must be repeated.</w:t>
      </w:r>
    </w:p>
    <w:p w14:paraId="71E2764C" w14:textId="77777777" w:rsidR="00646D5D" w:rsidRDefault="00CE325C" w:rsidP="00A07209">
      <w:pPr>
        <w:pStyle w:val="BodyText"/>
        <w:numPr>
          <w:ilvl w:val="0"/>
          <w:numId w:val="471"/>
        </w:numPr>
      </w:pPr>
      <w:r>
        <w:t xml:space="preserve">Responsible Conduct of Research (RCR): This training requirement can be met by one of seven discipline-specific CITI web-based courses and is valid for a four-year period, after which time the training must be repeated. Researchers should verify and address all sponsor requirements for RCR training as federal funding agency requirements are not uniform. </w:t>
      </w:r>
    </w:p>
    <w:p w14:paraId="17E123D8" w14:textId="77777777" w:rsidR="004521D0" w:rsidRPr="00E6416A" w:rsidRDefault="00646D5D">
      <w:pPr>
        <w:pStyle w:val="BodyText"/>
      </w:pPr>
      <w:r>
        <w:lastRenderedPageBreak/>
        <w:t>Researchers who have not completed these courses may not take part in research involving human subjects.</w:t>
      </w:r>
    </w:p>
    <w:p w14:paraId="3328CE0A" w14:textId="77777777" w:rsidR="0083331C" w:rsidRPr="001F749B" w:rsidRDefault="00385F7F" w:rsidP="001F749B">
      <w:pPr>
        <w:pStyle w:val="Heading2"/>
      </w:pPr>
      <w:bookmarkStart w:id="28" w:name="_Toc212142130"/>
      <w:bookmarkStart w:id="29" w:name="_Toc225507672"/>
      <w:r>
        <w:t>Disclosure of Financial Interests</w:t>
      </w:r>
      <w:bookmarkEnd w:id="28"/>
      <w:bookmarkEnd w:id="29"/>
    </w:p>
    <w:p w14:paraId="3F7534CB" w14:textId="77777777" w:rsidR="00AF6B92" w:rsidRPr="00C53BF5" w:rsidRDefault="002C2EC3" w:rsidP="002C2EC3">
      <w:pPr>
        <w:spacing w:line="276" w:lineRule="auto"/>
      </w:pPr>
      <w:r>
        <w:t xml:space="preserve">The Public Health Service (PHS) Policies Promoting Objectivity in Research, </w:t>
      </w:r>
      <w:hyperlink r:id="rId22" w:history="1">
        <w:r>
          <w:rPr>
            <w:rStyle w:val="Hyperlink"/>
          </w:rPr>
          <w:t>42 CFR 50 Subpart F</w:t>
        </w:r>
      </w:hyperlink>
      <w:r>
        <w:t xml:space="preserve"> and </w:t>
      </w:r>
      <w:hyperlink r:id="rId23" w:history="1">
        <w:r>
          <w:rPr>
            <w:rStyle w:val="Hyperlink"/>
          </w:rPr>
          <w:t>45 CFR Part 94, Responsible Prospective Contractors</w:t>
        </w:r>
      </w:hyperlink>
      <w:r>
        <w:t xml:space="preserve"> and the Department of Energy Interim Conflict of Interest Policy Requirements for Financial Assistance, </w:t>
      </w:r>
      <w:hyperlink r:id="rId24" w:history="1">
        <w:r>
          <w:rPr>
            <w:rStyle w:val="Hyperlink"/>
          </w:rPr>
          <w:t>2 CFR 200.112, Conflict of Interest</w:t>
        </w:r>
      </w:hyperlink>
      <w:r>
        <w:t xml:space="preserve"> (“the FCOI regulations”) promote objectivity in research by establishing standards that provide a reasonable expectation that the design, conduct, and reporting of research funded under PHS and DOE grants, cooperative agreements, and technology investment agreements will be free from bias resulting from researcher financial conflicts of interest (FCOI). The university’s </w:t>
      </w:r>
      <w:hyperlink r:id="rId25" w:history="1">
        <w:r>
          <w:rPr>
            <w:rStyle w:val="Hyperlink"/>
          </w:rPr>
          <w:t>Outside Activities and Conflicts policy</w:t>
        </w:r>
      </w:hyperlink>
      <w:r>
        <w:t xml:space="preserve"> (the “Policy”) and related </w:t>
      </w:r>
      <w:hyperlink r:id="rId26" w:history="1">
        <w:r>
          <w:rPr>
            <w:rStyle w:val="Hyperlink"/>
          </w:rPr>
          <w:t>Financial Conflict of Interest (FCOI) in Research SOP</w:t>
        </w:r>
      </w:hyperlink>
      <w:r>
        <w:t xml:space="preserve"> apply to all researchers, with special considerations noted for PHS and DOE funded researchers throughout the Policy and SOP.</w:t>
      </w:r>
    </w:p>
    <w:p w14:paraId="0E771D73" w14:textId="77777777" w:rsidR="00565AAC" w:rsidRPr="00C53BF5" w:rsidRDefault="00EA4676" w:rsidP="00B7183D">
      <w:pPr>
        <w:spacing w:line="276" w:lineRule="auto"/>
      </w:pPr>
      <w:r>
        <w:t xml:space="preserve">According to the Policy, researchers are required to disclose outside activities via the </w:t>
      </w:r>
      <w:hyperlink r:id="rId27" w:history="1">
        <w:r>
          <w:rPr>
            <w:rStyle w:val="Hyperlink"/>
          </w:rPr>
          <w:t>university’s electronic system</w:t>
        </w:r>
      </w:hyperlink>
      <w:r>
        <w:t xml:space="preserve"> yearly and within 30 days upon acquiring or discovering new financial interests, engaging in new outside activities, or changes in a previously reported activity. Researchers must also report any reimbursed or sponsored travel that is not paid for or reimbursed with Ohio State funds or sponsored project funds within 30 days. If any of the disclosed activities constitute a significant financial interest (SFI) as defined by the Policy, the disclosure form is reviewed by the researcher's department chair or college dean. If an SFI may be related to a specific research project, the Conflict Approval Committee (CAC) will determine whether an FCOI exists. If an FCOI is found, the CAC will recommend the development of a protocol specific conflict management plan (CMP) to manage, reduce, or eliminate the conflict. The CAC will provide its recommended CMP, via the Office of Research Compliance, to the IRB, via the Office of Responsible Research Practices (ORRP). The IRB has the full and final authority for implementing the decision concerning the role of the conflicted researcher in the research protocol. To satisfy this, the conflict must be disclosed in the SmartForm, the protocol specific CMP uploaded to the SmartForm, and any stipulations in the CMP addressed at the time of IRB review.</w:t>
      </w:r>
    </w:p>
    <w:p w14:paraId="0AB1861E" w14:textId="77777777" w:rsidR="004521D0" w:rsidRPr="00C53BF5" w:rsidRDefault="0026309D" w:rsidP="00B632B2">
      <w:pPr>
        <w:pStyle w:val="BodyText"/>
        <w:spacing w:after="160" w:line="257" w:lineRule="auto"/>
      </w:pPr>
      <w:r>
        <w:t xml:space="preserve">In addition to an individual researcher’s financial conflict of interest described above, </w:t>
      </w:r>
      <w:r>
        <w:rPr>
          <w:i/>
          <w:iCs/>
        </w:rPr>
        <w:t>organizational conflicts</w:t>
      </w:r>
      <w:r>
        <w:t xml:space="preserve"> may also occur. This is when the financial investments or holdings of an organization (including licenses, royalties, intellectual property rights, patents, certain gifts) or the personal financial interests or holdings of a key leader might affect or reasonably appear to affect organizational processes for the design, conduct, reporting, review, or oversight of human subjects research. Additional details can be found in the </w:t>
      </w:r>
      <w:hyperlink w:anchor="_Appendix_B-2" w:history="1">
        <w:r>
          <w:rPr>
            <w:rStyle w:val="Hyperlink"/>
          </w:rPr>
          <w:t>Organizational Financial Conflicts of Interest policy</w:t>
        </w:r>
      </w:hyperlink>
      <w:r>
        <w:t xml:space="preserve"> which describes the process to identify, evaluate, manage, and minimize or eliminate Ohio State’s proprietary interests, financial investments or holdings, and the personal financial interests of key organizational leaders meet the definition of an organizational conflict. </w:t>
      </w:r>
    </w:p>
    <w:p w14:paraId="5772EF5C" w14:textId="77777777" w:rsidR="004521D0" w:rsidRPr="001F749B" w:rsidRDefault="00385F7F" w:rsidP="00B632B2">
      <w:pPr>
        <w:pStyle w:val="Heading1"/>
      </w:pPr>
      <w:bookmarkStart w:id="30" w:name="_Toc212142131"/>
      <w:bookmarkStart w:id="31" w:name="_Toc225507673"/>
      <w:bookmarkStart w:id="32" w:name="_Toc1107781159"/>
      <w:r>
        <w:lastRenderedPageBreak/>
        <w:t>Submitting New Research to the IRB</w:t>
      </w:r>
      <w:bookmarkEnd w:id="30"/>
      <w:bookmarkEnd w:id="31"/>
      <w:r>
        <w:t xml:space="preserve"> </w:t>
      </w:r>
      <w:bookmarkEnd w:id="32"/>
    </w:p>
    <w:p w14:paraId="6F557AAE" w14:textId="77777777" w:rsidR="008719AE" w:rsidRPr="00D93B3E" w:rsidRDefault="008719AE" w:rsidP="00D93B3E">
      <w:pPr>
        <w:pStyle w:val="Heading2"/>
      </w:pPr>
      <w:bookmarkStart w:id="33" w:name="_Toc212142132"/>
      <w:bookmarkStart w:id="34" w:name="_Toc225507674"/>
      <w:r>
        <w:t>Write an investigator protocol</w:t>
      </w:r>
      <w:bookmarkEnd w:id="33"/>
      <w:bookmarkEnd w:id="34"/>
    </w:p>
    <w:p w14:paraId="3D505262" w14:textId="77777777" w:rsidR="00520C6C" w:rsidRPr="00E6416A" w:rsidRDefault="00520C6C" w:rsidP="00B632B2">
      <w:pPr>
        <w:pStyle w:val="BodyText"/>
        <w:spacing w:line="276" w:lineRule="auto"/>
      </w:pPr>
      <w:r>
        <w:t xml:space="preserve">Huron protocol templates and associated appendices should be used as a starting point for drafting a new protocol (located in the </w:t>
      </w:r>
      <w:hyperlink r:id="rId28" w:history="1">
        <w:r>
          <w:rPr>
            <w:rStyle w:val="Hyperlink"/>
          </w:rPr>
          <w:t>Huron Library</w:t>
        </w:r>
      </w:hyperlink>
      <w:r>
        <w:t xml:space="preserve">).  Begin by selecting the appropriate research-specific template:   </w:t>
      </w:r>
    </w:p>
    <w:p w14:paraId="4D75461A" w14:textId="77777777" w:rsidR="00520C6C" w:rsidRPr="00E6416A" w:rsidRDefault="008719AE" w:rsidP="00A07209">
      <w:pPr>
        <w:pStyle w:val="BodyText"/>
        <w:numPr>
          <w:ilvl w:val="0"/>
          <w:numId w:val="64"/>
        </w:numPr>
      </w:pPr>
      <w:hyperlink r:id="rId29" w:history="1">
        <w:r>
          <w:rPr>
            <w:rStyle w:val="Hyperlink"/>
          </w:rPr>
          <w:t>HRP-503 – Protocol – Biomedical and Cancer Research</w:t>
        </w:r>
      </w:hyperlink>
      <w:r>
        <w:t xml:space="preserve">, </w:t>
      </w:r>
    </w:p>
    <w:p w14:paraId="270F3EBF" w14:textId="77777777" w:rsidR="00520C6C" w:rsidRPr="00E6416A" w:rsidRDefault="008719AE" w:rsidP="00A07209">
      <w:pPr>
        <w:pStyle w:val="BodyText"/>
        <w:numPr>
          <w:ilvl w:val="0"/>
          <w:numId w:val="64"/>
        </w:numPr>
      </w:pPr>
      <w:hyperlink r:id="rId30" w:history="1">
        <w:r>
          <w:rPr>
            <w:rStyle w:val="Hyperlink"/>
          </w:rPr>
          <w:t>HRP-503a – Protocol – Behavioral and Social Science Research</w:t>
        </w:r>
      </w:hyperlink>
      <w:r>
        <w:t xml:space="preserve">, </w:t>
      </w:r>
    </w:p>
    <w:p w14:paraId="0EE6DD10" w14:textId="77777777" w:rsidR="00520C6C" w:rsidRPr="00E6416A" w:rsidRDefault="00143210" w:rsidP="00A07209">
      <w:pPr>
        <w:pStyle w:val="BodyText"/>
        <w:numPr>
          <w:ilvl w:val="0"/>
          <w:numId w:val="64"/>
        </w:numPr>
        <w:rPr>
          <w:rStyle w:val="Hyperlink"/>
        </w:rPr>
      </w:pPr>
      <w:r>
        <w:fldChar w:fldCharType="begin"/>
      </w:r>
      <w:r>
        <w:instrText>HYPERLINK "https://go.osu.edu/hrp503b"</w:instrText>
      </w:r>
      <w:r>
        <w:fldChar w:fldCharType="separate"/>
      </w:r>
      <w:r>
        <w:rPr>
          <w:rStyle w:val="Hyperlink"/>
        </w:rPr>
        <w:t>HRP-503b – Protocol - Secondary Research,</w:t>
      </w:r>
    </w:p>
    <w:p w14:paraId="49BB60B7" w14:textId="77777777" w:rsidR="00520C6C" w:rsidRPr="00E6416A" w:rsidRDefault="00143210" w:rsidP="00A07209">
      <w:pPr>
        <w:pStyle w:val="BodyText"/>
        <w:numPr>
          <w:ilvl w:val="0"/>
          <w:numId w:val="64"/>
        </w:numPr>
      </w:pPr>
      <w:r>
        <w:fldChar w:fldCharType="end"/>
      </w:r>
      <w:hyperlink r:id="rId31" w:history="1">
        <w:r>
          <w:rPr>
            <w:rStyle w:val="Hyperlink"/>
          </w:rPr>
          <w:t>HRP-503c – Protocol - Exempt Research,</w:t>
        </w:r>
      </w:hyperlink>
    </w:p>
    <w:p w14:paraId="347A2546" w14:textId="77777777" w:rsidR="00520C6C" w:rsidRPr="00E6416A" w:rsidRDefault="008719AE" w:rsidP="00A07209">
      <w:pPr>
        <w:pStyle w:val="BodyText"/>
        <w:numPr>
          <w:ilvl w:val="0"/>
          <w:numId w:val="64"/>
        </w:numPr>
      </w:pPr>
      <w:hyperlink r:id="rId32" w:history="1">
        <w:r>
          <w:rPr>
            <w:rStyle w:val="Hyperlink"/>
          </w:rPr>
          <w:t>HRP-504 – Protocol – External IRB Site Supplement,</w:t>
        </w:r>
      </w:hyperlink>
      <w:r>
        <w:t xml:space="preserve"> and</w:t>
      </w:r>
    </w:p>
    <w:p w14:paraId="4CF4AB45" w14:textId="77777777" w:rsidR="00520C6C" w:rsidRPr="00E6416A" w:rsidRDefault="00143210" w:rsidP="00A07209">
      <w:pPr>
        <w:pStyle w:val="BodyText"/>
        <w:numPr>
          <w:ilvl w:val="0"/>
          <w:numId w:val="64"/>
        </w:numPr>
        <w:rPr>
          <w:rStyle w:val="Hyperlink"/>
        </w:rPr>
      </w:pPr>
      <w:r>
        <w:fldChar w:fldCharType="begin"/>
      </w:r>
      <w:r>
        <w:instrText>HYPERLINK "https://go.osu.edu/hrp505"</w:instrText>
      </w:r>
      <w:r>
        <w:fldChar w:fldCharType="separate"/>
      </w:r>
      <w:r>
        <w:rPr>
          <w:rStyle w:val="Hyperlink"/>
        </w:rPr>
        <w:t xml:space="preserve">HRP-505 – Protocol - Ohio State IRB Site Supplement </w:t>
      </w:r>
    </w:p>
    <w:p w14:paraId="615B62C9" w14:textId="77777777" w:rsidR="008719AE" w:rsidRPr="00E6416A" w:rsidRDefault="00143210" w:rsidP="008719AE">
      <w:pPr>
        <w:pStyle w:val="BodyText"/>
        <w:spacing w:line="276" w:lineRule="auto"/>
      </w:pPr>
      <w:r>
        <w:fldChar w:fldCharType="end"/>
      </w:r>
      <w:r>
        <w:t>Here are some key points to remember when developing your protocol:</w:t>
      </w:r>
    </w:p>
    <w:p w14:paraId="09E9A85E" w14:textId="77777777" w:rsidR="008719AE" w:rsidRPr="00E6416A" w:rsidRDefault="00385AB9" w:rsidP="008E1F98">
      <w:pPr>
        <w:pStyle w:val="BodyText"/>
        <w:numPr>
          <w:ilvl w:val="0"/>
          <w:numId w:val="5"/>
        </w:numPr>
      </w:pPr>
      <w:r>
        <w:t>Reference the instructions in blue text for guidance. All blue text is meant to be deleted prior to submission.</w:t>
      </w:r>
    </w:p>
    <w:p w14:paraId="63ECCE7A" w14:textId="77777777" w:rsidR="008719AE" w:rsidRPr="00E6416A" w:rsidRDefault="008719AE" w:rsidP="008E1F98">
      <w:pPr>
        <w:pStyle w:val="BodyText"/>
        <w:numPr>
          <w:ilvl w:val="0"/>
          <w:numId w:val="5"/>
        </w:numPr>
      </w:pPr>
      <w:r>
        <w:t>For any items described in a sponsor’s protocol, investigators may simply reference the page numbers within the Ohio State IRB Site Supplement rather than repeat information.</w:t>
      </w:r>
    </w:p>
    <w:p w14:paraId="0EB9FE3B" w14:textId="77777777" w:rsidR="008719AE" w:rsidRPr="00E6416A" w:rsidRDefault="008719AE" w:rsidP="008E1F98">
      <w:pPr>
        <w:pStyle w:val="BodyText"/>
        <w:numPr>
          <w:ilvl w:val="0"/>
          <w:numId w:val="5"/>
        </w:numPr>
      </w:pPr>
      <w:r>
        <w:t>If you are conducting community-based participatory research, contact ORRP for information about:</w:t>
      </w:r>
    </w:p>
    <w:p w14:paraId="105AE418" w14:textId="77777777" w:rsidR="008719AE" w:rsidRPr="00E6416A" w:rsidRDefault="008719AE" w:rsidP="008E1F98">
      <w:pPr>
        <w:pStyle w:val="BodyText"/>
        <w:numPr>
          <w:ilvl w:val="1"/>
          <w:numId w:val="5"/>
        </w:numPr>
        <w:spacing w:after="0"/>
      </w:pPr>
      <w:r>
        <w:t>Research design</w:t>
      </w:r>
    </w:p>
    <w:p w14:paraId="09ED2B36" w14:textId="77777777" w:rsidR="008719AE" w:rsidRPr="00E6416A" w:rsidRDefault="008719AE" w:rsidP="008E1F98">
      <w:pPr>
        <w:pStyle w:val="BodyText"/>
        <w:numPr>
          <w:ilvl w:val="1"/>
          <w:numId w:val="5"/>
        </w:numPr>
        <w:spacing w:after="0"/>
      </w:pPr>
      <w:r>
        <w:t>Use of community advisory boards</w:t>
      </w:r>
    </w:p>
    <w:p w14:paraId="6A9F7CD3" w14:textId="77777777" w:rsidR="00520C6C" w:rsidRPr="00E6416A" w:rsidRDefault="008719AE" w:rsidP="008E1F98">
      <w:pPr>
        <w:pStyle w:val="BodyText"/>
        <w:numPr>
          <w:ilvl w:val="1"/>
          <w:numId w:val="5"/>
        </w:numPr>
        <w:spacing w:after="0"/>
      </w:pPr>
      <w:r>
        <w:t>Use of participant advocates</w:t>
      </w:r>
    </w:p>
    <w:p w14:paraId="03848C10" w14:textId="77777777" w:rsidR="00520C6C" w:rsidRPr="00E6416A" w:rsidRDefault="008719AE" w:rsidP="008E1F98">
      <w:pPr>
        <w:pStyle w:val="BodyText"/>
        <w:numPr>
          <w:ilvl w:val="1"/>
          <w:numId w:val="5"/>
        </w:numPr>
        <w:spacing w:after="0"/>
      </w:pPr>
      <w:r>
        <w:t xml:space="preserve">Partnerships with community-based institutions or organizations                            </w:t>
      </w:r>
    </w:p>
    <w:p w14:paraId="0EFDFA63" w14:textId="77777777" w:rsidR="00730C53" w:rsidRPr="00E6416A" w:rsidRDefault="00C476B0" w:rsidP="008E1F98">
      <w:pPr>
        <w:pStyle w:val="BodyText"/>
        <w:numPr>
          <w:ilvl w:val="0"/>
          <w:numId w:val="5"/>
        </w:numPr>
      </w:pPr>
      <w:r>
        <w:t>If you intend to include individuals who are members of the following populations, appropriately describe them in the inclusion criteria and upload the appropriate appendices, as the inclusion of these participant populations have additional regulatory implications:</w:t>
      </w:r>
    </w:p>
    <w:p w14:paraId="407B60C3" w14:textId="77777777" w:rsidR="00730C53" w:rsidRPr="00E6416A" w:rsidRDefault="00C53BF5" w:rsidP="00A07209">
      <w:pPr>
        <w:pStyle w:val="ListBullet2"/>
        <w:numPr>
          <w:ilvl w:val="0"/>
          <w:numId w:val="66"/>
        </w:numPr>
        <w:spacing w:line="276" w:lineRule="auto"/>
        <w:rPr>
          <w:sz w:val="22"/>
          <w:szCs w:val="22"/>
        </w:rPr>
      </w:pPr>
      <w:hyperlink r:id="rId33" w:history="1">
        <w:r>
          <w:rPr>
            <w:rStyle w:val="Hyperlink"/>
            <w:b/>
            <w:bCs/>
            <w:sz w:val="22"/>
            <w:szCs w:val="22"/>
          </w:rPr>
          <w:t>Adults with impaired decision-making capacity</w:t>
        </w:r>
      </w:hyperlink>
      <w:r>
        <w:rPr>
          <w:sz w:val="22"/>
          <w:szCs w:val="22"/>
        </w:rPr>
        <w:t xml:space="preserve">: For more information, reference the </w:t>
      </w:r>
      <w:hyperlink w:anchor="B23" w:history="1">
        <w:r>
          <w:rPr>
            <w:rStyle w:val="Hyperlink"/>
            <w:sz w:val="22"/>
            <w:szCs w:val="22"/>
          </w:rPr>
          <w:t>Vulnerable Populations: Students, Employees, and Adults with Impaired Decision-Making Capacity</w:t>
        </w:r>
      </w:hyperlink>
      <w:r>
        <w:rPr>
          <w:sz w:val="22"/>
          <w:szCs w:val="22"/>
        </w:rPr>
        <w:t xml:space="preserve"> policy which outlines additional protections that investigators and IRBs should consider when proposed research activities involve impaired adults. Note that this policy also describes other potentially vulnerable populations, including students and employees. </w:t>
      </w:r>
    </w:p>
    <w:p w14:paraId="583BE68A" w14:textId="77777777" w:rsidR="002A2078" w:rsidRPr="00E6416A" w:rsidRDefault="00C53BF5" w:rsidP="00A07209">
      <w:pPr>
        <w:pStyle w:val="ListBullet2"/>
        <w:numPr>
          <w:ilvl w:val="0"/>
          <w:numId w:val="66"/>
        </w:numPr>
        <w:spacing w:line="276" w:lineRule="auto"/>
        <w:rPr>
          <w:sz w:val="22"/>
          <w:szCs w:val="22"/>
        </w:rPr>
      </w:pPr>
      <w:hyperlink r:id="rId34" w:history="1">
        <w:r>
          <w:rPr>
            <w:rStyle w:val="Hyperlink"/>
            <w:b/>
            <w:bCs/>
            <w:sz w:val="22"/>
            <w:szCs w:val="22"/>
          </w:rPr>
          <w:t>Individuals who are not yet adults (infants, children, teenagers)</w:t>
        </w:r>
      </w:hyperlink>
      <w:r>
        <w:rPr>
          <w:b/>
          <w:bCs/>
          <w:sz w:val="22"/>
          <w:szCs w:val="22"/>
        </w:rPr>
        <w:t xml:space="preserve">: </w:t>
      </w:r>
      <w:r>
        <w:rPr>
          <w:sz w:val="22"/>
          <w:szCs w:val="22"/>
        </w:rPr>
        <w:t xml:space="preserve">For more information, reference the </w:t>
      </w:r>
      <w:hyperlink w:anchor="B22" w:history="1">
        <w:r>
          <w:rPr>
            <w:rStyle w:val="Hyperlink"/>
            <w:sz w:val="22"/>
            <w:szCs w:val="22"/>
          </w:rPr>
          <w:t>Research Involving Children</w:t>
        </w:r>
      </w:hyperlink>
      <w:r>
        <w:rPr>
          <w:sz w:val="22"/>
          <w:szCs w:val="22"/>
        </w:rPr>
        <w:t xml:space="preserve"> policy describing the additional protections that must be provided to children involved in research. </w:t>
      </w:r>
    </w:p>
    <w:p w14:paraId="0D0823D6" w14:textId="77777777" w:rsidR="002A2078" w:rsidRPr="00E6416A" w:rsidRDefault="00C53BF5" w:rsidP="00A07209">
      <w:pPr>
        <w:pStyle w:val="ListBullet2"/>
        <w:numPr>
          <w:ilvl w:val="0"/>
          <w:numId w:val="66"/>
        </w:numPr>
        <w:spacing w:line="276" w:lineRule="auto"/>
        <w:rPr>
          <w:sz w:val="22"/>
          <w:szCs w:val="22"/>
        </w:rPr>
      </w:pPr>
      <w:hyperlink r:id="rId35" w:history="1">
        <w:r>
          <w:rPr>
            <w:rStyle w:val="Hyperlink"/>
            <w:b/>
            <w:bCs/>
            <w:sz w:val="22"/>
            <w:szCs w:val="22"/>
          </w:rPr>
          <w:t>Pregnant women</w:t>
        </w:r>
      </w:hyperlink>
      <w:r>
        <w:rPr>
          <w:b/>
          <w:bCs/>
          <w:sz w:val="22"/>
          <w:szCs w:val="22"/>
        </w:rPr>
        <w:t xml:space="preserve">: </w:t>
      </w:r>
      <w:r>
        <w:rPr>
          <w:sz w:val="22"/>
          <w:szCs w:val="22"/>
        </w:rPr>
        <w:t xml:space="preserve">For more information, reference the </w:t>
      </w:r>
      <w:hyperlink w:anchor="B20" w:history="1">
        <w:r>
          <w:rPr>
            <w:rStyle w:val="Hyperlink"/>
            <w:sz w:val="22"/>
            <w:szCs w:val="22"/>
          </w:rPr>
          <w:t>Research Involving Pregnant Women, Fetuses, or Neonates.</w:t>
        </w:r>
      </w:hyperlink>
      <w:r>
        <w:rPr>
          <w:sz w:val="22"/>
          <w:szCs w:val="22"/>
        </w:rPr>
        <w:t xml:space="preserve"> This policy describes the additional protections that </w:t>
      </w:r>
      <w:r>
        <w:rPr>
          <w:sz w:val="22"/>
          <w:szCs w:val="22"/>
        </w:rPr>
        <w:lastRenderedPageBreak/>
        <w:t>must be provided to pregnant women, fetuses, and neonates involved in research and the requirements for informed consent when these populations are involved. </w:t>
      </w:r>
    </w:p>
    <w:p w14:paraId="0C538B35" w14:textId="77777777" w:rsidR="00730C53" w:rsidRPr="00E6416A" w:rsidRDefault="00C53BF5" w:rsidP="00A07209">
      <w:pPr>
        <w:pStyle w:val="ListBullet2"/>
        <w:numPr>
          <w:ilvl w:val="0"/>
          <w:numId w:val="66"/>
        </w:numPr>
        <w:spacing w:line="276" w:lineRule="auto"/>
        <w:rPr>
          <w:sz w:val="22"/>
          <w:szCs w:val="22"/>
        </w:rPr>
      </w:pPr>
      <w:hyperlink r:id="rId36" w:history="1">
        <w:r>
          <w:rPr>
            <w:rStyle w:val="Hyperlink"/>
            <w:b/>
            <w:bCs/>
            <w:sz w:val="22"/>
            <w:szCs w:val="22"/>
          </w:rPr>
          <w:t>Prisoners</w:t>
        </w:r>
      </w:hyperlink>
      <w:r>
        <w:rPr>
          <w:b/>
          <w:bCs/>
          <w:sz w:val="22"/>
          <w:szCs w:val="22"/>
        </w:rPr>
        <w:t xml:space="preserve">: </w:t>
      </w:r>
      <w:r>
        <w:rPr>
          <w:sz w:val="22"/>
          <w:szCs w:val="22"/>
        </w:rPr>
        <w:t xml:space="preserve">For more information, reference the </w:t>
      </w:r>
      <w:hyperlink w:anchor="B21" w:history="1">
        <w:r>
          <w:rPr>
            <w:rStyle w:val="Hyperlink"/>
            <w:sz w:val="22"/>
            <w:szCs w:val="22"/>
          </w:rPr>
          <w:t>Research Involving Prisoners</w:t>
        </w:r>
      </w:hyperlink>
      <w:r>
        <w:rPr>
          <w:b/>
          <w:bCs/>
          <w:sz w:val="22"/>
          <w:szCs w:val="22"/>
        </w:rPr>
        <w:t xml:space="preserve"> </w:t>
      </w:r>
      <w:r>
        <w:rPr>
          <w:sz w:val="22"/>
          <w:szCs w:val="22"/>
        </w:rPr>
        <w:t>policy which describes the additional protections that must be provided to prisoners involved in research. These requirements apply to research involving prisoners and individuals who later become prisoners during their research participation. </w:t>
      </w:r>
    </w:p>
    <w:p w14:paraId="7C102826" w14:textId="77777777" w:rsidR="005D1822" w:rsidRPr="001F749B" w:rsidRDefault="004E1D4F" w:rsidP="00B632B2">
      <w:pPr>
        <w:pStyle w:val="Heading2"/>
      </w:pPr>
      <w:bookmarkStart w:id="35" w:name="_Toc212142133"/>
      <w:bookmarkStart w:id="36" w:name="_Toc225507675"/>
      <w:r>
        <w:t>Informed Consent and Consent Documentation</w:t>
      </w:r>
      <w:bookmarkEnd w:id="35"/>
      <w:bookmarkEnd w:id="36"/>
      <w:r>
        <w:t xml:space="preserve"> </w:t>
      </w:r>
    </w:p>
    <w:p w14:paraId="12E126FA" w14:textId="77777777" w:rsidR="005D1822" w:rsidRPr="00E6416A" w:rsidRDefault="004E1D4F" w:rsidP="004E1D4F">
      <w:pPr>
        <w:pStyle w:val="BodyText"/>
      </w:pPr>
      <w:r>
        <w:t>Use the consent templates available in the</w:t>
      </w:r>
      <w:hyperlink r:id="rId37" w:history="1">
        <w:r>
          <w:rPr>
            <w:rStyle w:val="Hyperlink"/>
          </w:rPr>
          <w:t xml:space="preserve"> Huron IRB Library</w:t>
        </w:r>
      </w:hyperlink>
      <w:r>
        <w:t xml:space="preserve"> to create a consent document. </w:t>
      </w:r>
    </w:p>
    <w:p w14:paraId="62A11152" w14:textId="77777777" w:rsidR="00BD48D0" w:rsidRPr="00E6416A" w:rsidRDefault="004E1D4F" w:rsidP="00D07BAF">
      <w:pPr>
        <w:pStyle w:val="BodyText"/>
      </w:pPr>
      <w:r>
        <w:t xml:space="preserve">All long form consent documents and summaries for short form consent documents must contain all required elements of informed consent and additional elements as relevant defined in the </w:t>
      </w:r>
      <w:hyperlink w:anchor="B14" w:history="1">
        <w:r>
          <w:rPr>
            <w:rStyle w:val="Hyperlink"/>
          </w:rPr>
          <w:t>Informed Consent Process and the Elements of Informed Consent</w:t>
        </w:r>
      </w:hyperlink>
      <w:r>
        <w:t xml:space="preserve"> policy. Review this policy to ensure that all elements are appropriately addressed. </w:t>
      </w:r>
    </w:p>
    <w:p w14:paraId="58226216" w14:textId="77777777" w:rsidR="005D1822" w:rsidRPr="00E6416A" w:rsidRDefault="005D1822" w:rsidP="00AD33B7">
      <w:pPr>
        <w:pStyle w:val="BodyText"/>
      </w:pPr>
      <w:r>
        <w:t xml:space="preserve">When using the </w:t>
      </w:r>
      <w:hyperlink w:anchor="B17" w:history="1">
        <w:r>
          <w:rPr>
            <w:rStyle w:val="Hyperlink"/>
          </w:rPr>
          <w:t>short form for consent documentation</w:t>
        </w:r>
      </w:hyperlink>
      <w:r>
        <w:t>, ensure the appropriate signature block is included. Translations of short form documents must be IRB-approved prior to use. If a translation is needed in a language not yet approved, contact ORRP for assistance.</w:t>
      </w:r>
    </w:p>
    <w:p w14:paraId="3A19C407" w14:textId="77777777" w:rsidR="005D1822" w:rsidRPr="00E6416A" w:rsidRDefault="005D1822" w:rsidP="00AD33B7">
      <w:pPr>
        <w:pStyle w:val="BodyText"/>
      </w:pPr>
      <w:r>
        <w:t xml:space="preserve">If your research study meets the requirements for an </w:t>
      </w:r>
      <w:hyperlink w:anchor="B6" w:history="1">
        <w:r>
          <w:rPr>
            <w:rStyle w:val="Hyperlink"/>
          </w:rPr>
          <w:t>exempt determination</w:t>
        </w:r>
      </w:hyperlink>
      <w:r>
        <w:t xml:space="preserve"> and there are interactions with participants, </w:t>
      </w:r>
      <w:hyperlink r:id="rId38" w:history="1">
        <w:r w:rsidRPr="00E56957">
          <w:rPr>
            <w:rStyle w:val="Hyperlink"/>
          </w:rPr>
          <w:t>use the exempt research consent template</w:t>
        </w:r>
      </w:hyperlink>
      <w:r>
        <w:t>. You may also use an abbreviated process for obtaining consent, but you must provide the following information to participants through an information sheet or written script:</w:t>
      </w:r>
    </w:p>
    <w:p w14:paraId="098218D0" w14:textId="77777777" w:rsidR="005D1822" w:rsidRPr="00E6416A" w:rsidRDefault="005D1822" w:rsidP="008E1F98">
      <w:pPr>
        <w:pStyle w:val="BodyText"/>
        <w:numPr>
          <w:ilvl w:val="0"/>
          <w:numId w:val="23"/>
        </w:numPr>
      </w:pPr>
      <w:r>
        <w:t>The participant is being asked to be in a research study,</w:t>
      </w:r>
    </w:p>
    <w:p w14:paraId="5EFE95FD" w14:textId="77777777" w:rsidR="005D1822" w:rsidRPr="00E6416A" w:rsidRDefault="005D1822" w:rsidP="008E1F98">
      <w:pPr>
        <w:pStyle w:val="BodyText"/>
        <w:numPr>
          <w:ilvl w:val="0"/>
          <w:numId w:val="23"/>
        </w:numPr>
      </w:pPr>
      <w:r>
        <w:t>A description of the procedure(s) the participant will be asked to complete,</w:t>
      </w:r>
    </w:p>
    <w:p w14:paraId="67CCEE1D" w14:textId="77777777" w:rsidR="005D1822" w:rsidRPr="00E6416A" w:rsidRDefault="005D1822" w:rsidP="008E1F98">
      <w:pPr>
        <w:pStyle w:val="BodyText"/>
        <w:numPr>
          <w:ilvl w:val="0"/>
          <w:numId w:val="23"/>
        </w:numPr>
      </w:pPr>
      <w:r>
        <w:t>Participation is voluntary, and</w:t>
      </w:r>
    </w:p>
    <w:p w14:paraId="3BD7BB42" w14:textId="77777777" w:rsidR="005D1822" w:rsidRPr="00E6416A" w:rsidRDefault="005D1822" w:rsidP="008E1F98">
      <w:pPr>
        <w:pStyle w:val="BodyText"/>
        <w:numPr>
          <w:ilvl w:val="0"/>
          <w:numId w:val="23"/>
        </w:numPr>
      </w:pPr>
      <w:r>
        <w:t>The investigator’s name and contact information.</w:t>
      </w:r>
    </w:p>
    <w:p w14:paraId="5E379BF5" w14:textId="77777777" w:rsidR="005D1822" w:rsidRPr="00E6416A" w:rsidRDefault="00BD48D0" w:rsidP="00BD48D0">
      <w:pPr>
        <w:pStyle w:val="BodyText"/>
      </w:pPr>
      <w:r>
        <w:t xml:space="preserve">Always date revisions to ensure the currently approved version is used.  </w:t>
      </w:r>
    </w:p>
    <w:p w14:paraId="1666DCB3" w14:textId="77777777" w:rsidR="00103A38" w:rsidRPr="00FD6740" w:rsidRDefault="00BD48D0" w:rsidP="00B632B2">
      <w:pPr>
        <w:pStyle w:val="Heading3"/>
      </w:pPr>
      <w:bookmarkStart w:id="37" w:name="_Toc212142134"/>
      <w:bookmarkStart w:id="38" w:name="_Toc225507676"/>
      <w:r>
        <w:t>Obtaining Informed Consent</w:t>
      </w:r>
      <w:bookmarkEnd w:id="37"/>
      <w:bookmarkEnd w:id="38"/>
    </w:p>
    <w:p w14:paraId="032D7894" w14:textId="77777777" w:rsidR="008A7BFF" w:rsidRPr="00E6416A" w:rsidRDefault="00103A38" w:rsidP="00103A38">
      <w:pPr>
        <w:tabs>
          <w:tab w:val="num" w:pos="3456"/>
        </w:tabs>
      </w:pPr>
      <w:r>
        <w:t xml:space="preserve">Informed consent is the agreement to participate in research expressed by an individual (or his/her legally authorized representative authorized under applicable law to make such decisions) based on sufficient information (e.g., regarding possible risks and benefits of the research) and adequate opportunity to consider voluntary participation. Also known as: legally effective informed consent. Obtaining consent is required for participation in research unless a waiver or alteration is approved by the IRB. </w:t>
      </w:r>
    </w:p>
    <w:p w14:paraId="02776610" w14:textId="77777777" w:rsidR="00103A38" w:rsidRPr="00E6416A" w:rsidRDefault="00103A38" w:rsidP="008A7BFF">
      <w:pPr>
        <w:tabs>
          <w:tab w:val="num" w:pos="3456"/>
        </w:tabs>
      </w:pPr>
      <w:r>
        <w:t xml:space="preserve">Refer to the </w:t>
      </w:r>
      <w:hyperlink w:anchor="_Appendix_B-14_" w:history="1">
        <w:r>
          <w:rPr>
            <w:rStyle w:val="Hyperlink"/>
          </w:rPr>
          <w:t>Informed Consent Process and the Elements of Informed Consent</w:t>
        </w:r>
      </w:hyperlink>
      <w:r>
        <w:t xml:space="preserve"> policy for detailed guidance. </w:t>
      </w:r>
    </w:p>
    <w:p w14:paraId="3993324E" w14:textId="77777777" w:rsidR="00103A38" w:rsidRPr="00FD6740" w:rsidRDefault="00103A38" w:rsidP="00B632B2">
      <w:pPr>
        <w:pStyle w:val="Heading3"/>
      </w:pPr>
      <w:bookmarkStart w:id="39" w:name="_Toc212142135"/>
      <w:bookmarkStart w:id="40" w:name="_Toc225507677"/>
      <w:r>
        <w:t>Assent</w:t>
      </w:r>
      <w:bookmarkEnd w:id="39"/>
      <w:bookmarkEnd w:id="40"/>
    </w:p>
    <w:p w14:paraId="5EFDB78A" w14:textId="77777777" w:rsidR="00103A38" w:rsidRPr="00E6416A" w:rsidRDefault="00103A38" w:rsidP="00103A38">
      <w:r>
        <w:t xml:space="preserve">Assent is the agreement to participate in research expressed by an individual (e.g., a child, adult with impaired decision-making capacity) who cannot provide legally effective informed consent to participate on their own behalf. </w:t>
      </w:r>
      <w:r>
        <w:rPr>
          <w:u w:val="single"/>
        </w:rPr>
        <w:t xml:space="preserve">Failure to object does not constitute assent. </w:t>
      </w:r>
      <w:r>
        <w:t xml:space="preserve">Reference the </w:t>
      </w:r>
      <w:hyperlink w:anchor="B16" w:history="1">
        <w:r>
          <w:rPr>
            <w:rStyle w:val="Hyperlink"/>
          </w:rPr>
          <w:t xml:space="preserve">Assent and Parental </w:t>
        </w:r>
        <w:r>
          <w:rPr>
            <w:rStyle w:val="Hyperlink"/>
          </w:rPr>
          <w:lastRenderedPageBreak/>
          <w:t>Permission</w:t>
        </w:r>
      </w:hyperlink>
      <w:r>
        <w:t xml:space="preserve"> policy for further details on assent of children and the </w:t>
      </w:r>
      <w:hyperlink w:anchor="_Appendix_B-23_" w:history="1">
        <w:r>
          <w:rPr>
            <w:rStyle w:val="Hyperlink"/>
          </w:rPr>
          <w:t>Vulnerable Populations</w:t>
        </w:r>
      </w:hyperlink>
      <w:r>
        <w:t xml:space="preserve"> policy for further details on assent of adults.</w:t>
      </w:r>
    </w:p>
    <w:p w14:paraId="46772032" w14:textId="77777777" w:rsidR="00103A38" w:rsidRPr="00FD6740" w:rsidRDefault="00103A38" w:rsidP="00FD6740">
      <w:pPr>
        <w:pStyle w:val="Heading3"/>
      </w:pPr>
      <w:bookmarkStart w:id="41" w:name="_Toc212142136"/>
      <w:bookmarkStart w:id="42" w:name="_Toc225507678"/>
      <w:r>
        <w:t>Documenting Consent</w:t>
      </w:r>
      <w:bookmarkEnd w:id="41"/>
      <w:bookmarkEnd w:id="42"/>
      <w:r>
        <w:t xml:space="preserve"> </w:t>
      </w:r>
    </w:p>
    <w:p w14:paraId="631AE9B1" w14:textId="77777777" w:rsidR="00103A38" w:rsidRPr="00E6416A" w:rsidRDefault="00103A38" w:rsidP="00103A38">
      <w:r>
        <w:t xml:space="preserve">Reference the </w:t>
      </w:r>
      <w:hyperlink w:anchor="B15" w:history="1">
        <w:r>
          <w:rPr>
            <w:rStyle w:val="Hyperlink"/>
          </w:rPr>
          <w:t>Documentation of Informed Consent process</w:t>
        </w:r>
      </w:hyperlink>
      <w:r>
        <w:t xml:space="preserve"> policy for guidance on federal regulations, which require in most circumstances informed consent to be documented by use of a written consent form approved by the IRB and signed by the research participant or the participant’s legally authorized representative. Consent forms must include the required (and any applicable additional) elements of informed consent, unless the IRB approves either an alteration of consent, use of a short form stating that the elements of consent have been presented, or a waiver of the requirement for written documentation of the consent process.</w:t>
      </w:r>
    </w:p>
    <w:p w14:paraId="1A8408BD" w14:textId="77777777" w:rsidR="00103A38" w:rsidRPr="00B632B2" w:rsidRDefault="00103A38" w:rsidP="0026426C">
      <w:r>
        <w:t xml:space="preserve">The </w:t>
      </w:r>
      <w:hyperlink w:anchor="B17" w:history="1">
        <w:r>
          <w:rPr>
            <w:rStyle w:val="Hyperlink"/>
          </w:rPr>
          <w:t>Short Form Informed Consent</w:t>
        </w:r>
      </w:hyperlink>
      <w:r>
        <w:t xml:space="preserve"> policy provides further information on federal regulations, which require the informed consent process be conducted in “language understandable” to research participants and, with certain exceptions, that informed consent is documented in writing by use of a written consent form approved by the IRB and signed and dated by the individual or the individual’s legally authorized representative. In limited situations the regulations permit the informed consent process to be conducted orally, with a written “short form” consent document. This process may be used to obtain the informed consent of non-English speaking subjects or their legally authorized representatives as described in detail in the policy.</w:t>
      </w:r>
    </w:p>
    <w:p w14:paraId="5650018B" w14:textId="77777777" w:rsidR="00A31EDA" w:rsidRPr="00494045" w:rsidRDefault="005D1822" w:rsidP="00B632B2">
      <w:pPr>
        <w:pStyle w:val="Heading2"/>
      </w:pPr>
      <w:bookmarkStart w:id="43" w:name="_Toc212142137"/>
      <w:bookmarkStart w:id="44" w:name="_Toc225507679"/>
      <w:r>
        <w:t>Submitting New Research</w:t>
      </w:r>
      <w:bookmarkEnd w:id="43"/>
      <w:bookmarkEnd w:id="44"/>
    </w:p>
    <w:p w14:paraId="565804E4" w14:textId="77777777" w:rsidR="00A97017" w:rsidRPr="00E6416A" w:rsidRDefault="00A97017" w:rsidP="00AD33B7">
      <w:pPr>
        <w:pStyle w:val="BodyText"/>
      </w:pPr>
      <w:r>
        <w:t>To create and submit a new study in the Huron IRB system, refer to the following resources:</w:t>
      </w:r>
    </w:p>
    <w:p w14:paraId="09C07F0A" w14:textId="77777777" w:rsidR="00A97017" w:rsidRPr="00E6416A" w:rsidRDefault="00520C6C" w:rsidP="00A07209">
      <w:pPr>
        <w:pStyle w:val="BodyText"/>
        <w:numPr>
          <w:ilvl w:val="0"/>
          <w:numId w:val="70"/>
        </w:numPr>
        <w:spacing w:after="0"/>
      </w:pPr>
      <w:hyperlink r:id="rId39" w:history="1">
        <w:r>
          <w:rPr>
            <w:rStyle w:val="Hyperlink"/>
          </w:rPr>
          <w:t>Huron IRB – Create and Submit a New Study</w:t>
        </w:r>
      </w:hyperlink>
      <w:r>
        <w:t xml:space="preserve"> </w:t>
      </w:r>
    </w:p>
    <w:p w14:paraId="38D65ECD" w14:textId="77777777" w:rsidR="00A97017" w:rsidRPr="00E6416A" w:rsidRDefault="00520C6C" w:rsidP="00A07209">
      <w:pPr>
        <w:pStyle w:val="BodyText"/>
        <w:numPr>
          <w:ilvl w:val="0"/>
          <w:numId w:val="70"/>
        </w:numPr>
        <w:spacing w:after="0"/>
      </w:pPr>
      <w:hyperlink r:id="rId40" w:history="1">
        <w:r>
          <w:rPr>
            <w:rStyle w:val="Hyperlink"/>
          </w:rPr>
          <w:t>Huron IRB – Checklist of Information to Attach</w:t>
        </w:r>
      </w:hyperlink>
      <w:r>
        <w:t xml:space="preserve">. </w:t>
      </w:r>
    </w:p>
    <w:p w14:paraId="12FFB2D8" w14:textId="77777777" w:rsidR="00520C6C" w:rsidRPr="00E6416A" w:rsidRDefault="00F32CF2" w:rsidP="00A97017">
      <w:pPr>
        <w:pStyle w:val="BodyText"/>
        <w:spacing w:line="276" w:lineRule="auto"/>
      </w:pPr>
      <w:r>
        <w:t xml:space="preserve">These documents are located in the </w:t>
      </w:r>
      <w:hyperlink r:id="rId41" w:history="1">
        <w:r>
          <w:rPr>
            <w:rStyle w:val="Hyperlink"/>
          </w:rPr>
          <w:t>Huron IRB section of ERIK’s Research Knowledge Base</w:t>
        </w:r>
      </w:hyperlink>
      <w:r>
        <w:t>, which contains reference materials outlining procedures for various Huron IRB actions.</w:t>
      </w:r>
    </w:p>
    <w:p w14:paraId="767CD02C" w14:textId="77777777" w:rsidR="00A97017" w:rsidRPr="00FD6740" w:rsidRDefault="00A97017" w:rsidP="00B632B2">
      <w:pPr>
        <w:pStyle w:val="Heading3"/>
      </w:pPr>
      <w:bookmarkStart w:id="45" w:name="_Toc212142138"/>
      <w:bookmarkStart w:id="46" w:name="_Toc225507680"/>
      <w:r>
        <w:t>Submission Instructions</w:t>
      </w:r>
      <w:bookmarkEnd w:id="45"/>
      <w:bookmarkEnd w:id="46"/>
    </w:p>
    <w:p w14:paraId="2D4B21AB" w14:textId="77777777" w:rsidR="00A97017" w:rsidRDefault="004B5D1B" w:rsidP="00A97017">
      <w:pPr>
        <w:pStyle w:val="BodyText"/>
        <w:spacing w:line="276" w:lineRule="auto"/>
      </w:pPr>
      <w:r>
        <w:t xml:space="preserve">Complete the “New Study” SmartForm in the Huron IRB system and attach all required supplemental documents. The PI must submit the SmartForm by selecting the “Submit” activity. </w:t>
      </w:r>
    </w:p>
    <w:p w14:paraId="3657765D" w14:textId="77777777" w:rsidR="004521D0" w:rsidRDefault="004B5D1B" w:rsidP="00AD33B7">
      <w:pPr>
        <w:pStyle w:val="BodyText"/>
      </w:pPr>
      <w:r>
        <w:t>Before submitting the study for initial review, ensure the following:</w:t>
      </w:r>
    </w:p>
    <w:p w14:paraId="54648E13" w14:textId="77777777" w:rsidR="002A6422" w:rsidRPr="002A6422" w:rsidRDefault="002A6422" w:rsidP="008E1F98">
      <w:pPr>
        <w:pStyle w:val="BodyText"/>
        <w:numPr>
          <w:ilvl w:val="0"/>
          <w:numId w:val="19"/>
        </w:numPr>
        <w:contextualSpacing/>
      </w:pPr>
      <w:r>
        <w:t>Confirm the financial interest status (“yes” or “no”) for each member of the research team.</w:t>
      </w:r>
    </w:p>
    <w:p w14:paraId="30AB42E6" w14:textId="77777777" w:rsidR="00ED23BC" w:rsidRDefault="002A6422" w:rsidP="008E1F98">
      <w:pPr>
        <w:pStyle w:val="BodyText"/>
        <w:numPr>
          <w:ilvl w:val="0"/>
          <w:numId w:val="19"/>
        </w:numPr>
        <w:contextualSpacing/>
      </w:pPr>
      <w:r>
        <w:t>Obtain each team member’s agreement to their role in the research.</w:t>
      </w:r>
    </w:p>
    <w:p w14:paraId="35323CC9" w14:textId="77777777" w:rsidR="002A6422" w:rsidRPr="00FD6740" w:rsidRDefault="002A6422" w:rsidP="00B632B2">
      <w:pPr>
        <w:pStyle w:val="Heading3"/>
      </w:pPr>
      <w:bookmarkStart w:id="47" w:name="_Toc212142139"/>
      <w:bookmarkStart w:id="48" w:name="_Toc225507681"/>
      <w:r>
        <w:t>Additional Guidance</w:t>
      </w:r>
      <w:bookmarkEnd w:id="47"/>
      <w:bookmarkEnd w:id="48"/>
      <w:r>
        <w:t xml:space="preserve"> </w:t>
      </w:r>
    </w:p>
    <w:p w14:paraId="6352AC94" w14:textId="77777777" w:rsidR="002A6422" w:rsidRPr="00E6416A" w:rsidRDefault="002A6422" w:rsidP="00B57D37">
      <w:pPr>
        <w:pStyle w:val="BodyText"/>
        <w:contextualSpacing/>
      </w:pPr>
      <w:r>
        <w:t>For help responding to clarification requests or updating study documents during the submission process, consult these resources in the Research Knowledge Base:</w:t>
      </w:r>
    </w:p>
    <w:p w14:paraId="75B3A77E" w14:textId="77777777" w:rsidR="000971AB" w:rsidRPr="001F749B" w:rsidRDefault="000971AB" w:rsidP="00B57D37">
      <w:pPr>
        <w:pStyle w:val="BodyText"/>
        <w:contextualSpacing/>
      </w:pPr>
    </w:p>
    <w:p w14:paraId="082D8509" w14:textId="77777777" w:rsidR="00426C8A" w:rsidRPr="00E6416A" w:rsidRDefault="00ED23BC" w:rsidP="00A07209">
      <w:pPr>
        <w:pStyle w:val="BodyText"/>
        <w:numPr>
          <w:ilvl w:val="0"/>
          <w:numId w:val="71"/>
        </w:numPr>
        <w:contextualSpacing/>
      </w:pPr>
      <w:hyperlink r:id="rId42" w:history="1">
        <w:r>
          <w:rPr>
            <w:rStyle w:val="Hyperlink"/>
          </w:rPr>
          <w:t>Huron IRB- Respond to a Clarification Request</w:t>
        </w:r>
      </w:hyperlink>
      <w:r>
        <w:t>.</w:t>
      </w:r>
    </w:p>
    <w:p w14:paraId="55557246" w14:textId="77777777" w:rsidR="00520C6C" w:rsidRPr="00E6416A" w:rsidRDefault="00520C6C" w:rsidP="00A07209">
      <w:pPr>
        <w:pStyle w:val="BodyText"/>
        <w:numPr>
          <w:ilvl w:val="0"/>
          <w:numId w:val="65"/>
        </w:numPr>
        <w:contextualSpacing/>
      </w:pPr>
      <w:hyperlink r:id="rId43" w:history="1">
        <w:r>
          <w:rPr>
            <w:rStyle w:val="Hyperlink"/>
          </w:rPr>
          <w:t>Huron IRB - Change Study Documents</w:t>
        </w:r>
      </w:hyperlink>
    </w:p>
    <w:p w14:paraId="4A0DD69F" w14:textId="77777777" w:rsidR="00520C6C" w:rsidRDefault="00520C6C" w:rsidP="00B632B2">
      <w:pPr>
        <w:pStyle w:val="BodyText"/>
        <w:spacing w:line="276" w:lineRule="auto"/>
        <w:ind w:left="720"/>
        <w:contextualSpacing/>
      </w:pPr>
    </w:p>
    <w:p w14:paraId="0FEF80E2" w14:textId="77777777" w:rsidR="00275A52" w:rsidRPr="00FD6740" w:rsidRDefault="00385F7F" w:rsidP="00B632B2">
      <w:pPr>
        <w:pStyle w:val="Heading3"/>
      </w:pPr>
      <w:bookmarkStart w:id="49" w:name="_Toc212142140"/>
      <w:bookmarkStart w:id="50" w:name="_Toc225507682"/>
      <w:bookmarkStart w:id="51" w:name="_Toc2004247988"/>
      <w:bookmarkStart w:id="52" w:name="_Hlk183602600"/>
      <w:r>
        <w:lastRenderedPageBreak/>
        <w:t>Departmental Approval Process</w:t>
      </w:r>
      <w:bookmarkEnd w:id="49"/>
      <w:bookmarkEnd w:id="50"/>
      <w:r>
        <w:t xml:space="preserve"> </w:t>
      </w:r>
      <w:bookmarkEnd w:id="51"/>
    </w:p>
    <w:p w14:paraId="72301FE3" w14:textId="77777777" w:rsidR="00CD0A17" w:rsidRPr="00916D1C" w:rsidRDefault="00282743" w:rsidP="00CD0A17">
      <w:r>
        <w:t xml:space="preserve">All non-exempt initial submissions require departmental approval before the pre-review process.   When a new study is ready for departmental review, check the box for “I certify that this submission is ready to be routed for departmental approval” on the submission’s Departmental Approval page, click Save or Continue, and then Exit to close the form. The protocol and any other applicable documents will be sent to the PI’s departmental endorser via DocuSign.  A verification message will then be sent to the PI that identifies their departmental endorser(s).  Departmental endorsers may ask the PI and/or research team for more information or request required changes prior to endorsing the study. </w:t>
      </w:r>
    </w:p>
    <w:p w14:paraId="3B4433BD" w14:textId="77777777" w:rsidR="008A7BFF" w:rsidRDefault="003A0386" w:rsidP="0010197C">
      <w:r>
        <w:t>When ready, the endorser will complete the form via DocuSign which then routes to the PI.  The PI must then upload the executed DocuSign form to the submission in the Departmental Approval form section, click Save or Continue, Exit the form, then click Submit.</w:t>
      </w:r>
    </w:p>
    <w:p w14:paraId="42819F45" w14:textId="77777777" w:rsidR="003C3906" w:rsidRPr="00FD6740" w:rsidRDefault="00344616" w:rsidP="00B632B2">
      <w:pPr>
        <w:pStyle w:val="Heading3"/>
      </w:pPr>
      <w:bookmarkStart w:id="53" w:name="_Toc212142141"/>
      <w:bookmarkStart w:id="54" w:name="_Toc225507683"/>
      <w:r>
        <w:t>Special Research Topics to Consider</w:t>
      </w:r>
      <w:bookmarkEnd w:id="53"/>
      <w:bookmarkEnd w:id="54"/>
    </w:p>
    <w:p w14:paraId="01C7EA18" w14:textId="77777777" w:rsidR="003C3906" w:rsidRPr="00E6416A" w:rsidRDefault="003C3906" w:rsidP="00AD33B7">
      <w:pPr>
        <w:spacing w:line="240" w:lineRule="auto"/>
      </w:pPr>
      <w:r>
        <w:t xml:space="preserve">If the investigator protocol includes the following research topics, reference the relevant HRPP policy: </w:t>
      </w:r>
    </w:p>
    <w:p w14:paraId="6D6C4DE4" w14:textId="77777777" w:rsidR="003C3906" w:rsidRPr="00E6416A" w:rsidRDefault="003C3906" w:rsidP="00A07209">
      <w:pPr>
        <w:pStyle w:val="ListBullet2"/>
        <w:numPr>
          <w:ilvl w:val="0"/>
          <w:numId w:val="69"/>
        </w:numPr>
        <w:rPr>
          <w:sz w:val="22"/>
          <w:szCs w:val="22"/>
        </w:rPr>
      </w:pPr>
      <w:hyperlink w:anchor="B25" w:history="1">
        <w:r>
          <w:rPr>
            <w:rStyle w:val="Hyperlink"/>
            <w:sz w:val="22"/>
            <w:szCs w:val="22"/>
          </w:rPr>
          <w:t>Research Involving Medical Devices:</w:t>
        </w:r>
      </w:hyperlink>
      <w:r>
        <w:rPr>
          <w:b/>
          <w:bCs/>
          <w:sz w:val="22"/>
          <w:szCs w:val="22"/>
        </w:rPr>
        <w:t xml:space="preserve"> </w:t>
      </w:r>
      <w:r>
        <w:rPr>
          <w:sz w:val="22"/>
          <w:szCs w:val="22"/>
        </w:rPr>
        <w:t>The purpose of this policy is to describe the requirements for research involving medical devices including requirements for Investigational Device Exemptions (IDEs), use of custom devices and Humanitarian Use Devices (HUDs), in vitro diagnostics, investigational device accountability and record retention. The responsibilities of investigators, IRBs, and sponsors are discussed accordingly.</w:t>
      </w:r>
    </w:p>
    <w:p w14:paraId="6EF5265A" w14:textId="77777777" w:rsidR="00A75726" w:rsidRPr="00E6416A" w:rsidRDefault="00A75726" w:rsidP="00A07209">
      <w:pPr>
        <w:pStyle w:val="ListBullet2"/>
        <w:numPr>
          <w:ilvl w:val="0"/>
          <w:numId w:val="68"/>
        </w:numPr>
        <w:rPr>
          <w:sz w:val="22"/>
          <w:szCs w:val="22"/>
        </w:rPr>
      </w:pPr>
      <w:hyperlink w:anchor="B24" w:history="1">
        <w:r>
          <w:rPr>
            <w:rStyle w:val="Hyperlink"/>
            <w:sz w:val="22"/>
            <w:szCs w:val="22"/>
          </w:rPr>
          <w:t>Research Involving Investigational Drugs:</w:t>
        </w:r>
      </w:hyperlink>
      <w:r>
        <w:rPr>
          <w:b/>
          <w:bCs/>
          <w:sz w:val="22"/>
          <w:szCs w:val="22"/>
        </w:rPr>
        <w:t xml:space="preserve"> </w:t>
      </w:r>
      <w:r>
        <w:rPr>
          <w:sz w:val="22"/>
          <w:szCs w:val="22"/>
        </w:rPr>
        <w:t xml:space="preserve">The purpose of this policy is to describe the requirements for research involving investigational drugs or biologics, including requirements for Investigational New Drug Applications (INDs), drug accountability and record retention. The responsibilities of investigators, IRBs, and sponsors are discussed accordingly. </w:t>
      </w:r>
      <w:r>
        <w:rPr>
          <w:b/>
          <w:bCs/>
          <w:sz w:val="22"/>
          <w:szCs w:val="22"/>
        </w:rPr>
        <w:t xml:space="preserve"> </w:t>
      </w:r>
    </w:p>
    <w:p w14:paraId="4DCD4BA5" w14:textId="77777777" w:rsidR="003C3906" w:rsidRPr="00E6416A" w:rsidRDefault="003C3906" w:rsidP="00A07209">
      <w:pPr>
        <w:pStyle w:val="ListBullet2"/>
        <w:numPr>
          <w:ilvl w:val="0"/>
          <w:numId w:val="68"/>
        </w:numPr>
        <w:rPr>
          <w:sz w:val="22"/>
          <w:szCs w:val="22"/>
        </w:rPr>
      </w:pPr>
      <w:hyperlink w:anchor="B26" w:history="1">
        <w:r>
          <w:rPr>
            <w:rStyle w:val="Hyperlink"/>
            <w:sz w:val="22"/>
            <w:szCs w:val="22"/>
          </w:rPr>
          <w:t>Research Involving Data and/or Biospecimens:</w:t>
        </w:r>
      </w:hyperlink>
      <w:r>
        <w:rPr>
          <w:b/>
          <w:bCs/>
          <w:sz w:val="22"/>
          <w:szCs w:val="22"/>
        </w:rPr>
        <w:t xml:space="preserve"> </w:t>
      </w:r>
      <w:r>
        <w:rPr>
          <w:sz w:val="22"/>
          <w:szCs w:val="22"/>
        </w:rPr>
        <w:t>The purpose of this policy is to describe the requirements for IRB approval (or exemption) and informed consent for any of the following: </w:t>
      </w:r>
    </w:p>
    <w:p w14:paraId="57DBEA02" w14:textId="77777777" w:rsidR="003C3906" w:rsidRPr="00E6416A" w:rsidRDefault="003C3906" w:rsidP="00A07209">
      <w:pPr>
        <w:pStyle w:val="ListBullet2"/>
        <w:numPr>
          <w:ilvl w:val="0"/>
          <w:numId w:val="67"/>
        </w:numPr>
        <w:rPr>
          <w:sz w:val="22"/>
          <w:szCs w:val="22"/>
        </w:rPr>
      </w:pPr>
      <w:r>
        <w:rPr>
          <w:sz w:val="22"/>
          <w:szCs w:val="22"/>
        </w:rPr>
        <w:t>Data and/or biospecimens collected for research purposes </w:t>
      </w:r>
    </w:p>
    <w:p w14:paraId="2AAD2C3D" w14:textId="77777777" w:rsidR="003C3906" w:rsidRPr="00E6416A" w:rsidRDefault="003C3906" w:rsidP="00A07209">
      <w:pPr>
        <w:pStyle w:val="ListBullet2"/>
        <w:numPr>
          <w:ilvl w:val="0"/>
          <w:numId w:val="67"/>
        </w:numPr>
        <w:rPr>
          <w:sz w:val="22"/>
          <w:szCs w:val="22"/>
        </w:rPr>
      </w:pPr>
      <w:r>
        <w:rPr>
          <w:sz w:val="22"/>
          <w:szCs w:val="22"/>
        </w:rPr>
        <w:t xml:space="preserve">Data and/or biospecimens collected, stored, and/or distributed for </w:t>
      </w:r>
      <w:r>
        <w:rPr>
          <w:i/>
          <w:iCs/>
          <w:sz w:val="22"/>
          <w:szCs w:val="22"/>
        </w:rPr>
        <w:t>future research uses</w:t>
      </w:r>
      <w:r>
        <w:rPr>
          <w:sz w:val="22"/>
          <w:szCs w:val="22"/>
        </w:rPr>
        <w:t> </w:t>
      </w:r>
    </w:p>
    <w:p w14:paraId="5086EE03" w14:textId="77777777" w:rsidR="001E3674" w:rsidRPr="00E6416A" w:rsidRDefault="003C3906" w:rsidP="00A07209">
      <w:pPr>
        <w:pStyle w:val="ListBullet2"/>
        <w:numPr>
          <w:ilvl w:val="0"/>
          <w:numId w:val="67"/>
        </w:numPr>
        <w:rPr>
          <w:sz w:val="22"/>
          <w:szCs w:val="22"/>
        </w:rPr>
      </w:pPr>
      <w:r>
        <w:rPr>
          <w:sz w:val="22"/>
          <w:szCs w:val="22"/>
        </w:rPr>
        <w:t xml:space="preserve">Previously collected data/biospecimens used for </w:t>
      </w:r>
      <w:r>
        <w:rPr>
          <w:i/>
          <w:iCs/>
          <w:sz w:val="22"/>
          <w:szCs w:val="22"/>
        </w:rPr>
        <w:t>secondary research</w:t>
      </w:r>
      <w:r>
        <w:rPr>
          <w:sz w:val="22"/>
          <w:szCs w:val="22"/>
        </w:rPr>
        <w:t> </w:t>
      </w:r>
    </w:p>
    <w:p w14:paraId="6365B85D" w14:textId="77777777" w:rsidR="00FD6740" w:rsidRPr="00E6416A" w:rsidRDefault="003C3906" w:rsidP="00A07209">
      <w:pPr>
        <w:pStyle w:val="ListBullet2"/>
        <w:numPr>
          <w:ilvl w:val="0"/>
          <w:numId w:val="68"/>
        </w:numPr>
        <w:rPr>
          <w:sz w:val="22"/>
          <w:szCs w:val="22"/>
        </w:rPr>
      </w:pPr>
      <w:hyperlink w:anchor="B33" w:history="1">
        <w:r>
          <w:rPr>
            <w:rStyle w:val="Hyperlink"/>
            <w:sz w:val="22"/>
            <w:szCs w:val="22"/>
          </w:rPr>
          <w:t>Research Involving Radiation:</w:t>
        </w:r>
      </w:hyperlink>
      <w:r>
        <w:rPr>
          <w:b/>
          <w:bCs/>
          <w:sz w:val="22"/>
          <w:szCs w:val="22"/>
        </w:rPr>
        <w:t xml:space="preserve"> </w:t>
      </w:r>
      <w:r>
        <w:rPr>
          <w:sz w:val="22"/>
          <w:szCs w:val="22"/>
        </w:rPr>
        <w:t>Radiation exposure other than that received in routine and/or non-research clinical care procedures must be evaluated to determine the risks posed to research subjects. The use of radiation for research purposes must be reviewed and approved by the Human Subject Radiation Committee, a subcommittee of The Ohio State University Radiation Safety Committee, in addition to the IRB, before research (or changes to research) may be initiated. </w:t>
      </w:r>
    </w:p>
    <w:p w14:paraId="505EA85E" w14:textId="77777777" w:rsidR="00D44345" w:rsidRPr="00FD6740" w:rsidRDefault="00D44345" w:rsidP="00A07209">
      <w:pPr>
        <w:pStyle w:val="ListBullet2"/>
        <w:numPr>
          <w:ilvl w:val="0"/>
          <w:numId w:val="68"/>
        </w:numPr>
        <w:rPr>
          <w:sz w:val="22"/>
          <w:szCs w:val="22"/>
        </w:rPr>
      </w:pPr>
      <w:hyperlink w:anchor="B27" w:history="1">
        <w:r>
          <w:rPr>
            <w:rStyle w:val="Hyperlink"/>
            <w:sz w:val="22"/>
            <w:szCs w:val="22"/>
          </w:rPr>
          <w:t>Planned Emergency Research:</w:t>
        </w:r>
      </w:hyperlink>
      <w:r>
        <w:rPr>
          <w:sz w:val="22"/>
          <w:szCs w:val="22"/>
        </w:rPr>
        <w:t xml:space="preserve"> Planned emergency research is research conducted in emergency settings with participants who cannot provide informed consent because of their life-threatening medical conditions (e.g., comparison of methods for providing cardiopulmonary resuscitation) and who do not have an available legally authorized representative. Unlike emergency uses, planned emergency research must be approved in advance by FDA (or DHHS) and the IRB and publicly disclosed to the community in which the research will be conducted. The Planned Emergency Research policy outlines the additional protections required by the regulations for planned emergency research where the requirements for informed consent are waived. Note that “planned emergency research” in life-threatening situations must be differentiated from “emergency use of an investigational drug or biologic or unapproved medical device” which is discussed below.</w:t>
      </w:r>
    </w:p>
    <w:p w14:paraId="5A6DFD28" w14:textId="77777777" w:rsidR="002A6422" w:rsidRPr="001F749B" w:rsidRDefault="002826B4" w:rsidP="00075CCF">
      <w:pPr>
        <w:pStyle w:val="Heading2"/>
      </w:pPr>
      <w:bookmarkStart w:id="55" w:name="_Toc212142142"/>
      <w:bookmarkStart w:id="56" w:name="_Toc225507684"/>
      <w:r>
        <w:lastRenderedPageBreak/>
        <w:t>Humanitarian Use Device (HUD), Emergency Use and Expanded Access Submissions</w:t>
      </w:r>
      <w:bookmarkEnd w:id="55"/>
      <w:bookmarkEnd w:id="56"/>
      <w:r>
        <w:t xml:space="preserve"> </w:t>
      </w:r>
    </w:p>
    <w:p w14:paraId="4895CDA9" w14:textId="77777777" w:rsidR="002A6422" w:rsidRPr="001F749B" w:rsidRDefault="002A6422" w:rsidP="001F749B">
      <w:pPr>
        <w:pStyle w:val="Heading3"/>
      </w:pPr>
      <w:bookmarkStart w:id="57" w:name="_Toc212142143"/>
      <w:r>
        <w:t>Submitting a request to use a Humanitarian Use Device (HUD)</w:t>
      </w:r>
      <w:bookmarkEnd w:id="57"/>
      <w:r>
        <w:t xml:space="preserve"> </w:t>
      </w:r>
    </w:p>
    <w:p w14:paraId="35FF95FA" w14:textId="77777777" w:rsidR="002A6422" w:rsidRPr="00E6416A" w:rsidRDefault="002A6422" w:rsidP="00B632B2">
      <w:pPr>
        <w:pStyle w:val="BodyText"/>
        <w:spacing w:line="276" w:lineRule="auto"/>
        <w:ind w:left="720"/>
      </w:pPr>
      <w:r>
        <w:t xml:space="preserve">Ohio State utilizes the IRB to review and approve the use of a HUD before it can be used at a facility for clinical care. You can refer to the </w:t>
      </w:r>
      <w:hyperlink w:anchor="B25" w:history="1">
        <w:r>
          <w:rPr>
            <w:rStyle w:val="Hyperlink"/>
          </w:rPr>
          <w:t>Research Involving Medical Devices</w:t>
        </w:r>
      </w:hyperlink>
      <w:r>
        <w:t xml:space="preserve"> policy for additional information regarding the criteria that the IRB uses to review and approve HUD uses. The clinical use of a HUD is not considered human subjects research but must still be submitted for review and approval by the IRB prior to clinical use (with the exception of emergency use). Informed consent should be obtained orally or in writing before HUD use.</w:t>
      </w:r>
    </w:p>
    <w:p w14:paraId="29295989" w14:textId="77777777" w:rsidR="002A6422" w:rsidRPr="00E6416A" w:rsidRDefault="002A6422" w:rsidP="00D4037C">
      <w:pPr>
        <w:pStyle w:val="BodyText"/>
        <w:ind w:left="720"/>
      </w:pPr>
      <w:r>
        <w:t>Complete the “New Study” SmartForm in the Huron IRB system and attach all requested supplements. Have the PI submit the SmartForm by clicking the “Submit” activity. Maintain electronic copies of all information submitted to the IRB in case revisions are required. Before submitting the research for initial review, you must:</w:t>
      </w:r>
    </w:p>
    <w:p w14:paraId="325C9BB6" w14:textId="77777777" w:rsidR="00D45AEF" w:rsidRPr="00E6416A" w:rsidRDefault="002A6422" w:rsidP="00A07209">
      <w:pPr>
        <w:pStyle w:val="BodyText"/>
        <w:numPr>
          <w:ilvl w:val="0"/>
          <w:numId w:val="425"/>
        </w:numPr>
        <w:contextualSpacing/>
      </w:pPr>
      <w:r>
        <w:t>Obtain the financial interest status (“yes” or “no”) of each research staff.</w:t>
      </w:r>
    </w:p>
    <w:p w14:paraId="25CE5EC6" w14:textId="77777777" w:rsidR="002A6422" w:rsidRPr="00E6416A" w:rsidRDefault="002A6422" w:rsidP="00A07209">
      <w:pPr>
        <w:pStyle w:val="BodyText"/>
        <w:numPr>
          <w:ilvl w:val="0"/>
          <w:numId w:val="425"/>
        </w:numPr>
        <w:contextualSpacing/>
      </w:pPr>
      <w:r>
        <w:t>Obtain the agreement of research staff to his/her role in the research.</w:t>
      </w:r>
    </w:p>
    <w:p w14:paraId="79169A9B" w14:textId="77777777" w:rsidR="002A6422" w:rsidRPr="00D07BAF" w:rsidRDefault="002A6422" w:rsidP="00D07BAF">
      <w:pPr>
        <w:pStyle w:val="Heading3"/>
      </w:pPr>
      <w:bookmarkStart w:id="58" w:name="_Toc212142144"/>
      <w:bookmarkStart w:id="59" w:name="_Toc225507685"/>
      <w:r>
        <w:t>Emergency use of unapproved drug, biologic, or device</w:t>
      </w:r>
      <w:bookmarkEnd w:id="58"/>
      <w:bookmarkEnd w:id="59"/>
      <w:r>
        <w:t xml:space="preserve"> </w:t>
      </w:r>
    </w:p>
    <w:p w14:paraId="733633DA" w14:textId="77777777" w:rsidR="002A6422" w:rsidRPr="00E6416A" w:rsidRDefault="002A6422" w:rsidP="00B632B2">
      <w:pPr>
        <w:pStyle w:val="BodyText"/>
        <w:spacing w:line="276" w:lineRule="auto"/>
        <w:ind w:left="720"/>
      </w:pPr>
      <w:r>
        <w:t xml:space="preserve">Contact ORRP or the IRB chair immediately to discuss the situation. If there is no time to make this contact, see the </w:t>
      </w:r>
      <w:hyperlink w:anchor="B28" w:history="1">
        <w:r>
          <w:rPr>
            <w:rStyle w:val="Hyperlink"/>
          </w:rPr>
          <w:t>Emergency Use of Investigational Drugs, Biologics, or Devices</w:t>
        </w:r>
      </w:hyperlink>
      <w:r>
        <w:t xml:space="preserve"> policy for the regulatory criteria allowing such a use. You must submit a report of the use to the IRB within five working days of the use. </w:t>
      </w:r>
    </w:p>
    <w:p w14:paraId="017022AB" w14:textId="77777777" w:rsidR="002A6422" w:rsidRPr="00E6416A" w:rsidRDefault="002A6422" w:rsidP="00D4037C">
      <w:pPr>
        <w:pStyle w:val="BodyText"/>
        <w:ind w:left="720"/>
      </w:pPr>
      <w:r>
        <w:t>According to FDA regulations, the emergency use exemption may be used if all the following conditions are met:</w:t>
      </w:r>
    </w:p>
    <w:p w14:paraId="45EE9FF6" w14:textId="77777777" w:rsidR="00D45AEF" w:rsidRPr="00E6416A" w:rsidRDefault="002A6422" w:rsidP="00A07209">
      <w:pPr>
        <w:pStyle w:val="ListBullet2"/>
        <w:numPr>
          <w:ilvl w:val="0"/>
          <w:numId w:val="426"/>
        </w:numPr>
        <w:rPr>
          <w:sz w:val="22"/>
          <w:szCs w:val="22"/>
        </w:rPr>
      </w:pPr>
      <w:r>
        <w:rPr>
          <w:sz w:val="22"/>
          <w:szCs w:val="22"/>
        </w:rPr>
        <w:t>The use involves an investigational drug or biologic, unapproved medical device, or other “test article” as defined by FDA.</w:t>
      </w:r>
    </w:p>
    <w:p w14:paraId="6E7B6FCA" w14:textId="77777777" w:rsidR="002A6422" w:rsidRPr="00E6416A" w:rsidRDefault="002A6422" w:rsidP="00A07209">
      <w:pPr>
        <w:pStyle w:val="ListBullet2"/>
        <w:numPr>
          <w:ilvl w:val="0"/>
          <w:numId w:val="426"/>
        </w:numPr>
        <w:rPr>
          <w:sz w:val="22"/>
          <w:szCs w:val="22"/>
        </w:rPr>
      </w:pPr>
      <w:r>
        <w:rPr>
          <w:sz w:val="22"/>
          <w:szCs w:val="22"/>
        </w:rPr>
        <w:t>The individual for whom the test article is intended is in a life-threatening situation.</w:t>
      </w:r>
    </w:p>
    <w:p w14:paraId="107C925F" w14:textId="77777777" w:rsidR="002A6422" w:rsidRPr="00E6416A" w:rsidRDefault="002A6422" w:rsidP="00A07209">
      <w:pPr>
        <w:pStyle w:val="ListBullet2"/>
        <w:numPr>
          <w:ilvl w:val="0"/>
          <w:numId w:val="426"/>
        </w:numPr>
        <w:rPr>
          <w:sz w:val="22"/>
          <w:szCs w:val="22"/>
        </w:rPr>
      </w:pPr>
      <w:r>
        <w:rPr>
          <w:sz w:val="22"/>
          <w:szCs w:val="22"/>
        </w:rPr>
        <w:t>No standard acceptable treatment is available, and the individual for whom the test article is intended does not meet the enrollment criteria for an existing IRB-approved study or an approved study does not exist.</w:t>
      </w:r>
    </w:p>
    <w:p w14:paraId="1607EEE7" w14:textId="77777777" w:rsidR="002A6422" w:rsidRPr="00E6416A" w:rsidRDefault="002A6422" w:rsidP="00A07209">
      <w:pPr>
        <w:pStyle w:val="ListBullet2"/>
        <w:numPr>
          <w:ilvl w:val="0"/>
          <w:numId w:val="426"/>
        </w:numPr>
        <w:rPr>
          <w:sz w:val="22"/>
          <w:szCs w:val="22"/>
        </w:rPr>
      </w:pPr>
      <w:r>
        <w:rPr>
          <w:sz w:val="22"/>
          <w:szCs w:val="22"/>
        </w:rPr>
        <w:t>There is not sufficient time to obtain IRB approval: an intervention is needed before review at a convened meeting of the IRB is feasible.</w:t>
      </w:r>
    </w:p>
    <w:p w14:paraId="4964C3B9" w14:textId="77777777" w:rsidR="002A6422" w:rsidRPr="00E6416A" w:rsidRDefault="002A6422" w:rsidP="00D4037C">
      <w:pPr>
        <w:pStyle w:val="BodyText"/>
        <w:ind w:left="720"/>
      </w:pPr>
      <w:r>
        <w:t xml:space="preserve">Investigators are required to obtain the informed consent of the subject or the subject's legally authorized representative in an emergency use situation. Consent form templates containing the basic elements of informed consent are available on the ORRP website and in the Huron library. Alternatively, the product manufacturer or sponsor may provide a consent form for emergency use. All basic elements of informed consent (and any applicable additional elements) are to be provided, unless the situation meets the conditions for exception described below. </w:t>
      </w:r>
    </w:p>
    <w:p w14:paraId="39B565B3" w14:textId="77777777" w:rsidR="002A6422" w:rsidRPr="00E6416A" w:rsidRDefault="002A6422" w:rsidP="00D4037C">
      <w:pPr>
        <w:pStyle w:val="BodyText"/>
        <w:ind w:left="720"/>
      </w:pPr>
      <w:r>
        <w:t>When informed consent cannot be obtained, both the investigator and a physician who is not otherwise involved in the emergency use must confirm in writing that all the following conditions apply:</w:t>
      </w:r>
    </w:p>
    <w:p w14:paraId="7F0B6787" w14:textId="77777777" w:rsidR="002A6422" w:rsidRPr="00E6416A" w:rsidRDefault="002A6422" w:rsidP="00A07209">
      <w:pPr>
        <w:pStyle w:val="ListBullet2"/>
        <w:numPr>
          <w:ilvl w:val="0"/>
          <w:numId w:val="473"/>
        </w:numPr>
        <w:rPr>
          <w:sz w:val="22"/>
          <w:szCs w:val="22"/>
        </w:rPr>
      </w:pPr>
      <w:r>
        <w:rPr>
          <w:sz w:val="22"/>
          <w:szCs w:val="22"/>
        </w:rPr>
        <w:lastRenderedPageBreak/>
        <w:t>The subject is confronted by a life-threatening situation necessitating the use of the investigational drug or biologic or unapproved medical device.</w:t>
      </w:r>
    </w:p>
    <w:p w14:paraId="738FAEA2" w14:textId="77777777" w:rsidR="002A6422" w:rsidRPr="00E6416A" w:rsidRDefault="002A6422" w:rsidP="00A07209">
      <w:pPr>
        <w:pStyle w:val="ListBullet2"/>
        <w:numPr>
          <w:ilvl w:val="0"/>
          <w:numId w:val="473"/>
        </w:numPr>
        <w:rPr>
          <w:sz w:val="22"/>
          <w:szCs w:val="22"/>
        </w:rPr>
      </w:pPr>
      <w:r>
        <w:rPr>
          <w:sz w:val="22"/>
          <w:szCs w:val="22"/>
        </w:rPr>
        <w:t xml:space="preserve">Informed consent cannot be obtained because of an inability to communicate with or obtain informed consent from the subject.  </w:t>
      </w:r>
    </w:p>
    <w:p w14:paraId="6A2B8226" w14:textId="77777777" w:rsidR="002A6422" w:rsidRPr="00E6416A" w:rsidRDefault="002A6422" w:rsidP="00A07209">
      <w:pPr>
        <w:pStyle w:val="ListBullet2"/>
        <w:numPr>
          <w:ilvl w:val="0"/>
          <w:numId w:val="473"/>
        </w:numPr>
        <w:rPr>
          <w:sz w:val="22"/>
          <w:szCs w:val="22"/>
        </w:rPr>
      </w:pPr>
      <w:r>
        <w:rPr>
          <w:sz w:val="22"/>
          <w:szCs w:val="22"/>
        </w:rPr>
        <w:t>Time is not sufficient to obtain informed consent from the subject’s legally authorized representative.</w:t>
      </w:r>
    </w:p>
    <w:p w14:paraId="222CCB0A" w14:textId="77777777" w:rsidR="002A6422" w:rsidRPr="00E6416A" w:rsidRDefault="002A6422" w:rsidP="00A07209">
      <w:pPr>
        <w:pStyle w:val="ListBullet2"/>
        <w:numPr>
          <w:ilvl w:val="0"/>
          <w:numId w:val="473"/>
        </w:numPr>
        <w:rPr>
          <w:sz w:val="22"/>
          <w:szCs w:val="22"/>
        </w:rPr>
      </w:pPr>
      <w:r>
        <w:rPr>
          <w:sz w:val="22"/>
          <w:szCs w:val="22"/>
        </w:rPr>
        <w:t>No alternative method of approved or “generally recognized therapy” is available that provides an equal or greater likelihood of saving the subject’s life.</w:t>
      </w:r>
    </w:p>
    <w:p w14:paraId="2B76134E" w14:textId="77777777" w:rsidR="002A6422" w:rsidRPr="00E6416A" w:rsidRDefault="002A6422" w:rsidP="00D4037C">
      <w:pPr>
        <w:pStyle w:val="BodyText"/>
        <w:ind w:left="720"/>
      </w:pPr>
      <w:r>
        <w:t xml:space="preserve">Include in the report to the IRB within five working days of the emergency use a description of how the use meets the criteria outlined in </w:t>
      </w:r>
      <w:hyperlink r:id="rId44" w:history="1">
        <w:r>
          <w:rPr>
            <w:rStyle w:val="Hyperlink"/>
          </w:rPr>
          <w:t>HRP-322 - WORKSHEET - Emergency Use</w:t>
        </w:r>
      </w:hyperlink>
      <w:r>
        <w:t>, a summary of the patient’s diagnosis and treatment history, and date and time of the use. Attach to the report the consent document templates used (if applicable), approval of the use from the FDA (drugs and biologics), or concurrence letter from an independent physician that the use of the device is warranted, and no other alternative treatments are/were available (devices). If time is not sufficient to obtain an independent physician's determination that the criteria for an exception to the requirements for informed consent (described above) are met, and in the investigator’s opinion the immediate use of the investigational product is required to preserve the subject's life, the investigator must do both of the following:</w:t>
      </w:r>
    </w:p>
    <w:p w14:paraId="6BCF548D" w14:textId="77777777" w:rsidR="002A6422" w:rsidRPr="00E6416A" w:rsidRDefault="00FC4825" w:rsidP="00FC4825">
      <w:pPr>
        <w:pStyle w:val="BodyText"/>
        <w:spacing w:after="0"/>
        <w:ind w:left="1440"/>
      </w:pPr>
      <w:r>
        <w:t>1. Verify in writing that the four conditions for an exception to the requirements for informed consent apply</w:t>
      </w:r>
    </w:p>
    <w:p w14:paraId="0BEB8E6D" w14:textId="77777777" w:rsidR="002A6422" w:rsidRPr="00E6416A" w:rsidRDefault="00FC4825" w:rsidP="00FC4825">
      <w:pPr>
        <w:pStyle w:val="BodyText"/>
        <w:spacing w:after="0"/>
        <w:ind w:left="1440"/>
      </w:pPr>
      <w:r>
        <w:t>2. Obtain an independent review and evaluation of the investigator’s determination in writing within five working days by a physician who is not otherwise involved in the emergency use</w:t>
      </w:r>
    </w:p>
    <w:p w14:paraId="66C39FF8" w14:textId="77777777" w:rsidR="002A6422" w:rsidRPr="00E6416A" w:rsidRDefault="002A6422" w:rsidP="00D4037C">
      <w:pPr>
        <w:pStyle w:val="BodyText"/>
        <w:ind w:left="720"/>
      </w:pPr>
      <w:r>
        <w:t>If you fail to submit the report within five working days, you will be restricted from submitting new research until the report has been received.</w:t>
      </w:r>
    </w:p>
    <w:p w14:paraId="79DCEC05" w14:textId="77777777" w:rsidR="002A6422" w:rsidRPr="00E6416A" w:rsidRDefault="002A6422" w:rsidP="00B632B2">
      <w:pPr>
        <w:pStyle w:val="BodyText"/>
        <w:spacing w:line="276" w:lineRule="auto"/>
        <w:ind w:left="720"/>
      </w:pPr>
      <w:r>
        <w:t>Emergency use of an unapproved (investigational) drug or biologic in a life-threatening situation for which no standard acceptable treatment is available and when there is not sufficient time to obtain IRB approval is “research” as defined by FDA, the individual getting the test article is a “subject” as defined by FDA, and therefore is governed by FDA regulations for IRB review and informed consent. Emergency use of an unapproved device without prior IRB review is not “research” as defined by FDA and the individual getting the test article is not a “subject” as defined by FDA. However, FDA guidance recommends following similar rules as for emergency use of an unapproved drug or biologic.</w:t>
      </w:r>
    </w:p>
    <w:p w14:paraId="2B57707B" w14:textId="77777777" w:rsidR="002A6422" w:rsidRPr="00E6416A" w:rsidRDefault="002A6422" w:rsidP="00B632B2">
      <w:pPr>
        <w:pStyle w:val="BodyText"/>
        <w:spacing w:line="276" w:lineRule="auto"/>
        <w:ind w:left="720"/>
      </w:pPr>
      <w:r>
        <w:t>Individuals getting an unapproved drug, biologic, or device without prior IRB review cannot be considered a “subject” as defined by DHHS and their results cannot be included in prospective “research” as that term is defined by DHHS.</w:t>
      </w:r>
    </w:p>
    <w:p w14:paraId="5482F17A" w14:textId="77777777" w:rsidR="002A6422" w:rsidRPr="003D576E" w:rsidRDefault="002A6422" w:rsidP="00B632B2">
      <w:pPr>
        <w:pStyle w:val="BodyText"/>
        <w:spacing w:line="276" w:lineRule="auto"/>
        <w:ind w:left="720"/>
      </w:pPr>
      <w:r>
        <w:t>While DHHS regulations do not permit data obtained from patients under emergency use to be classified as human subjects research, nor permit the outcome of such care to be included in any report of a research activity subject to DHHS regulations, FDA regulations allow the emergency use of a test article (other than a medical device) to constitute a clinical investigation involving human subjects. Data from the investigation may be reported to FDA in support of a marketing application.</w:t>
      </w:r>
    </w:p>
    <w:p w14:paraId="3E76CA82" w14:textId="77777777" w:rsidR="002A6422" w:rsidRPr="003D576E" w:rsidRDefault="002A6422" w:rsidP="00B632B2">
      <w:pPr>
        <w:pStyle w:val="HotDocsvariable"/>
        <w:ind w:left="720"/>
        <w:rPr>
          <w:color w:val="auto"/>
        </w:rPr>
      </w:pPr>
      <w:r>
        <w:rPr>
          <w:color w:val="auto"/>
        </w:rPr>
        <w:lastRenderedPageBreak/>
        <w:t>FDA regulations require that any subsequent use of a test article at the institution have prospective IRB review and approval.  If it is anticipated that this test article may be used again (for the same patient, a different patient, or for any indication), submit a protocol and consent document(s) to the IRB for review so that an approved protocol will be in place when the next need arises. FDA guidance acknowledges that it would be inappropriate to deny emergency treatment to a second individual “if the only obstacle is that the IRB has not had sufficient time to convene a meeting” to review the request. Investigators are encouraged to evaluate the likelihood of a similar need occurring again, and if future use is likely, immediately initiate efforts to obtain IRB review and approval of a protocol to permit further use of the investigational drug, biologic, or device.</w:t>
      </w:r>
    </w:p>
    <w:p w14:paraId="6E43BA5C" w14:textId="77777777" w:rsidR="002A6422" w:rsidRPr="003D576E" w:rsidRDefault="002A6422" w:rsidP="00B632B2">
      <w:pPr>
        <w:pStyle w:val="HotDocsvariable"/>
        <w:ind w:left="720"/>
        <w:rPr>
          <w:color w:val="auto"/>
        </w:rPr>
      </w:pPr>
    </w:p>
    <w:p w14:paraId="37515328" w14:textId="77777777" w:rsidR="002A6422" w:rsidRPr="003D576E" w:rsidRDefault="002A6422" w:rsidP="00B632B2">
      <w:pPr>
        <w:pStyle w:val="HotDocsvariable"/>
        <w:ind w:left="720"/>
        <w:rPr>
          <w:color w:val="auto"/>
        </w:rPr>
      </w:pPr>
      <w:r>
        <w:rPr>
          <w:color w:val="auto"/>
        </w:rPr>
        <w:t xml:space="preserve">Reference the </w:t>
      </w:r>
      <w:hyperlink w:anchor="B28" w:history="1">
        <w:r>
          <w:rPr>
            <w:rStyle w:val="Hyperlink"/>
          </w:rPr>
          <w:t>Emergency Use of Investigational Drugs, Biologics, or Devices</w:t>
        </w:r>
      </w:hyperlink>
      <w:r>
        <w:rPr>
          <w:color w:val="auto"/>
        </w:rPr>
        <w:t xml:space="preserve"> for further details. Note that emergency use of an investigational drug or biologic or unapproved medical device must be differentiated from “planned emergency research” in life-threatening situations which is discussed above under Special Research Topics to Consider.</w:t>
      </w:r>
    </w:p>
    <w:p w14:paraId="45F0098F" w14:textId="77777777" w:rsidR="002A6422" w:rsidRPr="00D07BAF" w:rsidRDefault="002A6422" w:rsidP="00D07BAF">
      <w:pPr>
        <w:pStyle w:val="Heading3"/>
      </w:pPr>
      <w:bookmarkStart w:id="60" w:name="_Toc212142145"/>
      <w:bookmarkStart w:id="61" w:name="_Toc225507686"/>
      <w:r>
        <w:t>Expanded access request for an unapproved drug, biologic, or device</w:t>
      </w:r>
      <w:bookmarkEnd w:id="60"/>
      <w:bookmarkEnd w:id="61"/>
      <w:r>
        <w:t xml:space="preserve"> </w:t>
      </w:r>
    </w:p>
    <w:p w14:paraId="24AB9F99" w14:textId="77777777" w:rsidR="002A6422" w:rsidRPr="00E6416A" w:rsidRDefault="002A6422" w:rsidP="00B632B2">
      <w:pPr>
        <w:ind w:left="720"/>
      </w:pPr>
      <w:r>
        <w:t>There are five different types of non-emergency use expanded access:</w:t>
      </w:r>
    </w:p>
    <w:p w14:paraId="67167298" w14:textId="77777777" w:rsidR="002A6422" w:rsidRPr="00E6416A" w:rsidRDefault="002A6422" w:rsidP="008E1F98">
      <w:pPr>
        <w:pStyle w:val="ListParagraph"/>
        <w:numPr>
          <w:ilvl w:val="0"/>
          <w:numId w:val="27"/>
        </w:numPr>
        <w:spacing w:line="240" w:lineRule="auto"/>
        <w:ind w:left="1440"/>
      </w:pPr>
      <w:r>
        <w:t xml:space="preserve">Individual patient expanded access: Use of an investigational drug or biologic for a single subject with a serious disease or condition, who does not meet the requirements for inclusion in a clinical investigation, and for whom no standard acceptable treatment is available) </w:t>
      </w:r>
    </w:p>
    <w:p w14:paraId="63370C08" w14:textId="77777777" w:rsidR="002A6422" w:rsidRPr="00E6416A" w:rsidRDefault="002A6422" w:rsidP="00D45AEF">
      <w:pPr>
        <w:spacing w:line="240" w:lineRule="auto"/>
        <w:ind w:left="1440"/>
      </w:pPr>
      <w:r>
        <w:t>Individual patient drug or biologic expanded access requests should be submitted to the IRB as a new study. If the study team checked “Request for Authorization to Use Alternative IRB Review Procedures” on FDA Form 3926 (field 10.b.) or has a separate waiver request included with FDA Form 1571 for the purpose of obtaining concurrence from an IRB Chair or designee, this information should be included in the application. Instead of uploading a protocol, the submission should include the following:</w:t>
      </w:r>
    </w:p>
    <w:p w14:paraId="51D56E70" w14:textId="77777777" w:rsidR="002A6422" w:rsidRPr="00E6416A" w:rsidRDefault="002A6422" w:rsidP="008E1F98">
      <w:pPr>
        <w:pStyle w:val="ListParagraph"/>
        <w:numPr>
          <w:ilvl w:val="0"/>
          <w:numId w:val="28"/>
        </w:numPr>
        <w:spacing w:line="240" w:lineRule="auto"/>
        <w:ind w:left="1800"/>
      </w:pPr>
      <w:r>
        <w:t>A thorough patient history and treatment plan, included in the Form FDA 3926 or in a separate document that includes:</w:t>
      </w:r>
    </w:p>
    <w:p w14:paraId="03FAAF3C" w14:textId="77777777" w:rsidR="002A6422" w:rsidRPr="00E6416A" w:rsidRDefault="002A6422" w:rsidP="008E1F98">
      <w:pPr>
        <w:pStyle w:val="ListParagraph"/>
        <w:numPr>
          <w:ilvl w:val="1"/>
          <w:numId w:val="28"/>
        </w:numPr>
        <w:spacing w:line="240" w:lineRule="auto"/>
        <w:ind w:left="2520"/>
      </w:pPr>
      <w:r>
        <w:t>The proposed daily dose, route, and frequency of administration of planned treatment; duration of planned treatment; criteria for discontinuation of treatment; and planned dose modifications for adverse events;</w:t>
      </w:r>
    </w:p>
    <w:p w14:paraId="43213D87" w14:textId="77777777" w:rsidR="002A6422" w:rsidRPr="00E6416A" w:rsidRDefault="002A6422" w:rsidP="008E1F98">
      <w:pPr>
        <w:pStyle w:val="ListParagraph"/>
        <w:numPr>
          <w:ilvl w:val="1"/>
          <w:numId w:val="28"/>
        </w:numPr>
        <w:spacing w:line="240" w:lineRule="auto"/>
        <w:ind w:left="2520"/>
      </w:pPr>
      <w:r>
        <w:t>The planned monitoring for adverse events, response to treatment, and changes in clinical status, as well as proposed modifications to the treatment plan to mitigate risks to the patient if appropriate;</w:t>
      </w:r>
    </w:p>
    <w:p w14:paraId="6D424EBD" w14:textId="77777777" w:rsidR="002A6422" w:rsidRPr="00E6416A" w:rsidRDefault="002A6422" w:rsidP="008E1F98">
      <w:pPr>
        <w:pStyle w:val="ListParagraph"/>
        <w:numPr>
          <w:ilvl w:val="1"/>
          <w:numId w:val="28"/>
        </w:numPr>
        <w:spacing w:line="240" w:lineRule="auto"/>
        <w:ind w:left="2520"/>
      </w:pPr>
      <w:r>
        <w:t>The key details of the patient’s history, including diagnosis and summary of prior therapy (including response to such therapy); the reason for request, including an explanation of why the patient lacks other therapeutic options; and information regarding a patient’s relevant clinical characteristics (such as comorbid conditions and concomitant medications) that is necessary to assess the potential for increased risks of the drug; and</w:t>
      </w:r>
    </w:p>
    <w:p w14:paraId="23D39BAD" w14:textId="77777777" w:rsidR="002A6422" w:rsidRPr="00E6416A" w:rsidRDefault="002A6422" w:rsidP="008E1F98">
      <w:pPr>
        <w:pStyle w:val="ListParagraph"/>
        <w:numPr>
          <w:ilvl w:val="1"/>
          <w:numId w:val="28"/>
        </w:numPr>
        <w:spacing w:after="160" w:line="240" w:lineRule="auto"/>
        <w:ind w:left="2520"/>
      </w:pPr>
      <w:r>
        <w:t>A summary of known risks of the drug</w:t>
      </w:r>
    </w:p>
    <w:p w14:paraId="08080ECC" w14:textId="77777777" w:rsidR="002A6422" w:rsidRPr="00E6416A" w:rsidRDefault="002A6422" w:rsidP="00B632B2">
      <w:pPr>
        <w:ind w:left="1440"/>
      </w:pPr>
      <w:r>
        <w:lastRenderedPageBreak/>
        <w:t>Use consent form templates located on the ORRP website and in the Huron library to prepare your consent document. A continuing review application must be submitted to the IRB at least annually, and any modifications or new information should be reported accordingly.</w:t>
      </w:r>
    </w:p>
    <w:p w14:paraId="382C5E82" w14:textId="77777777" w:rsidR="002A6422" w:rsidRPr="00E6416A" w:rsidRDefault="002A6422" w:rsidP="008E1F98">
      <w:pPr>
        <w:pStyle w:val="ListParagraph"/>
        <w:numPr>
          <w:ilvl w:val="0"/>
          <w:numId w:val="27"/>
        </w:numPr>
        <w:ind w:left="1440"/>
      </w:pPr>
      <w:r>
        <w:t>Compassionate Use (individual patient/small group access) of a device</w:t>
      </w:r>
    </w:p>
    <w:p w14:paraId="1932761F" w14:textId="77777777" w:rsidR="002A6422" w:rsidRPr="00E6416A" w:rsidRDefault="002A6422" w:rsidP="00B632B2">
      <w:pPr>
        <w:ind w:left="1440"/>
      </w:pPr>
      <w:r>
        <w:t>FDA approval prior to compassionate use of an unapproved medical device is required. The compassionate use may involve a device that does not have an existing IDE, a device used in a way that is not approved under an existing IDE, or a physician who is not named as an investigator on the IDE. The medical device company must agree to provide the investigational device for the compassionate use.</w:t>
      </w:r>
    </w:p>
    <w:p w14:paraId="3FEA5562" w14:textId="77777777" w:rsidR="002A6422" w:rsidRPr="00E6416A" w:rsidRDefault="002A6422" w:rsidP="00B632B2">
      <w:pPr>
        <w:ind w:left="1440"/>
      </w:pPr>
      <w:r>
        <w:t>In addition to determining that the criteria for compassionate use are met, investigators are required by FDA to assess the potential for benefit from the use of an unapproved device and to have “substantial reason” to believe that benefits will occur. Whenever possible, an independent assessment of the circumstances prior to the compassionate use should also be obtained from a physician who is not otherwise involved in the compassionate use.</w:t>
      </w:r>
    </w:p>
    <w:p w14:paraId="1BDA6D71" w14:textId="77777777" w:rsidR="002A6422" w:rsidRPr="00E6416A" w:rsidRDefault="002A6422" w:rsidP="00B632B2">
      <w:pPr>
        <w:ind w:left="1440"/>
      </w:pPr>
      <w:r>
        <w:t>The emergency use of an unapproved device must be reported to FDA by the sponsor (if an IDE exists for the device) within five working days of the time the sponsor learns of the use. If no IDE exists, the investigator is responsible for reporting the emergency use directly to FDA.</w:t>
      </w:r>
    </w:p>
    <w:p w14:paraId="25A53D8D" w14:textId="77777777" w:rsidR="002A6422" w:rsidRPr="00E6416A" w:rsidRDefault="002A6422" w:rsidP="00B632B2">
      <w:pPr>
        <w:ind w:left="1440"/>
      </w:pPr>
      <w:r>
        <w:t>Requests for compassionate use of a device should be submitted to the IRB as a new study. See</w:t>
      </w:r>
      <w:hyperlink r:id="rId45" w:history="1">
        <w:r>
          <w:rPr>
            <w:rStyle w:val="Hyperlink"/>
          </w:rPr>
          <w:t xml:space="preserve"> HRP-325 - WORKSHEET – Device Compassionate Use</w:t>
        </w:r>
      </w:hyperlink>
      <w:r>
        <w:t xml:space="preserve"> for the regulatory criteria allowing such a use and make sure these are followed. The FDA does not consider the compassionate use of an unapproved device to be a clinical investigation, however it is expected that informed consent be obtained. Use the consent templates located on the ORRP website and in the Huron library to prepare your consent document.</w:t>
      </w:r>
    </w:p>
    <w:p w14:paraId="4F371839" w14:textId="77777777" w:rsidR="002A6422" w:rsidRPr="00E6416A" w:rsidRDefault="002A6422" w:rsidP="00B632B2">
      <w:pPr>
        <w:ind w:left="1440"/>
      </w:pPr>
      <w:r>
        <w:t>Instead of uploading a protocol, the submission should include a summary of the conditions constituting the compassionate use, other relevant details of the case, approval from the device manufacturer, device/product manual, FDA authorization, and any other relevant information (i.e., patient-facing materials, etc.). Continuing review is not required for compassionate use, however if any problems occurred as a result of device use, these should be discussed in the follow-up report and reported to the IRB as soon as possible.</w:t>
      </w:r>
    </w:p>
    <w:p w14:paraId="0FA91FEC" w14:textId="77777777" w:rsidR="002A6422" w:rsidRPr="00E6416A" w:rsidRDefault="002A6422" w:rsidP="008E1F98">
      <w:pPr>
        <w:pStyle w:val="ListParagraph"/>
        <w:numPr>
          <w:ilvl w:val="0"/>
          <w:numId w:val="27"/>
        </w:numPr>
        <w:spacing w:after="0"/>
        <w:ind w:left="1440"/>
      </w:pPr>
      <w:r>
        <w:t>Intermediate-size patient population access of a drug</w:t>
      </w:r>
    </w:p>
    <w:p w14:paraId="663A52B6" w14:textId="77777777" w:rsidR="002A6422" w:rsidRPr="003D576E" w:rsidRDefault="002A6422" w:rsidP="008E1F98">
      <w:pPr>
        <w:pStyle w:val="ListParagraph"/>
        <w:numPr>
          <w:ilvl w:val="0"/>
          <w:numId w:val="27"/>
        </w:numPr>
        <w:spacing w:after="0"/>
        <w:ind w:left="1440"/>
      </w:pPr>
      <w:r>
        <w:t>Expanded access for widespread use of a drug</w:t>
      </w:r>
    </w:p>
    <w:p w14:paraId="6683EFE0" w14:textId="77777777" w:rsidR="002A6422" w:rsidRPr="003D576E" w:rsidRDefault="002A6422" w:rsidP="008E1F98">
      <w:pPr>
        <w:pStyle w:val="ListParagraph"/>
        <w:numPr>
          <w:ilvl w:val="0"/>
          <w:numId w:val="27"/>
        </w:numPr>
        <w:spacing w:after="0"/>
        <w:ind w:left="1440"/>
      </w:pPr>
      <w:r>
        <w:t>Treatment use of a device</w:t>
      </w:r>
    </w:p>
    <w:p w14:paraId="6E964375" w14:textId="77777777" w:rsidR="002A6422" w:rsidRPr="003D576E" w:rsidRDefault="002A6422" w:rsidP="00B632B2">
      <w:pPr>
        <w:spacing w:after="0"/>
        <w:ind w:left="720"/>
      </w:pPr>
    </w:p>
    <w:p w14:paraId="15A6CC9A" w14:textId="77777777" w:rsidR="002A6422" w:rsidRPr="003D576E" w:rsidRDefault="002A6422" w:rsidP="00B632B2">
      <w:pPr>
        <w:ind w:left="1440"/>
      </w:pPr>
      <w:r>
        <w:t xml:space="preserve">Requests for any of these three (3) types of expanded access use should be submitted to the IRB as a new study. Submissions should include the protocol, consent form, and </w:t>
      </w:r>
      <w:r>
        <w:lastRenderedPageBreak/>
        <w:t>other pertinent information (i.e., Investigator’s Brochure, device/product manual, patient-facing materials, etc.). Use the consent templates located on the ORRP website and in the Huron library to prepare your consent document. A continuing review application must be submitted to the IRB at least annually, and any modifications or new information should be reported accordingly.</w:t>
      </w:r>
    </w:p>
    <w:p w14:paraId="3B03F568" w14:textId="77777777" w:rsidR="00A31EDA" w:rsidRPr="008A6D0A" w:rsidRDefault="00A31EDA" w:rsidP="008A6D0A">
      <w:pPr>
        <w:pStyle w:val="Heading1"/>
      </w:pPr>
      <w:bookmarkStart w:id="62" w:name="_Toc212142146"/>
      <w:bookmarkStart w:id="63" w:name="_Toc225507687"/>
      <w:r>
        <w:t>Ongoing Research Considerations</w:t>
      </w:r>
      <w:bookmarkEnd w:id="62"/>
      <w:bookmarkEnd w:id="63"/>
    </w:p>
    <w:p w14:paraId="21EA58DF" w14:textId="77777777" w:rsidR="00B16EC4" w:rsidRPr="008A6D0A" w:rsidRDefault="00385F7F" w:rsidP="008A6D0A">
      <w:pPr>
        <w:pStyle w:val="Heading2"/>
      </w:pPr>
      <w:bookmarkStart w:id="64" w:name="_Toc212142147"/>
      <w:bookmarkStart w:id="65" w:name="_Toc225507688"/>
      <w:r>
        <w:t>Recruitment</w:t>
      </w:r>
      <w:bookmarkEnd w:id="64"/>
      <w:bookmarkEnd w:id="65"/>
      <w:r>
        <w:t xml:space="preserve"> </w:t>
      </w:r>
    </w:p>
    <w:p w14:paraId="36601E6E" w14:textId="77777777" w:rsidR="00BB6FB7" w:rsidRPr="00E6416A" w:rsidRDefault="00BB6FB7" w:rsidP="00BB6FB7">
      <w:pPr>
        <w:spacing w:after="0" w:line="276" w:lineRule="auto"/>
      </w:pPr>
      <w:r>
        <w:t>The</w:t>
      </w:r>
      <w:hyperlink w:anchor="B12" w:history="1">
        <w:r>
          <w:rPr>
            <w:rStyle w:val="Hyperlink"/>
          </w:rPr>
          <w:t xml:space="preserve"> Recruiting Methods, Recruitment Materials, and Participant Compensation</w:t>
        </w:r>
      </w:hyperlink>
    </w:p>
    <w:p w14:paraId="207C3D60" w14:textId="77777777" w:rsidR="00385F7F" w:rsidRPr="00E6416A" w:rsidRDefault="00385F7F" w:rsidP="00B632B2">
      <w:pPr>
        <w:spacing w:after="0" w:line="276" w:lineRule="auto"/>
      </w:pPr>
      <w:r>
        <w:t>policy describes recruiting methods, recruitment materials, and participant compensation plans that minimize the possibility of coercion and help ensure equitable selection. Recruiting methods, recruitment materials, and plans for participant compensation used in human subjects research must first be approved by the IRB.</w:t>
      </w:r>
    </w:p>
    <w:p w14:paraId="594B566D" w14:textId="77777777" w:rsidR="00385F7F" w:rsidRPr="008A6D0A" w:rsidRDefault="00DE7C53" w:rsidP="008A6D0A">
      <w:pPr>
        <w:pStyle w:val="Heading2"/>
      </w:pPr>
      <w:bookmarkStart w:id="66" w:name="_Toc212142148"/>
      <w:bookmarkStart w:id="67" w:name="_Toc225507689"/>
      <w:r>
        <w:t>Screening and Eligibility</w:t>
      </w:r>
      <w:bookmarkEnd w:id="66"/>
      <w:bookmarkEnd w:id="67"/>
      <w:r>
        <w:t xml:space="preserve"> </w:t>
      </w:r>
    </w:p>
    <w:p w14:paraId="3A3F8989" w14:textId="77777777" w:rsidR="00B16EC4" w:rsidRPr="003D576E" w:rsidRDefault="00B16EC4" w:rsidP="00D45AEF">
      <w:pPr>
        <w:spacing w:line="240" w:lineRule="auto"/>
      </w:pPr>
      <w:r>
        <w:t>The IRB may approve a research proposal in which an investigator will obtain information or biospecimens for the purpose of screening, recruiting, or determining the eligibility of prospective participants without the informed consent of the prospective participant or the participant’s legally authorized representative, if either of the following conditions are met:</w:t>
      </w:r>
    </w:p>
    <w:p w14:paraId="328C22DD" w14:textId="77777777" w:rsidR="00B16EC4" w:rsidRPr="00D45AEF" w:rsidRDefault="00B16EC4" w:rsidP="00A07209">
      <w:pPr>
        <w:pStyle w:val="ListParagraph"/>
        <w:numPr>
          <w:ilvl w:val="0"/>
          <w:numId w:val="423"/>
        </w:numPr>
        <w:spacing w:after="0" w:line="240" w:lineRule="auto"/>
      </w:pPr>
      <w:r>
        <w:t>The investigator will obtain information through oral or written communication with the prospective participant or legally authorized representative, OR</w:t>
      </w:r>
    </w:p>
    <w:p w14:paraId="452246CF" w14:textId="77777777" w:rsidR="00B16EC4" w:rsidRPr="00D45AEF" w:rsidRDefault="00D45AEF" w:rsidP="00A07209">
      <w:pPr>
        <w:pStyle w:val="ListParagraph"/>
        <w:numPr>
          <w:ilvl w:val="0"/>
          <w:numId w:val="423"/>
        </w:numPr>
        <w:spacing w:after="0" w:line="240" w:lineRule="auto"/>
      </w:pPr>
      <w:r>
        <w:t>The investigator will obtain identifiable private information or identifiable biospecimens by accessing records or stored identifiable biospecimens.</w:t>
      </w:r>
    </w:p>
    <w:p w14:paraId="4F035AD3" w14:textId="77777777" w:rsidR="003D576E" w:rsidRPr="003D576E" w:rsidRDefault="003D576E" w:rsidP="003D576E">
      <w:pPr>
        <w:spacing w:after="0" w:line="276" w:lineRule="auto"/>
        <w:ind w:left="720"/>
      </w:pPr>
    </w:p>
    <w:p w14:paraId="4EC03282" w14:textId="77777777" w:rsidR="00B16EC4" w:rsidRPr="003D576E" w:rsidRDefault="00B16EC4" w:rsidP="00B16EC4">
      <w:pPr>
        <w:spacing w:line="276" w:lineRule="auto"/>
      </w:pPr>
      <w:r>
        <w:t>The research protocol should include information about how potential participants will be identified and recruited for the IRB to be able to determine whether informed consent for these activities is required.</w:t>
      </w:r>
    </w:p>
    <w:p w14:paraId="3E5E879C" w14:textId="77777777" w:rsidR="00B16EC4" w:rsidRPr="003D576E" w:rsidRDefault="00B16EC4" w:rsidP="00B16EC4">
      <w:pPr>
        <w:spacing w:line="276" w:lineRule="auto"/>
      </w:pPr>
      <w:r>
        <w:t>Contact ORRP with additional questions or for further guidance regarding the requirement to obtain HIPAA research authorization or a partial waiver of HIPAA research authorization for recruitment purposes.</w:t>
      </w:r>
    </w:p>
    <w:p w14:paraId="4B85321B" w14:textId="77777777" w:rsidR="00F30B83" w:rsidRPr="008A6D0A" w:rsidRDefault="00F30B83" w:rsidP="008A6D0A">
      <w:pPr>
        <w:pStyle w:val="Heading2"/>
      </w:pPr>
      <w:bookmarkStart w:id="68" w:name="_Toc225507690"/>
      <w:r>
        <w:t>Privacy and Confidentiality</w:t>
      </w:r>
      <w:bookmarkEnd w:id="68"/>
    </w:p>
    <w:p w14:paraId="4FE005C2" w14:textId="77777777" w:rsidR="008A7BFF" w:rsidRPr="003D576E" w:rsidRDefault="008A7BFF" w:rsidP="008A7BFF">
      <w:pPr>
        <w:spacing w:line="276" w:lineRule="auto"/>
      </w:pPr>
      <w:r>
        <w:t xml:space="preserve">Federal regulations require that research involving human subjects includes adequate provisions to protect the privacy interests of participants and to maintain the confidentiality of data. </w:t>
      </w:r>
      <w:hyperlink r:id="rId46" w:history="1">
        <w:r>
          <w:rPr>
            <w:rStyle w:val="Hyperlink"/>
          </w:rPr>
          <w:t>The Privacy and Confidentiality policy</w:t>
        </w:r>
      </w:hyperlink>
      <w:r>
        <w:t xml:space="preserve"> describes requirements for protecting privacy and confidentiality in research involving human subjects, including the use of National Institutes of Health (NIH) Certificates of Confidentiality. </w:t>
      </w:r>
    </w:p>
    <w:p w14:paraId="6049B60C" w14:textId="77777777" w:rsidR="00E44AC3" w:rsidRDefault="00E44AC3" w:rsidP="00B16EC4">
      <w:pPr>
        <w:spacing w:line="276" w:lineRule="auto"/>
      </w:pPr>
    </w:p>
    <w:p w14:paraId="06D9CAA5" w14:textId="77777777" w:rsidR="00322434" w:rsidRPr="008A6D0A" w:rsidRDefault="00322434" w:rsidP="008A6D0A">
      <w:pPr>
        <w:pStyle w:val="Heading1"/>
      </w:pPr>
      <w:bookmarkStart w:id="69" w:name="_Toc225507691"/>
      <w:bookmarkStart w:id="70" w:name="_Toc147308375"/>
      <w:bookmarkStart w:id="71" w:name="_Toc774440036"/>
      <w:bookmarkStart w:id="72" w:name="_Hlk149038325"/>
      <w:bookmarkEnd w:id="52"/>
      <w:r>
        <w:lastRenderedPageBreak/>
        <w:t>Review and Approval Processes</w:t>
      </w:r>
      <w:bookmarkEnd w:id="69"/>
    </w:p>
    <w:p w14:paraId="6C3FDF13" w14:textId="77777777" w:rsidR="00322434" w:rsidRPr="008A6D0A" w:rsidRDefault="00322434" w:rsidP="008A6D0A">
      <w:pPr>
        <w:pStyle w:val="Heading2"/>
      </w:pPr>
      <w:bookmarkStart w:id="73" w:name="_Toc212142150"/>
      <w:bookmarkStart w:id="74" w:name="_Toc225507692"/>
      <w:r>
        <w:t>Regulatory Classifications of Research Activities</w:t>
      </w:r>
      <w:bookmarkEnd w:id="73"/>
      <w:bookmarkEnd w:id="74"/>
    </w:p>
    <w:p w14:paraId="695DD283" w14:textId="77777777" w:rsidR="00322434" w:rsidRPr="00E6416A" w:rsidRDefault="00322434" w:rsidP="00D45AEF">
      <w:pPr>
        <w:pStyle w:val="BodyText"/>
      </w:pPr>
      <w:r>
        <w:t>Submitted activities may fall under one of the following four regulatory classifications associated with differing types of review:</w:t>
      </w:r>
    </w:p>
    <w:p w14:paraId="4F61DA1C" w14:textId="77777777" w:rsidR="00322434" w:rsidRPr="00E6416A" w:rsidRDefault="00322434" w:rsidP="008E1F98">
      <w:pPr>
        <w:pStyle w:val="BodyText"/>
        <w:numPr>
          <w:ilvl w:val="0"/>
          <w:numId w:val="6"/>
        </w:numPr>
        <w:spacing w:before="100" w:beforeAutospacing="1" w:after="100" w:afterAutospacing="1"/>
      </w:pPr>
      <w:r>
        <w:rPr>
          <w:u w:val="single"/>
        </w:rPr>
        <w:t>Not human subjects research:</w:t>
      </w:r>
      <w:r>
        <w:t xml:space="preserve"> Activities must meet the institutional definition of human subjects research to fall under IRB oversight. Activities that do not meet this definition are not subject to IRB oversight or review. Contact ORRP in cases where it is unclear whether an activity is human subjects research.</w:t>
      </w:r>
    </w:p>
    <w:p w14:paraId="77F93AF0" w14:textId="77777777" w:rsidR="00322434" w:rsidRPr="00E6416A" w:rsidRDefault="00322434" w:rsidP="008E1F98">
      <w:pPr>
        <w:pStyle w:val="BodyText"/>
        <w:numPr>
          <w:ilvl w:val="0"/>
          <w:numId w:val="6"/>
        </w:numPr>
        <w:spacing w:before="100" w:beforeAutospacing="1" w:after="100" w:afterAutospacing="1"/>
      </w:pPr>
      <w:r>
        <w:rPr>
          <w:u w:val="single"/>
        </w:rPr>
        <w:t>Exempt:</w:t>
      </w:r>
      <w:r>
        <w:t xml:space="preserve"> Certain categories of research may be exempt from IRB review. It is the responsibility of the institution, not the investigator, to determine whether research is exempt from IRB review. Review </w:t>
      </w:r>
      <w:hyperlink w:anchor="B6" w:history="1">
        <w:r>
          <w:rPr>
            <w:rStyle w:val="Hyperlink"/>
          </w:rPr>
          <w:t>Exempt Research policy</w:t>
        </w:r>
      </w:hyperlink>
      <w:r>
        <w:t xml:space="preserve"> for reference on the categories of research that may qualify for exemption.</w:t>
      </w:r>
    </w:p>
    <w:p w14:paraId="2F56F011" w14:textId="77777777" w:rsidR="00322434" w:rsidRPr="00E6416A" w:rsidRDefault="00322434" w:rsidP="008E1F98">
      <w:pPr>
        <w:pStyle w:val="BodyText"/>
        <w:numPr>
          <w:ilvl w:val="0"/>
          <w:numId w:val="6"/>
        </w:numPr>
        <w:spacing w:before="100" w:beforeAutospacing="1" w:after="100" w:afterAutospacing="1"/>
      </w:pPr>
      <w:r>
        <w:rPr>
          <w:u w:val="single"/>
        </w:rPr>
        <w:t>Review using the expedited procedure:</w:t>
      </w:r>
      <w:r>
        <w:t xml:space="preserve"> Certain categories of non-exempt research may qualify for review using the expedited procedure, meaning that the project may be approved by a single designated IRB reviewer, rather than the convened board. The </w:t>
      </w:r>
      <w:hyperlink w:anchor="B10" w:history="1">
        <w:r>
          <w:rPr>
            <w:rStyle w:val="Hyperlink"/>
          </w:rPr>
          <w:t>Expedited and Administrative Review Procedures</w:t>
        </w:r>
      </w:hyperlink>
      <w:r>
        <w:t xml:space="preserve"> policy provides the categories of research that may be reviewed using the expedited procedure.</w:t>
      </w:r>
    </w:p>
    <w:p w14:paraId="35447ECA" w14:textId="77777777" w:rsidR="0060149B" w:rsidRPr="00E6416A" w:rsidRDefault="00322434" w:rsidP="008E1F98">
      <w:pPr>
        <w:pStyle w:val="ListParagraph"/>
        <w:numPr>
          <w:ilvl w:val="0"/>
          <w:numId w:val="6"/>
        </w:numPr>
        <w:spacing w:before="100" w:beforeAutospacing="1" w:after="100" w:afterAutospacing="1" w:line="240" w:lineRule="auto"/>
      </w:pPr>
      <w:r>
        <w:rPr>
          <w:u w:val="single"/>
        </w:rPr>
        <w:t>Review by the convened IRB:</w:t>
      </w:r>
      <w:r>
        <w:t xml:space="preserve"> Non-exempt human subjects research that does not qualify for review using the expedited procedure must be reviewed by the convened IRB. A convened IRB meeting must meet the membership requirements specified in federal regulations regarding the number, qualifications, diversity, and affiliation of its members, at which a majority of the members are present including at least one member whose primary concerns are in a nonscientific area. Reference the </w:t>
      </w:r>
      <w:hyperlink w:anchor="B8" w:history="1">
        <w:r>
          <w:rPr>
            <w:rStyle w:val="Hyperlink"/>
          </w:rPr>
          <w:t>Review of Research by the Convened IRB</w:t>
        </w:r>
      </w:hyperlink>
      <w:r>
        <w:t xml:space="preserve"> and </w:t>
      </w:r>
      <w:hyperlink w:anchor="B7" w:history="1">
        <w:r>
          <w:rPr>
            <w:rStyle w:val="Hyperlink"/>
          </w:rPr>
          <w:t>Board Assignment and Reviewer Assignment for Convened Review</w:t>
        </w:r>
      </w:hyperlink>
      <w:r>
        <w:t xml:space="preserve"> policies for additional details.</w:t>
      </w:r>
    </w:p>
    <w:p w14:paraId="1FC0D138" w14:textId="77777777" w:rsidR="0060149B" w:rsidRPr="00E6416A" w:rsidRDefault="0060149B" w:rsidP="0060149B">
      <w:pPr>
        <w:pStyle w:val="ListParagraph"/>
        <w:spacing w:before="100" w:beforeAutospacing="1" w:after="100" w:afterAutospacing="1" w:line="240" w:lineRule="auto"/>
      </w:pPr>
    </w:p>
    <w:p w14:paraId="43270FE9" w14:textId="77777777" w:rsidR="00322434" w:rsidRPr="00E6416A" w:rsidRDefault="00322434" w:rsidP="007F17AF">
      <w:pPr>
        <w:pStyle w:val="ListParagraph"/>
        <w:spacing w:before="100" w:beforeAutospacing="1" w:after="100" w:afterAutospacing="1" w:line="240" w:lineRule="auto"/>
      </w:pPr>
    </w:p>
    <w:p w14:paraId="4C9A2AD2" w14:textId="77777777" w:rsidR="00322434" w:rsidRPr="008A6D0A" w:rsidRDefault="00322434" w:rsidP="008A6D0A">
      <w:pPr>
        <w:pStyle w:val="Heading2"/>
      </w:pPr>
      <w:bookmarkStart w:id="75" w:name="_Toc212142151"/>
      <w:bookmarkStart w:id="76" w:name="_Toc225507693"/>
      <w:r>
        <w:t>IRB Decisions</w:t>
      </w:r>
      <w:bookmarkEnd w:id="75"/>
      <w:bookmarkEnd w:id="76"/>
      <w:r>
        <w:t xml:space="preserve"> </w:t>
      </w:r>
    </w:p>
    <w:p w14:paraId="51699793" w14:textId="77777777" w:rsidR="00322434" w:rsidRPr="00E6416A" w:rsidRDefault="001C47E2" w:rsidP="00D45AEF">
      <w:pPr>
        <w:pStyle w:val="BodyText"/>
      </w:pPr>
      <w:r>
        <w:t>There are three internal Ohio State IRBs. Final determination of board assignment is made by ORRP staff in consultation with the chair of the selected IRB as needed. Investigators are encouraged to contact ORRP staff with questions regarding appropriate board assignment before preparing submissions. The IRBs may approve research, require modifications to the research to secure approval, table research, defer research, or disapprove research:</w:t>
      </w:r>
    </w:p>
    <w:p w14:paraId="5AE8C1B6" w14:textId="77777777" w:rsidR="00322434" w:rsidRPr="00E6416A" w:rsidRDefault="00322434" w:rsidP="008E1F98">
      <w:pPr>
        <w:pStyle w:val="BodyText"/>
        <w:numPr>
          <w:ilvl w:val="0"/>
          <w:numId w:val="7"/>
        </w:numPr>
        <w:spacing w:after="0"/>
      </w:pPr>
      <w:r>
        <w:rPr>
          <w:u w:val="single"/>
        </w:rPr>
        <w:t>Approval:</w:t>
      </w:r>
      <w:r>
        <w:t xml:space="preserve"> Made when all criteria for approval are met. See </w:t>
      </w:r>
      <w:hyperlink w:anchor="_Criteria_for_IRB" w:history="1">
        <w:r>
          <w:rPr>
            <w:rStyle w:val="Hyperlink"/>
          </w:rPr>
          <w:t>Criteria for IRB Approval of Research</w:t>
        </w:r>
      </w:hyperlink>
      <w:r>
        <w:t xml:space="preserve"> below.</w:t>
      </w:r>
    </w:p>
    <w:p w14:paraId="2E5C3EC2" w14:textId="77777777" w:rsidR="00322434" w:rsidRPr="00E6416A" w:rsidRDefault="00322434" w:rsidP="008E1F98">
      <w:pPr>
        <w:pStyle w:val="BodyText"/>
        <w:numPr>
          <w:ilvl w:val="0"/>
          <w:numId w:val="7"/>
        </w:numPr>
        <w:spacing w:after="0"/>
      </w:pPr>
      <w:r>
        <w:rPr>
          <w:u w:val="single"/>
        </w:rPr>
        <w:t>Modifications required to secure approval:</w:t>
      </w:r>
      <w:r>
        <w:t xml:space="preserve"> Made when IRB members require specific modifications to the research before approval can be finalized.</w:t>
      </w:r>
    </w:p>
    <w:p w14:paraId="23E05193" w14:textId="77777777" w:rsidR="00322434" w:rsidRPr="00E6416A" w:rsidRDefault="00322434" w:rsidP="008E1F98">
      <w:pPr>
        <w:pStyle w:val="BodyText"/>
        <w:numPr>
          <w:ilvl w:val="0"/>
          <w:numId w:val="7"/>
        </w:numPr>
        <w:spacing w:after="0"/>
      </w:pPr>
      <w:r>
        <w:rPr>
          <w:u w:val="single"/>
        </w:rPr>
        <w:t>Tabled:</w:t>
      </w:r>
      <w:r>
        <w:t xml:space="preserve"> Made when the convened IRB cannot approve the research at a meeting for reasons unrelated to the research, such as loss of quorum. When taking this action, the IRB automatically schedules the research for review at the next convened meeting.</w:t>
      </w:r>
    </w:p>
    <w:p w14:paraId="6FA6379C" w14:textId="77777777" w:rsidR="00322434" w:rsidRPr="00E6416A" w:rsidRDefault="00322434" w:rsidP="008E1F98">
      <w:pPr>
        <w:pStyle w:val="BodyText"/>
        <w:numPr>
          <w:ilvl w:val="0"/>
          <w:numId w:val="7"/>
        </w:numPr>
        <w:spacing w:after="0"/>
      </w:pPr>
      <w:r>
        <w:rPr>
          <w:u w:val="single"/>
        </w:rPr>
        <w:lastRenderedPageBreak/>
        <w:t>Deferred:</w:t>
      </w:r>
      <w:r>
        <w:t xml:space="preserve"> Made when the convened IRB determines that the board is unable to approve the research. When making this motion, the IRB describes its reasons for this decision, describes revisions that might make the research approvable, and gives the investigator an opportunity to respond to the IRB in person or in writing. If the investigator chooses to respond to the IRB in person, the investigator remains responsible for submission of any required revisions.</w:t>
      </w:r>
    </w:p>
    <w:p w14:paraId="56B05940" w14:textId="77777777" w:rsidR="00322434" w:rsidRPr="00E6416A" w:rsidRDefault="00322434" w:rsidP="008E1F98">
      <w:pPr>
        <w:pStyle w:val="BodyText"/>
        <w:numPr>
          <w:ilvl w:val="0"/>
          <w:numId w:val="7"/>
        </w:numPr>
        <w:spacing w:after="0"/>
      </w:pPr>
      <w:r>
        <w:rPr>
          <w:u w:val="single"/>
        </w:rPr>
        <w:t>Disapproval:</w:t>
      </w:r>
      <w:r>
        <w:t xml:space="preserve"> Made when the convened IRB determines that it is unable to approve the research and cannot describe revisions that might make the research approvable. When making this motion, the IRB describes its reasons for this decision and gives the investigator an opportunity to respond to the IRB in person or in writing.</w:t>
      </w:r>
    </w:p>
    <w:p w14:paraId="465CD693" w14:textId="77777777" w:rsidR="00322434" w:rsidRPr="00E6416A" w:rsidRDefault="00322434" w:rsidP="00D45AEF">
      <w:pPr>
        <w:pStyle w:val="BodyText"/>
      </w:pPr>
      <w:r>
        <w:t xml:space="preserve">Reference the </w:t>
      </w:r>
      <w:hyperlink w:anchor="B9" w:history="1">
        <w:r>
          <w:rPr>
            <w:rStyle w:val="Hyperlink"/>
            <w:u w:val="none"/>
          </w:rPr>
          <w:t>IRB Actions and Communications</w:t>
        </w:r>
      </w:hyperlink>
      <w:r>
        <w:t xml:space="preserve"> policy for additional details.</w:t>
      </w:r>
    </w:p>
    <w:p w14:paraId="72A09593" w14:textId="77777777" w:rsidR="00322434" w:rsidRPr="008A6D0A" w:rsidRDefault="00322434" w:rsidP="008A6D0A">
      <w:pPr>
        <w:pStyle w:val="Heading2"/>
      </w:pPr>
      <w:bookmarkStart w:id="77" w:name="_Criteria_for_IRB"/>
      <w:bookmarkStart w:id="78" w:name="_Toc212142152"/>
      <w:bookmarkStart w:id="79" w:name="_Toc225507694"/>
      <w:bookmarkEnd w:id="77"/>
      <w:r>
        <w:t>Criteria for IRB Approval of Research</w:t>
      </w:r>
      <w:bookmarkEnd w:id="78"/>
      <w:bookmarkEnd w:id="79"/>
      <w:r>
        <w:t xml:space="preserve"> </w:t>
      </w:r>
    </w:p>
    <w:p w14:paraId="15970FE2" w14:textId="77777777" w:rsidR="00322434" w:rsidRPr="003D576E" w:rsidRDefault="00322434" w:rsidP="00322434">
      <w:pPr>
        <w:pStyle w:val="BodyText"/>
        <w:spacing w:line="276" w:lineRule="auto"/>
      </w:pPr>
      <w:r>
        <w:t xml:space="preserve">The criteria for IRB approval can be found in </w:t>
      </w:r>
      <w:hyperlink r:id="rId47" w:history="1">
        <w:r>
          <w:rPr>
            <w:rStyle w:val="Hyperlink"/>
          </w:rPr>
          <w:t>HRP-314 – WORKSHEET - Criteria for Approval for non-exempt Human Research</w:t>
        </w:r>
      </w:hyperlink>
      <w:r>
        <w:t>. The worksheet references other checklists and worksheets that might be relevant. All checklists and worksheets can be found on the ORRP website or in the online Huron system library.</w:t>
      </w:r>
    </w:p>
    <w:p w14:paraId="5F48FEBB" w14:textId="77777777" w:rsidR="00322434" w:rsidRPr="003D576E" w:rsidRDefault="00322434" w:rsidP="00322434">
      <w:pPr>
        <w:pStyle w:val="BodyText"/>
        <w:spacing w:line="276" w:lineRule="auto"/>
      </w:pPr>
      <w:r>
        <w:t>These worksheets are used for initial review, continuing review, and review of modifications to previously approved research.</w:t>
      </w:r>
    </w:p>
    <w:p w14:paraId="0E613D87" w14:textId="77777777" w:rsidR="00322434" w:rsidRPr="003D576E" w:rsidRDefault="00322434" w:rsidP="00322434">
      <w:pPr>
        <w:pStyle w:val="BodyText"/>
        <w:spacing w:line="276" w:lineRule="auto"/>
      </w:pPr>
      <w:r>
        <w:t>You are encouraged to use these worksheets to write your protocol in a way that addresses the criteria for approval.</w:t>
      </w:r>
    </w:p>
    <w:p w14:paraId="4382259B" w14:textId="77777777" w:rsidR="00F14623" w:rsidRPr="00E77299" w:rsidRDefault="0098043A" w:rsidP="0037784B">
      <w:pPr>
        <w:pStyle w:val="Heading2"/>
      </w:pPr>
      <w:bookmarkStart w:id="80" w:name="_Toc225507695"/>
      <w:bookmarkStart w:id="81" w:name="_Toc212142153"/>
      <w:r>
        <w:t>IRB Policies</w:t>
      </w:r>
      <w:bookmarkEnd w:id="80"/>
      <w:r>
        <w:t xml:space="preserve"> </w:t>
      </w:r>
      <w:bookmarkEnd w:id="81"/>
    </w:p>
    <w:p w14:paraId="72E982AC" w14:textId="77777777" w:rsidR="00F14623" w:rsidRPr="00E6416A" w:rsidRDefault="00F14623" w:rsidP="00D45AEF">
      <w:pPr>
        <w:spacing w:line="240" w:lineRule="auto"/>
      </w:pPr>
      <w:r>
        <w:t xml:space="preserve">The following HRPP policies discuss requirements specific to IRB members and ORRP staff: </w:t>
      </w:r>
    </w:p>
    <w:p w14:paraId="0346F8C0" w14:textId="77777777" w:rsidR="00D45AEF" w:rsidRPr="00E6416A" w:rsidRDefault="00322434" w:rsidP="00A07209">
      <w:pPr>
        <w:pStyle w:val="ListParagraph"/>
        <w:numPr>
          <w:ilvl w:val="0"/>
          <w:numId w:val="424"/>
        </w:numPr>
        <w:spacing w:line="240" w:lineRule="auto"/>
      </w:pPr>
      <w:hyperlink w:anchor="B29" w:history="1">
        <w:r>
          <w:rPr>
            <w:rStyle w:val="Hyperlink"/>
          </w:rPr>
          <w:t>IRB Composition and IRB Member Roles and Responsibilities:</w:t>
        </w:r>
      </w:hyperlink>
      <w:r>
        <w:t xml:space="preserve"> The purpose of this policy is to describe the membership and quorum requirements for The Ohio State University IRBs.</w:t>
      </w:r>
    </w:p>
    <w:p w14:paraId="54C17F64" w14:textId="77777777" w:rsidR="00D45AEF" w:rsidRPr="00E6416A" w:rsidRDefault="00322434" w:rsidP="00A07209">
      <w:pPr>
        <w:pStyle w:val="ListParagraph"/>
        <w:numPr>
          <w:ilvl w:val="0"/>
          <w:numId w:val="424"/>
        </w:numPr>
        <w:spacing w:line="240" w:lineRule="auto"/>
      </w:pPr>
      <w:hyperlink w:anchor="B30" w:history="1">
        <w:r>
          <w:rPr>
            <w:rStyle w:val="Hyperlink"/>
          </w:rPr>
          <w:t>IRB Member and Consultant Conflict of Interest:</w:t>
        </w:r>
      </w:hyperlink>
      <w:r>
        <w:rPr>
          <w:rStyle w:val="Heading3Char"/>
          <w:sz w:val="22"/>
          <w:szCs w:val="22"/>
        </w:rPr>
        <w:t xml:space="preserve"> </w:t>
      </w:r>
      <w:r>
        <w:t xml:space="preserve">This policy describes when IRB members or consultants are considered to have conflicts of interest, the procedures that must be followed for disclosure, and IRB review of research when such conflicts exist.                                                       </w:t>
      </w:r>
    </w:p>
    <w:p w14:paraId="1E410E87" w14:textId="77777777" w:rsidR="00322434" w:rsidRPr="00E6416A" w:rsidRDefault="00322434" w:rsidP="00A07209">
      <w:pPr>
        <w:pStyle w:val="ListParagraph"/>
        <w:numPr>
          <w:ilvl w:val="0"/>
          <w:numId w:val="424"/>
        </w:numPr>
        <w:spacing w:line="240" w:lineRule="auto"/>
      </w:pPr>
      <w:hyperlink w:anchor="B32" w:history="1">
        <w:r>
          <w:rPr>
            <w:rStyle w:val="Hyperlink"/>
          </w:rPr>
          <w:t>IRB Recordkeeping:</w:t>
        </w:r>
      </w:hyperlink>
      <w:r>
        <w:t xml:space="preserve"> The purpose of this policy is to describe recordkeeping activities and record retention for ORRP and the IRBs that comply with federal regulations, local laws, and university policy. </w:t>
      </w:r>
    </w:p>
    <w:p w14:paraId="40D70A70" w14:textId="77777777" w:rsidR="00FD6740" w:rsidRPr="003D576E" w:rsidRDefault="00FD6740" w:rsidP="00FD6740">
      <w:pPr>
        <w:pStyle w:val="ListParagraph"/>
      </w:pPr>
    </w:p>
    <w:p w14:paraId="14B849C6" w14:textId="77777777" w:rsidR="00A95582" w:rsidRPr="001F749B" w:rsidRDefault="00A95582" w:rsidP="00B632B2">
      <w:pPr>
        <w:pStyle w:val="Heading1"/>
      </w:pPr>
      <w:bookmarkStart w:id="82" w:name="_Toc212142154"/>
      <w:bookmarkStart w:id="83" w:name="_Toc225507696"/>
      <w:r>
        <w:t>Post-IRB Review Activities</w:t>
      </w:r>
      <w:bookmarkEnd w:id="82"/>
      <w:bookmarkEnd w:id="83"/>
    </w:p>
    <w:p w14:paraId="7CF2F7A9" w14:textId="77777777" w:rsidR="00A95582" w:rsidRPr="00E6416A" w:rsidRDefault="00A95582" w:rsidP="00D45AEF">
      <w:pPr>
        <w:pStyle w:val="BodyText"/>
      </w:pPr>
      <w:r>
        <w:t>The IRB will provide you a written decision indicating that the IRB has approved the research, requires modifications to secure approval, or has deferred or disapproved the research.</w:t>
      </w:r>
    </w:p>
    <w:p w14:paraId="1013FA38" w14:textId="77777777" w:rsidR="00A95582" w:rsidRPr="00E6416A" w:rsidRDefault="00A95582" w:rsidP="008E1F98">
      <w:pPr>
        <w:pStyle w:val="BodyText"/>
        <w:numPr>
          <w:ilvl w:val="0"/>
          <w:numId w:val="8"/>
        </w:numPr>
        <w:spacing w:after="0"/>
      </w:pPr>
      <w:r>
        <w:rPr>
          <w:u w:val="single"/>
        </w:rPr>
        <w:t>If the IRB has approved the research:</w:t>
      </w:r>
      <w:r>
        <w:t xml:space="preserve"> The research may commence once all other institutional approvals have been obtained. The IRB approval period is noted in the approval letter.</w:t>
      </w:r>
    </w:p>
    <w:p w14:paraId="6972F881" w14:textId="77777777" w:rsidR="00A95582" w:rsidRPr="00E6416A" w:rsidRDefault="00A95582" w:rsidP="00A07209">
      <w:pPr>
        <w:pStyle w:val="BodyText"/>
        <w:numPr>
          <w:ilvl w:val="0"/>
          <w:numId w:val="65"/>
        </w:numPr>
        <w:spacing w:after="0"/>
        <w:contextualSpacing/>
      </w:pPr>
      <w:r>
        <w:rPr>
          <w:u w:val="single"/>
        </w:rPr>
        <w:t>If the IRB requires modifications to secure approval and you accept the modifications:</w:t>
      </w:r>
      <w:r>
        <w:t xml:space="preserve"> Make the requested modifications within 30 days and submit them to the IRB. If all requested </w:t>
      </w:r>
      <w:r>
        <w:lastRenderedPageBreak/>
        <w:t xml:space="preserve">modifications are made, the IRB will issue a final approval. Research cannot commence until this final approval is received. If you do not accept the modifications, submit your response to the IRB. Refer to </w:t>
      </w:r>
      <w:hyperlink r:id="rId48" w:history="1">
        <w:r>
          <w:rPr>
            <w:rStyle w:val="Hyperlink"/>
          </w:rPr>
          <w:t>Huron IRB - Respond to Modifications Required</w:t>
        </w:r>
      </w:hyperlink>
      <w:r>
        <w:t xml:space="preserve"> for guidance.</w:t>
      </w:r>
    </w:p>
    <w:p w14:paraId="7AB4559C" w14:textId="77777777" w:rsidR="00A95582" w:rsidRPr="003D576E" w:rsidRDefault="00A95582" w:rsidP="008E1F98">
      <w:pPr>
        <w:pStyle w:val="BodyText"/>
        <w:numPr>
          <w:ilvl w:val="0"/>
          <w:numId w:val="8"/>
        </w:numPr>
        <w:spacing w:after="0"/>
      </w:pPr>
      <w:r>
        <w:rPr>
          <w:u w:val="single"/>
        </w:rPr>
        <w:t>If the IRB defers the research:</w:t>
      </w:r>
      <w:r>
        <w:t xml:space="preserve"> The IRB will provide a statement of the reasons for deferral and changes required  to make the study approvable and give you an opportunity to respond in writing. In most cases, if the IRB’s reasons for the deferral are addressed in a modification, the research can be approved</w:t>
      </w:r>
    </w:p>
    <w:p w14:paraId="73453F53" w14:textId="77777777" w:rsidR="00A95582" w:rsidRPr="003D576E" w:rsidRDefault="00A95582" w:rsidP="008E1F98">
      <w:pPr>
        <w:pStyle w:val="BodyText"/>
        <w:numPr>
          <w:ilvl w:val="0"/>
          <w:numId w:val="8"/>
        </w:numPr>
        <w:spacing w:after="0"/>
      </w:pPr>
      <w:r>
        <w:rPr>
          <w:u w:val="single"/>
        </w:rPr>
        <w:t>If the IRB disapproves the research:</w:t>
      </w:r>
      <w:r>
        <w:t xml:space="preserve"> The IRB will provide a statement of the reasons for disapproval and give you an opportunity to respond in writing.</w:t>
      </w:r>
    </w:p>
    <w:p w14:paraId="429B4485" w14:textId="77777777" w:rsidR="00A95582" w:rsidRPr="003D576E" w:rsidRDefault="00A95582" w:rsidP="00D45AEF">
      <w:pPr>
        <w:pStyle w:val="BodyText"/>
      </w:pPr>
      <w:r>
        <w:t xml:space="preserve">In all cases, you have the right to address your concerns to the IRB directly at an IRB meeting. </w:t>
      </w:r>
    </w:p>
    <w:p w14:paraId="59A07569" w14:textId="77777777" w:rsidR="00A95582" w:rsidRPr="003D576E" w:rsidRDefault="00A95582" w:rsidP="00A95582">
      <w:pPr>
        <w:pStyle w:val="BodyText"/>
        <w:spacing w:line="276" w:lineRule="auto"/>
        <w:rPr>
          <w:i/>
          <w:iCs/>
        </w:rPr>
      </w:pPr>
      <w:r>
        <w:t xml:space="preserve">Additionally, you have the right to appeal an IRB determination. An </w:t>
      </w:r>
      <w:r>
        <w:rPr>
          <w:b/>
          <w:bCs/>
        </w:rPr>
        <w:t>appeal</w:t>
      </w:r>
      <w:r>
        <w:t xml:space="preserve"> is a request for reconsideration of an IRB determination in research involving human subjects, including (but not limited to) decisions regarding approval status, conditions for approval, or noncompliance. </w:t>
      </w:r>
      <w:r>
        <w:rPr>
          <w:i/>
          <w:iCs/>
        </w:rPr>
        <w:t>Note: An appeal is reviewed by the convened IRB responsible for the determination being appealed; for a decision made by expedited review, the corresponding convened IRB may review the appeal.</w:t>
      </w:r>
    </w:p>
    <w:p w14:paraId="7BC527D7" w14:textId="77777777" w:rsidR="00A95582" w:rsidRPr="00FD6740" w:rsidRDefault="0098043A" w:rsidP="00B632B2">
      <w:pPr>
        <w:pStyle w:val="Heading2"/>
      </w:pPr>
      <w:bookmarkStart w:id="84" w:name="_Toc212142155"/>
      <w:bookmarkStart w:id="85" w:name="_Toc225507697"/>
      <w:r>
        <w:t>Investigator Obligations after IRB Approval</w:t>
      </w:r>
      <w:bookmarkEnd w:id="84"/>
      <w:bookmarkEnd w:id="85"/>
    </w:p>
    <w:p w14:paraId="5596561F" w14:textId="77777777" w:rsidR="00A95582" w:rsidRPr="00D01081" w:rsidRDefault="00A95582" w:rsidP="008E1F98">
      <w:pPr>
        <w:pStyle w:val="ListParagraph"/>
        <w:numPr>
          <w:ilvl w:val="0"/>
          <w:numId w:val="4"/>
        </w:numPr>
        <w:spacing w:after="0"/>
        <w:rPr>
          <w:color w:val="000000"/>
        </w:rPr>
      </w:pPr>
      <w:r>
        <w:rPr>
          <w:color w:val="000000"/>
        </w:rPr>
        <w:t>Do not start research activities until you have final IRB approval.</w:t>
      </w:r>
    </w:p>
    <w:p w14:paraId="0372B636" w14:textId="77777777" w:rsidR="00A95582" w:rsidRPr="003D576E" w:rsidRDefault="00A95582" w:rsidP="008E1F98">
      <w:pPr>
        <w:numPr>
          <w:ilvl w:val="0"/>
          <w:numId w:val="4"/>
        </w:numPr>
        <w:spacing w:after="0" w:line="276" w:lineRule="auto"/>
        <w:rPr>
          <w:color w:val="000000"/>
        </w:rPr>
      </w:pPr>
      <w:r>
        <w:rPr>
          <w:color w:val="000000"/>
        </w:rPr>
        <w:t>Do not start research activities until you have obtained all other required institutional approvals, including department or division approvals, prior to commencing research that involves their resources.</w:t>
      </w:r>
    </w:p>
    <w:p w14:paraId="62C4EC03" w14:textId="77777777" w:rsidR="00A95582" w:rsidRPr="003D576E" w:rsidRDefault="00A95582" w:rsidP="008E1F98">
      <w:pPr>
        <w:numPr>
          <w:ilvl w:val="0"/>
          <w:numId w:val="4"/>
        </w:numPr>
        <w:spacing w:after="0" w:line="276" w:lineRule="auto"/>
        <w:rPr>
          <w:color w:val="000000"/>
        </w:rPr>
      </w:pPr>
      <w:r>
        <w:rPr>
          <w:color w:val="000000"/>
        </w:rPr>
        <w:t>Ensure that there are adequate resources to carry out the research safely. This includes, but is not limited to, sufficient investigator time, appropriately qualified research team members, equipment, appropriate secure data storage, and space.</w:t>
      </w:r>
    </w:p>
    <w:p w14:paraId="379F2A59" w14:textId="77777777" w:rsidR="00A95582" w:rsidRPr="003D576E" w:rsidRDefault="00A95582" w:rsidP="008E1F98">
      <w:pPr>
        <w:numPr>
          <w:ilvl w:val="0"/>
          <w:numId w:val="4"/>
        </w:numPr>
        <w:spacing w:after="0" w:line="276" w:lineRule="auto"/>
        <w:rPr>
          <w:color w:val="000000"/>
        </w:rPr>
      </w:pPr>
      <w:r>
        <w:rPr>
          <w:color w:val="000000"/>
        </w:rPr>
        <w:t>Ensure that research staff are qualified (e.g., including but not limited to appropriate training, education, expertise, credentials, protocol requirements and, when relevant, privileges) to perform procedures and duties assigned to them during the study.</w:t>
      </w:r>
    </w:p>
    <w:p w14:paraId="70286A73" w14:textId="77777777" w:rsidR="00A95582" w:rsidRPr="003D576E" w:rsidRDefault="00A95582" w:rsidP="008E1F98">
      <w:pPr>
        <w:numPr>
          <w:ilvl w:val="0"/>
          <w:numId w:val="4"/>
        </w:numPr>
        <w:spacing w:after="0" w:line="276" w:lineRule="auto"/>
        <w:rPr>
          <w:color w:val="000000"/>
        </w:rPr>
      </w:pPr>
      <w:r>
        <w:rPr>
          <w:color w:val="000000"/>
        </w:rPr>
        <w:t>Update ORRP with any changes to study personnel.</w:t>
      </w:r>
    </w:p>
    <w:p w14:paraId="5988C0FA" w14:textId="77777777" w:rsidR="00A95582" w:rsidRPr="003D576E" w:rsidRDefault="00A95582" w:rsidP="008E1F98">
      <w:pPr>
        <w:numPr>
          <w:ilvl w:val="0"/>
          <w:numId w:val="4"/>
        </w:numPr>
        <w:spacing w:after="0" w:line="276" w:lineRule="auto"/>
        <w:rPr>
          <w:color w:val="000000"/>
        </w:rPr>
      </w:pPr>
      <w:r>
        <w:rPr>
          <w:color w:val="000000"/>
        </w:rPr>
        <w:t>Personally conduct or supervise the research. Recognize that the investigator is accountable for the failures of any study team member.</w:t>
      </w:r>
    </w:p>
    <w:p w14:paraId="6E6012C1" w14:textId="77777777" w:rsidR="00A95582" w:rsidRPr="00D01081" w:rsidRDefault="00A95582" w:rsidP="008E1F98">
      <w:pPr>
        <w:pStyle w:val="ListParagraph"/>
        <w:numPr>
          <w:ilvl w:val="1"/>
          <w:numId w:val="4"/>
        </w:numPr>
        <w:spacing w:after="0"/>
        <w:rPr>
          <w:color w:val="000000"/>
        </w:rPr>
      </w:pPr>
      <w:r>
        <w:rPr>
          <w:color w:val="000000"/>
        </w:rPr>
        <w:t>Conduct the research in accordance with the relevant current protocol as approved by the IRB, and in accordance with applicable federal regulations and local laws.</w:t>
      </w:r>
    </w:p>
    <w:p w14:paraId="76BC7171" w14:textId="77777777" w:rsidR="00A95582" w:rsidRPr="003D576E" w:rsidRDefault="00A95582" w:rsidP="008E1F98">
      <w:pPr>
        <w:pStyle w:val="ListParagraph"/>
        <w:numPr>
          <w:ilvl w:val="1"/>
          <w:numId w:val="4"/>
        </w:numPr>
        <w:rPr>
          <w:color w:val="000000"/>
        </w:rPr>
      </w:pPr>
      <w:r>
        <w:rPr>
          <w:color w:val="000000"/>
        </w:rPr>
        <w:t>Review data collected as research progresses to ensure the continued safety of current and future participants as well as the scientific validity and integrity of the research. Regardless of the study’s risk level, the IRB will review the plan for reviewing research data to ensure the safety of participants and scientific validity of the research, including who will perform the monitoring, the type and frequency of review, and procedures for notifying appropriate entities (e.g., investigators, sponsor, etc.) of the results.</w:t>
      </w:r>
    </w:p>
    <w:p w14:paraId="3658FBA8" w14:textId="77777777" w:rsidR="00A95582" w:rsidRPr="003D576E" w:rsidRDefault="00A95582" w:rsidP="008E1F98">
      <w:pPr>
        <w:pStyle w:val="ListParagraph"/>
        <w:numPr>
          <w:ilvl w:val="1"/>
          <w:numId w:val="4"/>
        </w:numPr>
        <w:spacing w:after="0"/>
        <w:rPr>
          <w:color w:val="000000"/>
        </w:rPr>
      </w:pPr>
      <w:r>
        <w:rPr>
          <w:color w:val="000000"/>
        </w:rPr>
        <w:t xml:space="preserve">When conducting greater than minimal risk research, submit to the IRB the applicable Data and Safety Monitoring Board (DSMB) or Committee (DSMC) reports to ensure continued participant safety and scientific validity and to review the board’s recommendations of whether or not to continue, modify, or terminate the study. A DSMB/DSMC is a group comprised of expert(s) in </w:t>
      </w:r>
      <w:r>
        <w:rPr>
          <w:color w:val="000000"/>
        </w:rPr>
        <w:lastRenderedPageBreak/>
        <w:t xml:space="preserve">the field of medicine and/or science applicable to the research, statistician(s), lay representative(s), and others as necessary to monitor study progress. A data and safety monitoring board reviews study-specific data periodically throughout the research. </w:t>
      </w:r>
    </w:p>
    <w:p w14:paraId="0EBB1C66" w14:textId="77777777" w:rsidR="00A95582" w:rsidRPr="00E6416A" w:rsidRDefault="00A95582" w:rsidP="008E1F98">
      <w:pPr>
        <w:numPr>
          <w:ilvl w:val="1"/>
          <w:numId w:val="4"/>
        </w:numPr>
        <w:spacing w:after="0" w:line="276" w:lineRule="auto"/>
        <w:rPr>
          <w:color w:val="000000"/>
        </w:rPr>
      </w:pPr>
      <w:r>
        <w:rPr>
          <w:color w:val="000000"/>
        </w:rPr>
        <w:t>When required by the IRB, ensure that consent or permission is obtained in accordance with the currently IRB approved protocol.</w:t>
      </w:r>
    </w:p>
    <w:p w14:paraId="3B3D29A8" w14:textId="77777777" w:rsidR="00A95582" w:rsidRPr="00E6416A" w:rsidRDefault="00A95582" w:rsidP="008E1F98">
      <w:pPr>
        <w:numPr>
          <w:ilvl w:val="1"/>
          <w:numId w:val="4"/>
        </w:numPr>
        <w:spacing w:after="0" w:line="276" w:lineRule="auto"/>
        <w:rPr>
          <w:color w:val="000000"/>
        </w:rPr>
      </w:pPr>
      <w:r>
        <w:rPr>
          <w:color w:val="000000"/>
        </w:rPr>
        <w:t>Do not modify the research without prior IRB review and approval unless necessary to eliminate apparent immediate hazards to participants.</w:t>
      </w:r>
    </w:p>
    <w:p w14:paraId="3473D924" w14:textId="77777777" w:rsidR="00A95582" w:rsidRPr="00E6416A" w:rsidRDefault="00A95582" w:rsidP="008E1F98">
      <w:pPr>
        <w:numPr>
          <w:ilvl w:val="1"/>
          <w:numId w:val="4"/>
        </w:numPr>
        <w:spacing w:after="0" w:line="276" w:lineRule="auto"/>
        <w:rPr>
          <w:color w:val="000000"/>
        </w:rPr>
      </w:pPr>
      <w:r>
        <w:rPr>
          <w:color w:val="000000"/>
        </w:rPr>
        <w:t>Protect the rights, safety, and welfare of research participants.</w:t>
      </w:r>
    </w:p>
    <w:p w14:paraId="5B5DFC04" w14:textId="77777777" w:rsidR="00A95582" w:rsidRPr="00E6416A" w:rsidRDefault="00A95582" w:rsidP="008E1F98">
      <w:pPr>
        <w:numPr>
          <w:ilvl w:val="0"/>
          <w:numId w:val="4"/>
        </w:numPr>
        <w:spacing w:after="0" w:line="276" w:lineRule="auto"/>
        <w:rPr>
          <w:color w:val="000000"/>
        </w:rPr>
      </w:pPr>
      <w:r>
        <w:rPr>
          <w:color w:val="000000"/>
        </w:rPr>
        <w:t>Submit to the IRB:</w:t>
      </w:r>
    </w:p>
    <w:p w14:paraId="3F99F94C" w14:textId="77777777" w:rsidR="00A95582" w:rsidRPr="00E6416A" w:rsidRDefault="00A95582" w:rsidP="008E1F98">
      <w:pPr>
        <w:numPr>
          <w:ilvl w:val="1"/>
          <w:numId w:val="4"/>
        </w:numPr>
        <w:spacing w:after="0" w:line="276" w:lineRule="auto"/>
        <w:rPr>
          <w:color w:val="000000"/>
        </w:rPr>
      </w:pPr>
      <w:r>
        <w:rPr>
          <w:color w:val="000000"/>
        </w:rPr>
        <w:t>Proposed modifications as described in this manual.</w:t>
      </w:r>
      <w:r>
        <w:t xml:space="preserve"> (See “</w:t>
      </w:r>
      <w:hyperlink w:anchor="submittingamodification" w:history="1">
        <w:r>
          <w:rPr>
            <w:rStyle w:val="Hyperlink"/>
          </w:rPr>
          <w:t>Submitting a Modification</w:t>
        </w:r>
      </w:hyperlink>
      <w:r>
        <w:rPr>
          <w:color w:val="000000"/>
        </w:rPr>
        <w:t>”)</w:t>
      </w:r>
    </w:p>
    <w:p w14:paraId="10FDBC44" w14:textId="77777777" w:rsidR="00A95582" w:rsidRPr="00E6416A" w:rsidRDefault="00A95582" w:rsidP="008E1F98">
      <w:pPr>
        <w:numPr>
          <w:ilvl w:val="1"/>
          <w:numId w:val="4"/>
        </w:numPr>
        <w:spacing w:after="0" w:line="276" w:lineRule="auto"/>
        <w:rPr>
          <w:color w:val="000000"/>
        </w:rPr>
      </w:pPr>
      <w:r>
        <w:rPr>
          <w:color w:val="000000"/>
        </w:rPr>
        <w:t>A continuing review application as requested in the approval letter. (See “</w:t>
      </w:r>
      <w:hyperlink w:anchor="submittingacontinuingreview" w:history="1">
        <w:r>
          <w:rPr>
            <w:rStyle w:val="Hyperlink"/>
          </w:rPr>
          <w:t>Submitting a  Continuing Review”)</w:t>
        </w:r>
      </w:hyperlink>
    </w:p>
    <w:p w14:paraId="712C4681" w14:textId="77777777" w:rsidR="00A95582" w:rsidRPr="00E6416A" w:rsidRDefault="00A95582" w:rsidP="008E1F98">
      <w:pPr>
        <w:numPr>
          <w:ilvl w:val="1"/>
          <w:numId w:val="4"/>
        </w:numPr>
        <w:spacing w:after="0" w:line="276" w:lineRule="auto"/>
        <w:rPr>
          <w:color w:val="000000"/>
        </w:rPr>
      </w:pPr>
      <w:r>
        <w:rPr>
          <w:color w:val="000000"/>
        </w:rPr>
        <w:t>A continuing review application when the research is closed. (See “</w:t>
      </w:r>
      <w:hyperlink w:anchor="closingastudy" w:history="1">
        <w:r>
          <w:rPr>
            <w:rStyle w:val="Hyperlink"/>
          </w:rPr>
          <w:t>Closing a Study</w:t>
        </w:r>
      </w:hyperlink>
      <w:r>
        <w:rPr>
          <w:color w:val="000000"/>
        </w:rPr>
        <w:t>”)</w:t>
      </w:r>
    </w:p>
    <w:p w14:paraId="4A99BFD8" w14:textId="77777777" w:rsidR="00A95582" w:rsidRPr="00E6416A" w:rsidRDefault="00A77264" w:rsidP="008E1F98">
      <w:pPr>
        <w:numPr>
          <w:ilvl w:val="0"/>
          <w:numId w:val="4"/>
        </w:numPr>
        <w:spacing w:after="0" w:line="276" w:lineRule="auto"/>
      </w:pPr>
      <w:r>
        <w:t>Submit the Reportable New Information (RNI) SmartForm as necessary per reporting requirements. (See “</w:t>
      </w:r>
      <w:hyperlink w:anchor="SubmittingReportableNewInformation" w:history="1">
        <w:r>
          <w:rPr>
            <w:rStyle w:val="Hyperlink"/>
          </w:rPr>
          <w:t>Submitting Reportable New Information</w:t>
        </w:r>
      </w:hyperlink>
      <w:r>
        <w:t>”)</w:t>
      </w:r>
    </w:p>
    <w:p w14:paraId="07619A6A" w14:textId="77777777" w:rsidR="00A95582" w:rsidRPr="00E6416A" w:rsidRDefault="00A95582" w:rsidP="008E1F98">
      <w:pPr>
        <w:numPr>
          <w:ilvl w:val="0"/>
          <w:numId w:val="4"/>
        </w:numPr>
        <w:spacing w:after="0" w:line="276" w:lineRule="auto"/>
        <w:rPr>
          <w:color w:val="000000"/>
        </w:rPr>
      </w:pPr>
      <w:r>
        <w:rPr>
          <w:color w:val="000000"/>
        </w:rPr>
        <w:t>Submit an updated disclosure of financial interests within thirty days of discovering or acquiring (e.g., through purchase, marriage, or inheritance) a new financial interest.</w:t>
      </w:r>
    </w:p>
    <w:p w14:paraId="466D78EC" w14:textId="77777777" w:rsidR="00A95582" w:rsidRPr="00E6416A" w:rsidRDefault="00A95582" w:rsidP="008E1F98">
      <w:pPr>
        <w:numPr>
          <w:ilvl w:val="0"/>
          <w:numId w:val="4"/>
        </w:numPr>
        <w:spacing w:after="0" w:line="276" w:lineRule="auto"/>
        <w:rPr>
          <w:color w:val="000000"/>
        </w:rPr>
      </w:pPr>
      <w:r>
        <w:rPr>
          <w:color w:val="000000"/>
        </w:rPr>
        <w:t>Do not accept or provide payments to professionals in exchange for referrals of potential participants (“finder’s fees.”)</w:t>
      </w:r>
    </w:p>
    <w:p w14:paraId="70C4DA36" w14:textId="77777777" w:rsidR="00A95582" w:rsidRPr="00E6416A" w:rsidRDefault="00A95582" w:rsidP="008E1F98">
      <w:pPr>
        <w:numPr>
          <w:ilvl w:val="0"/>
          <w:numId w:val="4"/>
        </w:numPr>
        <w:spacing w:after="0" w:line="276" w:lineRule="auto"/>
        <w:rPr>
          <w:color w:val="000000"/>
        </w:rPr>
      </w:pPr>
      <w:r>
        <w:rPr>
          <w:color w:val="000000"/>
        </w:rPr>
        <w:t>Do not accept payments designed to accelerate recruitment that were tied to the rate or timing of enrollment (“bonus payments.”)</w:t>
      </w:r>
    </w:p>
    <w:p w14:paraId="4AF439B6" w14:textId="77777777" w:rsidR="00A95582" w:rsidRPr="00E6416A" w:rsidRDefault="00A95582" w:rsidP="008E1F98">
      <w:pPr>
        <w:numPr>
          <w:ilvl w:val="0"/>
          <w:numId w:val="4"/>
        </w:numPr>
        <w:spacing w:after="0" w:line="276" w:lineRule="auto"/>
        <w:rPr>
          <w:color w:val="000000"/>
        </w:rPr>
      </w:pPr>
      <w:r>
        <w:rPr>
          <w:color w:val="000000"/>
        </w:rPr>
        <w:t xml:space="preserve">See additional requirements of various federal agencies in </w:t>
      </w:r>
      <w:hyperlink w:anchor="Appendix_A_1" w:history="1">
        <w:r>
          <w:rPr>
            <w:rStyle w:val="Hyperlink"/>
          </w:rPr>
          <w:t>Appendix A.</w:t>
        </w:r>
      </w:hyperlink>
      <w:r>
        <w:rPr>
          <w:color w:val="000000"/>
        </w:rPr>
        <w:t xml:space="preserve"> These represent additional requirements and do not override the baseline requirements of this section.</w:t>
      </w:r>
    </w:p>
    <w:p w14:paraId="1656CAC5" w14:textId="77777777" w:rsidR="00A95582" w:rsidRPr="00E6416A" w:rsidRDefault="00A95582" w:rsidP="008E1F98">
      <w:pPr>
        <w:numPr>
          <w:ilvl w:val="0"/>
          <w:numId w:val="4"/>
        </w:numPr>
        <w:spacing w:after="0" w:line="276" w:lineRule="auto"/>
        <w:rPr>
          <w:color w:val="000000"/>
        </w:rPr>
      </w:pPr>
      <w:r>
        <w:rPr>
          <w:color w:val="404443" w:themeColor="text1"/>
        </w:rPr>
        <w:t xml:space="preserve">If the study is a clinical trial and supported by a Common Rule agency, one IRB-approved version of a consent form that has been used to enroll participants must be posted on a public federal website designated for posting such consent forms. The form must be posted after recruitment closes, and no later than 60 days after the last study visit.  Please contact the study sponsor with any questions.  </w:t>
      </w:r>
    </w:p>
    <w:p w14:paraId="1AAD9E44" w14:textId="77777777" w:rsidR="00A95582" w:rsidRPr="00E6416A" w:rsidRDefault="00A95582" w:rsidP="008E1F98">
      <w:pPr>
        <w:numPr>
          <w:ilvl w:val="1"/>
          <w:numId w:val="4"/>
        </w:numPr>
        <w:spacing w:after="0" w:line="276" w:lineRule="auto"/>
        <w:rPr>
          <w:color w:val="000000"/>
        </w:rPr>
      </w:pPr>
      <w:r>
        <w:t>If certain information should not be made publicly available on a federal website (e.g. confidential commercial information), the supporting federal department or agency may permit or require redactions to the information posted.  Contact the federal department or agency supporting the clinical trial for a formal determination.</w:t>
      </w:r>
      <w:r>
        <w:rPr>
          <w:color w:val="000000"/>
        </w:rPr>
        <w:t xml:space="preserve"> </w:t>
      </w:r>
      <w:r>
        <w:t>Contact the supporting federal department or agency sponsor with any other questions regarding consent form posting obligations.</w:t>
      </w:r>
    </w:p>
    <w:p w14:paraId="119D611C" w14:textId="77777777" w:rsidR="00A95582" w:rsidRPr="003D576E" w:rsidRDefault="00A95582" w:rsidP="00B632B2">
      <w:pPr>
        <w:spacing w:after="0" w:line="276" w:lineRule="auto"/>
        <w:ind w:left="360"/>
      </w:pPr>
    </w:p>
    <w:p w14:paraId="5DA330CF" w14:textId="77777777" w:rsidR="00A95582" w:rsidRPr="001F749B" w:rsidRDefault="00A95582" w:rsidP="001F749B">
      <w:pPr>
        <w:pStyle w:val="Heading1"/>
      </w:pPr>
      <w:bookmarkStart w:id="86" w:name="_Toc212142156"/>
      <w:bookmarkStart w:id="87" w:name="_Toc225507698"/>
      <w:r>
        <w:t>Submissions After Initial Approval</w:t>
      </w:r>
      <w:bookmarkEnd w:id="86"/>
      <w:bookmarkEnd w:id="87"/>
    </w:p>
    <w:p w14:paraId="58945388" w14:textId="77777777" w:rsidR="00A95582" w:rsidRPr="008A6D0A" w:rsidRDefault="00A95582" w:rsidP="008A6D0A">
      <w:pPr>
        <w:pStyle w:val="Heading2"/>
      </w:pPr>
      <w:bookmarkStart w:id="88" w:name="_Toc212142157"/>
      <w:bookmarkStart w:id="89" w:name="_Toc225507699"/>
      <w:bookmarkStart w:id="90" w:name="submittingamodification"/>
      <w:r>
        <w:t>Submit a Modification</w:t>
      </w:r>
      <w:bookmarkEnd w:id="88"/>
      <w:bookmarkEnd w:id="89"/>
    </w:p>
    <w:bookmarkEnd w:id="90"/>
    <w:p w14:paraId="4D557C8B" w14:textId="77777777" w:rsidR="00A95582" w:rsidRPr="00E6416A" w:rsidRDefault="00A95582" w:rsidP="00A95582">
      <w:pPr>
        <w:pStyle w:val="BodyText"/>
        <w:spacing w:line="276" w:lineRule="auto"/>
      </w:pPr>
      <w:r>
        <w:t xml:space="preserve">Complete the Modification SmartForm in the Huron IRB system and attach all requested supplements. Have the PI submit the SmartForm by clicking the “Submit” activity. Maintain electronic copies of all </w:t>
      </w:r>
      <w:r>
        <w:lastRenderedPageBreak/>
        <w:t xml:space="preserve">information submitted to the IRB in case revisions are required. Please note that research must continue to be conducted without inclusion of the modification until IRB approval is received. Updates to the list of study personnel will be acknowledged unless the update represents a modification to the research. For the step-by-step process on how to create and submit a modification in the Huron IRB system, visit </w:t>
      </w:r>
      <w:hyperlink r:id="rId49" w:history="1">
        <w:r>
          <w:rPr>
            <w:rStyle w:val="Hyperlink"/>
          </w:rPr>
          <w:t>Huron IRB – Create and Submit a Modification</w:t>
        </w:r>
      </w:hyperlink>
      <w:r>
        <w:t xml:space="preserve"> in the Research Knowledge Base. </w:t>
      </w:r>
    </w:p>
    <w:p w14:paraId="6397CF2A" w14:textId="77777777" w:rsidR="0077281E" w:rsidRPr="001F749B" w:rsidRDefault="0066064B" w:rsidP="001F749B">
      <w:pPr>
        <w:pStyle w:val="Heading2"/>
      </w:pPr>
      <w:bookmarkStart w:id="91" w:name="_Toc212142158"/>
      <w:bookmarkStart w:id="92" w:name="_Toc225507700"/>
      <w:r>
        <w:t>How to Transfer Responsibility to a New Principal Investigator</w:t>
      </w:r>
      <w:bookmarkEnd w:id="91"/>
      <w:bookmarkEnd w:id="92"/>
      <w:r>
        <w:t> </w:t>
      </w:r>
    </w:p>
    <w:p w14:paraId="51F362F6" w14:textId="77777777" w:rsidR="0077281E" w:rsidRPr="00E6416A" w:rsidRDefault="0077281E" w:rsidP="0077281E">
      <w:pPr>
        <w:spacing w:after="0" w:line="276" w:lineRule="auto"/>
        <w:rPr>
          <w:color w:val="000000"/>
        </w:rPr>
      </w:pPr>
      <w:r>
        <w:rPr>
          <w:color w:val="000000"/>
        </w:rPr>
        <w:t xml:space="preserve">PI changes often prompt changes to other parts of the study. Review all consent/assent forms, recruitment materials, and other documents to make certain they have been updated to reflect the change. The current PI may transfer responsibility to a new PI by submitting a modification </w:t>
      </w:r>
      <w:r>
        <w:t>(See “</w:t>
      </w:r>
      <w:hyperlink w:anchor="submittingamodification" w:history="1">
        <w:r>
          <w:rPr>
            <w:rStyle w:val="Hyperlink"/>
          </w:rPr>
          <w:t>Submitting a modification</w:t>
        </w:r>
      </w:hyperlink>
      <w:r>
        <w:rPr>
          <w:color w:val="000000"/>
        </w:rPr>
        <w:t>”).</w:t>
      </w:r>
    </w:p>
    <w:p w14:paraId="01285601" w14:textId="77777777" w:rsidR="0077281E" w:rsidRPr="00E6416A" w:rsidRDefault="0077281E" w:rsidP="0077281E">
      <w:pPr>
        <w:pStyle w:val="NormalWeb"/>
        <w:spacing w:before="120" w:after="120"/>
      </w:pPr>
      <w:r>
        <w:rPr>
          <w:color w:val="000000"/>
          <w:sz w:val="22"/>
          <w:szCs w:val="22"/>
        </w:rPr>
        <w:t xml:space="preserve">If the current PI is leaving the institution but will remain a study team member, please contact </w:t>
      </w:r>
      <w:r>
        <w:rPr>
          <w:sz w:val="22"/>
          <w:szCs w:val="22"/>
        </w:rPr>
        <w:t>ORRP</w:t>
      </w:r>
      <w:r>
        <w:rPr>
          <w:color w:val="000000"/>
          <w:sz w:val="22"/>
          <w:szCs w:val="22"/>
        </w:rPr>
        <w:t xml:space="preserve"> to determine if a reliance agreement is appropriate.</w:t>
      </w:r>
    </w:p>
    <w:p w14:paraId="037827A7" w14:textId="77777777" w:rsidR="0077281E" w:rsidRPr="00E6416A" w:rsidRDefault="0077281E" w:rsidP="0077281E">
      <w:pPr>
        <w:pStyle w:val="NormalWeb"/>
        <w:spacing w:before="120" w:beforeAutospacing="0" w:after="120" w:afterAutospacing="0"/>
      </w:pPr>
      <w:r>
        <w:rPr>
          <w:color w:val="000000"/>
          <w:sz w:val="22"/>
          <w:szCs w:val="22"/>
        </w:rPr>
        <w:t>If the current PI is leaving the institution and plans to take research data or biospecimens with them, there are contractual agreements (e.g., data use agreements or material transfer agreements) that may be needed to share individual level human subjects research data/biospecimens.  Contact the Office of Innovation and Economic Development for assistance in determining whether an agreement is needed and how to process the transfer, as applicable.</w:t>
      </w:r>
    </w:p>
    <w:p w14:paraId="3395E97E" w14:textId="77777777" w:rsidR="0077281E" w:rsidRPr="00E6416A" w:rsidRDefault="00E50732" w:rsidP="00A95582">
      <w:pPr>
        <w:pStyle w:val="BodyText"/>
        <w:spacing w:line="276" w:lineRule="auto"/>
        <w:rPr>
          <w:color w:val="000000"/>
        </w:rPr>
      </w:pPr>
      <w:r>
        <w:rPr>
          <w:color w:val="000000"/>
        </w:rPr>
        <w:t>If a PI leaves the university or is unavailable to personally conduct or supervise ongoing research (e.g., on sabbatical or extended leave), he/she must make arrangements to amend (including a change in PI) or terminate the research, as appropriate. </w:t>
      </w:r>
    </w:p>
    <w:p w14:paraId="192B521D" w14:textId="77777777" w:rsidR="006908EB" w:rsidRPr="008A6D0A" w:rsidRDefault="00A95582" w:rsidP="008A6D0A">
      <w:pPr>
        <w:pStyle w:val="Heading2"/>
      </w:pPr>
      <w:bookmarkStart w:id="93" w:name="_Toc212142159"/>
      <w:bookmarkStart w:id="94" w:name="_Toc225507701"/>
      <w:bookmarkStart w:id="95" w:name="submittingacontinuingreview"/>
      <w:r>
        <w:t>Submit a Continuing Review</w:t>
      </w:r>
      <w:bookmarkEnd w:id="93"/>
      <w:bookmarkEnd w:id="94"/>
    </w:p>
    <w:bookmarkEnd w:id="95"/>
    <w:p w14:paraId="2DF9D3BA" w14:textId="77777777" w:rsidR="00A95582" w:rsidRPr="00E6416A" w:rsidRDefault="00A95582" w:rsidP="006908EB">
      <w:pPr>
        <w:pStyle w:val="BodyText"/>
        <w:spacing w:after="0"/>
      </w:pPr>
      <w:r>
        <w:t xml:space="preserve">Complete the Continuing Review SmartForm in the Huron IRB system and attach all requested supplements including </w:t>
      </w:r>
      <w:hyperlink r:id="rId50" w:history="1">
        <w:r>
          <w:rPr>
            <w:rStyle w:val="Hyperlink"/>
          </w:rPr>
          <w:t>HRP-215 – FORM - Continuing Review Supplement</w:t>
        </w:r>
      </w:hyperlink>
      <w:r>
        <w:t xml:space="preserve">. Have the PI submit the SmartForm by clicking the “Submit” activity. Maintain electronic copies of all information submitted to the IRB in case revisions are required. The step by step process on how to create and submit a continuing review in Huron, visit </w:t>
      </w:r>
      <w:hyperlink r:id="rId51" w:history="1">
        <w:r>
          <w:rPr>
            <w:rStyle w:val="Hyperlink"/>
          </w:rPr>
          <w:t>Huron IRB – Create and Submit a Continuing Review</w:t>
        </w:r>
      </w:hyperlink>
      <w:r>
        <w:t xml:space="preserve"> in the Research Knowledge Base. </w:t>
      </w:r>
    </w:p>
    <w:p w14:paraId="643C56B4" w14:textId="77777777" w:rsidR="00A95582" w:rsidRPr="00E6416A" w:rsidRDefault="00A95582" w:rsidP="00A95582">
      <w:pPr>
        <w:pStyle w:val="BodyText"/>
        <w:spacing w:before="240" w:line="276" w:lineRule="auto"/>
      </w:pPr>
      <w:r>
        <w:t xml:space="preserve">If the continuing review involves modifications to previously approved research, submit those modifications either as a combined modification and continuing review or as a separate request for modification using the Modification SmartForm in the electronic system.Combined Modifications and Continuing Reviews are limited to changes involving study team updates. More significant modifications should be submitted separately. </w:t>
      </w:r>
    </w:p>
    <w:p w14:paraId="79D72E90" w14:textId="77777777" w:rsidR="00A95582" w:rsidRPr="00E6416A" w:rsidRDefault="00A95582" w:rsidP="00A95582">
      <w:pPr>
        <w:pStyle w:val="BodyText"/>
        <w:spacing w:line="276" w:lineRule="auto"/>
      </w:pPr>
      <w:r>
        <w:t xml:space="preserve">If the study approval expires, all research procedures under review must cease, including recruitment, advertisement, screening, enrollment, consent, interventions, interactions, and collection or analysis of private identifiable information. Continuing research procedures is a violation of institutional policy. If current participants will be harmed by stopping research procedures that are available outside the research context, provide these on a clinical basis as needed to protect current participants. If current </w:t>
      </w:r>
      <w:r>
        <w:lastRenderedPageBreak/>
        <w:t>participants will be harmed by stopping research procedures that are not available outside the research context, immediately contact ORRP to make a formal request to the IRB chair to continue research activities after study expiration and provide a written list of the currently enrolled participants and why they will be harmed by stopping research procedures.</w:t>
      </w:r>
    </w:p>
    <w:p w14:paraId="4F223383" w14:textId="77777777" w:rsidR="00101C37" w:rsidRPr="001F749B" w:rsidRDefault="00101C37" w:rsidP="001F749B">
      <w:pPr>
        <w:pStyle w:val="Heading2"/>
      </w:pPr>
      <w:bookmarkStart w:id="96" w:name="_Toc225507702"/>
      <w:bookmarkStart w:id="97" w:name="SubmittingReportableNewInformation"/>
      <w:r>
        <w:t>Submitting Reportable New Information</w:t>
      </w:r>
      <w:bookmarkEnd w:id="96"/>
    </w:p>
    <w:bookmarkEnd w:id="97"/>
    <w:p w14:paraId="6E1F0353" w14:textId="77777777" w:rsidR="00101C37" w:rsidRPr="001F749B" w:rsidRDefault="00101C37" w:rsidP="00C053B3">
      <w:r>
        <w:t xml:space="preserve">To ensure the protection of research participants, federal regulations and IRB policy require study teams to submit reportable events to the IRB for review. Unanticipated problems can occur in any type of research (medical or non-medical) and may include occurrences such as adverse events, subject complaints, protocol deviations, and other unexpected events involving risk. Events requiring prompt reporting by investigators and research staff may involve physical, psychological, social, legal, or economic harms. A non-exhaustive list of examples of reporting that can vary depending on specific scenarios and circumstances is available on ORRP’s </w:t>
      </w:r>
      <w:hyperlink r:id="rId52" w:history="1">
        <w:r>
          <w:rPr>
            <w:rStyle w:val="Hyperlink"/>
          </w:rPr>
          <w:t>Reportable New Information</w:t>
        </w:r>
      </w:hyperlink>
      <w:r>
        <w:t xml:space="preserve"> website. The items below must be reported within 10 days of becoming aware (or 48 hours if the events result in temporary or permanent suspension of study activities by the investigator or sponsor to avoid potential harm):</w:t>
      </w:r>
    </w:p>
    <w:p w14:paraId="36CF8615" w14:textId="77777777" w:rsidR="009F2F75" w:rsidRPr="00E6416A" w:rsidRDefault="009F2F75" w:rsidP="00A07209">
      <w:pPr>
        <w:numPr>
          <w:ilvl w:val="1"/>
          <w:numId w:val="470"/>
        </w:numPr>
        <w:spacing w:after="0" w:line="276" w:lineRule="auto"/>
      </w:pPr>
      <w:r>
        <w:t>Information that indicates a new or increased risk, or a new safety issue. For example:</w:t>
      </w:r>
    </w:p>
    <w:p w14:paraId="5257A214" w14:textId="77777777" w:rsidR="009F2F75" w:rsidRPr="00E6416A" w:rsidRDefault="009F2F75" w:rsidP="00A07209">
      <w:pPr>
        <w:pStyle w:val="ListParagraph"/>
        <w:numPr>
          <w:ilvl w:val="2"/>
          <w:numId w:val="470"/>
        </w:numPr>
        <w:spacing w:after="0"/>
      </w:pPr>
      <w:r>
        <w:t>New information (e.g., an interim analysis, data and safety monitoring report, publication in the literature, sponsor report, or investigator finding) indicates an increase in the frequency or magnitude of a previously known risk or uncovers a new risk.</w:t>
      </w:r>
    </w:p>
    <w:p w14:paraId="06F1B9ED" w14:textId="77777777" w:rsidR="009F2F75" w:rsidRPr="00E6416A" w:rsidRDefault="009F2F75" w:rsidP="00A07209">
      <w:pPr>
        <w:numPr>
          <w:ilvl w:val="2"/>
          <w:numId w:val="470"/>
        </w:numPr>
        <w:spacing w:after="0" w:line="276" w:lineRule="auto"/>
      </w:pPr>
      <w:r>
        <w:t>Withdrawal, restriction, or modification of a marketed approval of a drug, device, or biologic used in a study.</w:t>
      </w:r>
    </w:p>
    <w:p w14:paraId="027678B7" w14:textId="77777777" w:rsidR="009F2F75" w:rsidRPr="00E6416A" w:rsidRDefault="009F2F75" w:rsidP="00A07209">
      <w:pPr>
        <w:numPr>
          <w:ilvl w:val="2"/>
          <w:numId w:val="470"/>
        </w:numPr>
        <w:spacing w:after="0" w:line="276" w:lineRule="auto"/>
      </w:pPr>
      <w:r>
        <w:t>Protocol violation that caused harm to subjects or others or that indicates subjects or others might be at increased risk of harm even if no harm occurred.</w:t>
      </w:r>
    </w:p>
    <w:p w14:paraId="1601C020" w14:textId="77777777" w:rsidR="009F2F75" w:rsidRPr="00E6416A" w:rsidRDefault="009F2F75" w:rsidP="00A07209">
      <w:pPr>
        <w:numPr>
          <w:ilvl w:val="2"/>
          <w:numId w:val="470"/>
        </w:numPr>
        <w:spacing w:after="0" w:line="276" w:lineRule="auto"/>
      </w:pPr>
      <w:r>
        <w:t>Participant complaint that indicates an increased risk of harm or the risk of a new harm.</w:t>
      </w:r>
    </w:p>
    <w:p w14:paraId="5C345595" w14:textId="77777777" w:rsidR="009F2F75" w:rsidRPr="00E6416A" w:rsidRDefault="009F2F75" w:rsidP="00A07209">
      <w:pPr>
        <w:numPr>
          <w:ilvl w:val="2"/>
          <w:numId w:val="470"/>
        </w:numPr>
        <w:spacing w:after="0" w:line="276" w:lineRule="auto"/>
      </w:pPr>
      <w:r>
        <w:t>Any changes significantly affecting the conduct of the research.</w:t>
      </w:r>
    </w:p>
    <w:p w14:paraId="5EC40A52" w14:textId="77777777" w:rsidR="009F2F75" w:rsidRPr="00E6416A" w:rsidRDefault="009F2F75" w:rsidP="00A07209">
      <w:pPr>
        <w:numPr>
          <w:ilvl w:val="1"/>
          <w:numId w:val="470"/>
        </w:numPr>
        <w:spacing w:after="0" w:line="276" w:lineRule="auto"/>
      </w:pPr>
      <w:r>
        <w:t xml:space="preserve">Harm experienced by a participant or other individual, which in the opinion of the investigator are </w:t>
      </w:r>
      <w:r>
        <w:rPr>
          <w:b/>
        </w:rPr>
        <w:t>unexpected</w:t>
      </w:r>
      <w:r>
        <w:t xml:space="preserve"> and </w:t>
      </w:r>
      <w:r>
        <w:rPr>
          <w:b/>
        </w:rPr>
        <w:t>related</w:t>
      </w:r>
      <w:r>
        <w:t xml:space="preserve"> to the research procedures.</w:t>
      </w:r>
    </w:p>
    <w:p w14:paraId="21CCD9C9" w14:textId="77777777" w:rsidR="009F2F75" w:rsidRPr="00E6416A" w:rsidRDefault="009F2F75" w:rsidP="00A07209">
      <w:pPr>
        <w:numPr>
          <w:ilvl w:val="2"/>
          <w:numId w:val="470"/>
        </w:numPr>
        <w:spacing w:after="0" w:line="276" w:lineRule="auto"/>
      </w:pPr>
      <w:r>
        <w:t>A harm is “unexpected” when its specificity or severity are inconsistent with risk information previously reviewed and approved by the IRB (e.g., investigator’s brochure, research protocol, consent form, or other available information) in terms of nature, severity, frequency, and characteristics of the study population.</w:t>
      </w:r>
    </w:p>
    <w:p w14:paraId="4ACBC05F" w14:textId="77777777" w:rsidR="009F2F75" w:rsidRPr="00E6416A" w:rsidRDefault="009F2F75" w:rsidP="00A07209">
      <w:pPr>
        <w:numPr>
          <w:ilvl w:val="2"/>
          <w:numId w:val="470"/>
        </w:numPr>
        <w:spacing w:after="0" w:line="276" w:lineRule="auto"/>
      </w:pPr>
      <w:r>
        <w:t xml:space="preserve">A harm is “related” to the research procedures if in the opinion of the investigator, the research procedures caused the harm. </w:t>
      </w:r>
    </w:p>
    <w:p w14:paraId="059FD9E0" w14:textId="77777777" w:rsidR="009F2F75" w:rsidRPr="00E6416A" w:rsidRDefault="009F2F75" w:rsidP="00A07209">
      <w:pPr>
        <w:pStyle w:val="ListParagraph"/>
        <w:numPr>
          <w:ilvl w:val="2"/>
          <w:numId w:val="470"/>
        </w:numPr>
      </w:pPr>
      <w:r>
        <w:t>Consider the following definitions when assessing harm and location:</w:t>
      </w:r>
    </w:p>
    <w:p w14:paraId="6076264A" w14:textId="77777777" w:rsidR="009F2F75" w:rsidRPr="00E6416A" w:rsidDel="00DE0103" w:rsidRDefault="009F2F75" w:rsidP="00A07209">
      <w:pPr>
        <w:pStyle w:val="ListParagraph"/>
        <w:numPr>
          <w:ilvl w:val="3"/>
          <w:numId w:val="470"/>
        </w:numPr>
      </w:pPr>
      <w:r>
        <w:t>Unrelated: Unassociated or without a timely relationship; evidence exists that an outcome is related to a cause other than the event in question.</w:t>
      </w:r>
    </w:p>
    <w:p w14:paraId="2FA7BC66" w14:textId="77777777" w:rsidR="009F2F75" w:rsidRPr="00E6416A" w:rsidRDefault="009F2F75" w:rsidP="00A07209">
      <w:pPr>
        <w:pStyle w:val="ListParagraph"/>
        <w:numPr>
          <w:ilvl w:val="3"/>
          <w:numId w:val="470"/>
        </w:numPr>
      </w:pPr>
      <w:r>
        <w:t>Internal event: An event occurring in Ohio State research at a site(s) under an Ohio State IRB’s jurisdiction.</w:t>
      </w:r>
    </w:p>
    <w:p w14:paraId="50F374E3" w14:textId="77777777" w:rsidR="009F2F75" w:rsidRPr="00E6416A" w:rsidRDefault="009F2F75" w:rsidP="00A07209">
      <w:pPr>
        <w:pStyle w:val="ListParagraph"/>
        <w:numPr>
          <w:ilvl w:val="3"/>
          <w:numId w:val="470"/>
        </w:numPr>
      </w:pPr>
      <w:r>
        <w:t>External event: An event occurring at a non-Ohio State site over which another IRB has jurisdiction in research that is also occurring at Ohio State.</w:t>
      </w:r>
    </w:p>
    <w:p w14:paraId="26D80E85" w14:textId="77777777" w:rsidR="009F2F75" w:rsidRPr="00E6416A" w:rsidRDefault="009F2F75" w:rsidP="00A07209">
      <w:pPr>
        <w:numPr>
          <w:ilvl w:val="1"/>
          <w:numId w:val="470"/>
        </w:numPr>
        <w:spacing w:after="0" w:line="276" w:lineRule="auto"/>
      </w:pPr>
      <w:r>
        <w:lastRenderedPageBreak/>
        <w:t xml:space="preserve">Deviation, violation, or unintentional change to the protocol or procedures that </w:t>
      </w:r>
      <w:r>
        <w:rPr>
          <w:b/>
          <w:bCs/>
        </w:rPr>
        <w:t>may</w:t>
      </w:r>
      <w:r>
        <w:t> increase risk to research participants, compromise participants’ rights or welfare, or affect the integrity of the research/data. Examples may include:</w:t>
      </w:r>
    </w:p>
    <w:p w14:paraId="49B1C6ED" w14:textId="77777777" w:rsidR="009F2F75" w:rsidRPr="00E6416A" w:rsidRDefault="009F2F75" w:rsidP="009F2F75">
      <w:pPr>
        <w:pStyle w:val="ListParagraph"/>
        <w:numPr>
          <w:ilvl w:val="1"/>
          <w:numId w:val="29"/>
        </w:numPr>
      </w:pPr>
      <w:r>
        <w:t>Research activities or interventions not conducted in accordance with the protocol</w:t>
      </w:r>
    </w:p>
    <w:p w14:paraId="44295E4B" w14:textId="77777777" w:rsidR="009F2F75" w:rsidRPr="00E6416A" w:rsidRDefault="009F2F75" w:rsidP="009F2F75">
      <w:pPr>
        <w:pStyle w:val="ListParagraph"/>
        <w:numPr>
          <w:ilvl w:val="1"/>
          <w:numId w:val="29"/>
        </w:numPr>
      </w:pPr>
      <w:r>
        <w:t>Dosing error</w:t>
      </w:r>
    </w:p>
    <w:p w14:paraId="0213482E" w14:textId="77777777" w:rsidR="009F2F75" w:rsidRPr="00E6416A" w:rsidRDefault="009F2F75" w:rsidP="009F2F75">
      <w:pPr>
        <w:pStyle w:val="ListParagraph"/>
        <w:numPr>
          <w:ilvl w:val="1"/>
          <w:numId w:val="29"/>
        </w:numPr>
      </w:pPr>
      <w:r>
        <w:t>Over-enrollment of study participants</w:t>
      </w:r>
    </w:p>
    <w:p w14:paraId="38C4B386" w14:textId="77777777" w:rsidR="009F2F75" w:rsidRPr="00E6416A" w:rsidRDefault="009F2F75" w:rsidP="009F2F75">
      <w:pPr>
        <w:pStyle w:val="ListParagraph"/>
        <w:numPr>
          <w:ilvl w:val="1"/>
          <w:numId w:val="29"/>
        </w:numPr>
      </w:pPr>
      <w:r>
        <w:t>Enrollment of an ineligible participant</w:t>
      </w:r>
    </w:p>
    <w:p w14:paraId="6D27F8F7" w14:textId="77777777" w:rsidR="009F2F75" w:rsidRPr="00E6416A" w:rsidRDefault="009F2F75" w:rsidP="009F2F75">
      <w:pPr>
        <w:pStyle w:val="ListParagraph"/>
        <w:numPr>
          <w:ilvl w:val="1"/>
          <w:numId w:val="29"/>
        </w:numPr>
      </w:pPr>
      <w:r>
        <w:t>Research activities conducted by individual(s) not approved as study personnel</w:t>
      </w:r>
    </w:p>
    <w:p w14:paraId="3187120B" w14:textId="77777777" w:rsidR="009F2F75" w:rsidRPr="001F749B" w:rsidRDefault="009F2F75" w:rsidP="00A07209">
      <w:pPr>
        <w:pStyle w:val="ListParagraph"/>
        <w:numPr>
          <w:ilvl w:val="1"/>
          <w:numId w:val="470"/>
        </w:numPr>
      </w:pPr>
      <w:r>
        <w:t>Deviation from approved consent procedure(s). Examples may include:</w:t>
      </w:r>
    </w:p>
    <w:p w14:paraId="25CC02A5" w14:textId="77777777" w:rsidR="009F2F75" w:rsidRPr="00E6416A" w:rsidRDefault="009F2F75" w:rsidP="00A07209">
      <w:pPr>
        <w:pStyle w:val="ListParagraph"/>
        <w:numPr>
          <w:ilvl w:val="2"/>
          <w:numId w:val="470"/>
        </w:numPr>
      </w:pPr>
      <w:r>
        <w:t xml:space="preserve">Consent obtained using an incorrect/unapproved version </w:t>
      </w:r>
    </w:p>
    <w:p w14:paraId="1E8E34D5" w14:textId="77777777" w:rsidR="009F2F75" w:rsidRPr="00E6416A" w:rsidRDefault="009F2F75" w:rsidP="00A07209">
      <w:pPr>
        <w:pStyle w:val="ListParagraph"/>
        <w:numPr>
          <w:ilvl w:val="2"/>
          <w:numId w:val="470"/>
        </w:numPr>
      </w:pPr>
      <w:r>
        <w:t>Consent and/or HIPAA research authorization improperly documented or obtained</w:t>
      </w:r>
    </w:p>
    <w:p w14:paraId="508D8E65" w14:textId="77777777" w:rsidR="009F2F75" w:rsidRPr="00E6416A" w:rsidRDefault="009F2F75" w:rsidP="00A07209">
      <w:pPr>
        <w:pStyle w:val="ListParagraph"/>
        <w:numPr>
          <w:ilvl w:val="2"/>
          <w:numId w:val="470"/>
        </w:numPr>
      </w:pPr>
      <w:r>
        <w:t>Failure to obtain consent prior to research activities</w:t>
      </w:r>
    </w:p>
    <w:p w14:paraId="619C8950" w14:textId="77777777" w:rsidR="009F2F75" w:rsidRPr="00E6416A" w:rsidRDefault="009F2F75" w:rsidP="00A07209">
      <w:pPr>
        <w:pStyle w:val="ListParagraph"/>
        <w:numPr>
          <w:ilvl w:val="2"/>
          <w:numId w:val="470"/>
        </w:numPr>
      </w:pPr>
      <w:r>
        <w:t>Conducted research activities prior to participant(s) providing consent</w:t>
      </w:r>
    </w:p>
    <w:p w14:paraId="4D4CACFC" w14:textId="77777777" w:rsidR="009F2F75" w:rsidRPr="00E6416A" w:rsidRDefault="009F2F75" w:rsidP="00A07209">
      <w:pPr>
        <w:pStyle w:val="ListParagraph"/>
        <w:numPr>
          <w:ilvl w:val="2"/>
          <w:numId w:val="470"/>
        </w:numPr>
      </w:pPr>
      <w:r>
        <w:t>Completed consent documents lost</w:t>
      </w:r>
    </w:p>
    <w:p w14:paraId="1195211B" w14:textId="77777777" w:rsidR="009F2F75" w:rsidRPr="00E6416A" w:rsidRDefault="009F2F75" w:rsidP="00A07209">
      <w:pPr>
        <w:pStyle w:val="ListParagraph"/>
        <w:numPr>
          <w:ilvl w:val="1"/>
          <w:numId w:val="470"/>
        </w:numPr>
      </w:pPr>
      <w:r>
        <w:t>Audit, inspection, or inquiry by a federal agency and any resulting reports (e.g. FDA Form 483.)</w:t>
      </w:r>
    </w:p>
    <w:p w14:paraId="2123CF51" w14:textId="77777777" w:rsidR="009F2F75" w:rsidRPr="00E6416A" w:rsidDel="00B87256" w:rsidRDefault="009F2F75" w:rsidP="00A07209">
      <w:pPr>
        <w:pStyle w:val="ListParagraph"/>
        <w:numPr>
          <w:ilvl w:val="1"/>
          <w:numId w:val="470"/>
        </w:numPr>
      </w:pPr>
      <w:r>
        <w:t>Monitoring report</w:t>
      </w:r>
    </w:p>
    <w:p w14:paraId="75D52D57" w14:textId="77777777" w:rsidR="009F2F75" w:rsidRPr="00E6416A" w:rsidRDefault="009F2F75" w:rsidP="00A07209">
      <w:pPr>
        <w:pStyle w:val="ListParagraph"/>
        <w:numPr>
          <w:ilvl w:val="1"/>
          <w:numId w:val="470"/>
        </w:numPr>
      </w:pPr>
      <w:r>
        <w:t xml:space="preserve">Breach of confidentiality. </w:t>
      </w:r>
      <w:r>
        <w:rPr>
          <w:i/>
          <w:iCs/>
        </w:rPr>
        <w:t>Note: Investigators should also contact the appropriate </w:t>
      </w:r>
      <w:hyperlink r:id="rId53" w:history="1">
        <w:r>
          <w:rPr>
            <w:rStyle w:val="Hyperlink"/>
            <w:i/>
            <w:iCs/>
          </w:rPr>
          <w:t>HIPAA Privacy Officer</w:t>
        </w:r>
      </w:hyperlink>
      <w:r>
        <w:rPr>
          <w:i/>
          <w:iCs/>
        </w:rPr>
        <w:t> and the Office of the Chief Information Officer </w:t>
      </w:r>
      <w:hyperlink r:id="rId54" w:history="1">
        <w:r>
          <w:rPr>
            <w:rStyle w:val="Hyperlink"/>
            <w:i/>
            <w:iCs/>
          </w:rPr>
          <w:t>(security@osu.edu)</w:t>
        </w:r>
      </w:hyperlink>
      <w:r>
        <w:rPr>
          <w:i/>
          <w:iCs/>
        </w:rPr>
        <w:t> to determine if additional reporting is necessary .</w:t>
      </w:r>
    </w:p>
    <w:p w14:paraId="0E39576C" w14:textId="77777777" w:rsidR="009F2F75" w:rsidRPr="00E6416A" w:rsidDel="00F671F4" w:rsidRDefault="009F2F75" w:rsidP="00A07209">
      <w:pPr>
        <w:pStyle w:val="ListParagraph"/>
        <w:numPr>
          <w:ilvl w:val="1"/>
          <w:numId w:val="470"/>
        </w:numPr>
      </w:pPr>
      <w:r>
        <w:t>Unapproved change made to the research to eliminate an apparent immediate hazard to a participant.</w:t>
      </w:r>
    </w:p>
    <w:p w14:paraId="48DB849A" w14:textId="77777777" w:rsidR="009F2F75" w:rsidRPr="00E6416A" w:rsidRDefault="009F2F75" w:rsidP="00A07209">
      <w:pPr>
        <w:pStyle w:val="ListParagraph"/>
        <w:numPr>
          <w:ilvl w:val="1"/>
          <w:numId w:val="470"/>
        </w:numPr>
      </w:pPr>
      <w:r>
        <w:t>Incarceration of a participant in a study not approved by the IRB to involve prisoners.</w:t>
      </w:r>
    </w:p>
    <w:p w14:paraId="287AF4E5" w14:textId="77777777" w:rsidR="009F2F75" w:rsidRPr="00E6416A" w:rsidRDefault="009F2F75" w:rsidP="00A07209">
      <w:pPr>
        <w:pStyle w:val="ListParagraph"/>
        <w:numPr>
          <w:ilvl w:val="1"/>
          <w:numId w:val="470"/>
        </w:numPr>
      </w:pPr>
      <w:r>
        <w:t>Complaint that cannot be resolved by the research team.</w:t>
      </w:r>
    </w:p>
    <w:p w14:paraId="1011ACB7" w14:textId="77777777" w:rsidR="009F2F75" w:rsidRPr="00E6416A" w:rsidRDefault="009F2F75" w:rsidP="00A07209">
      <w:pPr>
        <w:pStyle w:val="ListParagraph"/>
        <w:numPr>
          <w:ilvl w:val="1"/>
          <w:numId w:val="470"/>
        </w:numPr>
      </w:pPr>
      <w:r>
        <w:t>Premature suspension or termination of the protocol by the sponsor, investigator, or institution.</w:t>
      </w:r>
    </w:p>
    <w:p w14:paraId="111BB2D0" w14:textId="77777777" w:rsidR="009F2F75" w:rsidRPr="00E6416A" w:rsidRDefault="009F2F75" w:rsidP="00A07209">
      <w:pPr>
        <w:pStyle w:val="ListParagraph"/>
        <w:numPr>
          <w:ilvl w:val="1"/>
          <w:numId w:val="470"/>
        </w:numPr>
      </w:pPr>
      <w:r>
        <w:t>Unanticipated adverse device effect (any serious adverse effect on health or safety or any life-threatening problem or death caused by, or associated with, a device, if that effect, problem, or death was not previously identified in nature, severity, or degree of incidence in the investigational plan or application (including a supplementary plan or application), or any other unanticipated serious problem associated with a device that relates to the rights, safety, or welfare of subjects).</w:t>
      </w:r>
    </w:p>
    <w:p w14:paraId="6EA7903B" w14:textId="77777777" w:rsidR="006213AE" w:rsidRPr="00E6416A" w:rsidRDefault="006213AE" w:rsidP="00A33495">
      <w:pPr>
        <w:pStyle w:val="BodyText"/>
        <w:spacing w:line="276" w:lineRule="auto"/>
      </w:pPr>
      <w:r>
        <w:t xml:space="preserve">For the step-by-step process on how to create and submit a RNI, visit </w:t>
      </w:r>
      <w:hyperlink r:id="rId55" w:history="1">
        <w:r>
          <w:rPr>
            <w:rStyle w:val="Hyperlink"/>
          </w:rPr>
          <w:t>Huron IRB - Reportable New Information (RNI)</w:t>
        </w:r>
      </w:hyperlink>
      <w:r>
        <w:t xml:space="preserve"> in the Research Knowledge Base. </w:t>
      </w:r>
    </w:p>
    <w:p w14:paraId="2D5509E4" w14:textId="77777777" w:rsidR="006A7913" w:rsidRPr="006A7913" w:rsidRDefault="006A7913" w:rsidP="006A7913">
      <w:pPr>
        <w:pStyle w:val="Heading3"/>
      </w:pPr>
      <w:r>
        <w:t xml:space="preserve">Reportable New Information Policies </w:t>
      </w:r>
    </w:p>
    <w:p w14:paraId="32693D61" w14:textId="77777777" w:rsidR="00101C37" w:rsidRPr="00E6416A" w:rsidRDefault="006213AE" w:rsidP="00A95582">
      <w:pPr>
        <w:pStyle w:val="BodyText"/>
        <w:spacing w:line="276" w:lineRule="auto"/>
      </w:pPr>
      <w:r>
        <w:t>The following HRPP policies discuss requirements specific to Reportable New Information / Event Reporting, Noncompliance and Study Suspension and offer guidance when submitting to the IRB:</w:t>
      </w:r>
    </w:p>
    <w:p w14:paraId="0A648C02" w14:textId="77777777" w:rsidR="00D05115" w:rsidRPr="00D515E8" w:rsidRDefault="006213AE" w:rsidP="00D515E8">
      <w:pPr>
        <w:pStyle w:val="ListParagraph"/>
        <w:rPr>
          <w:b/>
          <w:bCs/>
        </w:rPr>
      </w:pPr>
      <w:bookmarkStart w:id="98" w:name="_Toc225507703"/>
      <w:r>
        <w:rPr>
          <w:rStyle w:val="Heading4Char"/>
          <w:bCs/>
          <w:color w:val="auto"/>
        </w:rPr>
        <w:t xml:space="preserve">Reportable New Information (RNI): </w:t>
      </w:r>
      <w:hyperlink w:anchor="B19" w:history="1">
        <w:r>
          <w:rPr>
            <w:rStyle w:val="Heading4Char"/>
            <w:bCs/>
            <w:color w:val="auto"/>
          </w:rPr>
          <w:t>Event Reporting – Unanticipated Problems Involving Risks to Subjects or Others, Adverse Events, and Other Problems</w:t>
        </w:r>
        <w:bookmarkEnd w:id="98"/>
      </w:hyperlink>
      <w:r>
        <w:rPr>
          <w:rStyle w:val="Heading2Char"/>
          <w:sz w:val="24"/>
          <w:szCs w:val="24"/>
        </w:rPr>
        <w:t>:</w:t>
      </w:r>
      <w:r>
        <w:t xml:space="preserve"> Unanticipated problems can occur in any type of research (medical or non-medical) and may include occurrences such as adverse events, subject complaints, protocol deviations, and other untoward events involving </w:t>
      </w:r>
      <w:r>
        <w:lastRenderedPageBreak/>
        <w:t>risk. Events requiring reporting by investigators and research staff may involve physical, psychological, social, legal, or economic harms. </w:t>
      </w:r>
    </w:p>
    <w:p w14:paraId="4E5BCD11" w14:textId="77777777" w:rsidR="006213AE" w:rsidRPr="00D515E8" w:rsidRDefault="006213AE" w:rsidP="00D515E8">
      <w:pPr>
        <w:pStyle w:val="ListParagraph"/>
      </w:pPr>
      <w:bookmarkStart w:id="99" w:name="_Toc225507704"/>
      <w:r>
        <w:rPr>
          <w:rStyle w:val="Heading4Char"/>
          <w:bCs/>
          <w:color w:val="auto"/>
          <w:sz w:val="24"/>
          <w:szCs w:val="24"/>
        </w:rPr>
        <w:t>Noncompliance:</w:t>
      </w:r>
      <w:bookmarkEnd w:id="99"/>
      <w:r>
        <w:t xml:space="preserve"> Investigators, research staff, the IRBs, Office of Responsible Research Practices (ORRP), and the organization share responsibility for the ethical conduct of human subjects research and for compliance with federal regulations, applicable state and local laws, and university policy. The Ohio State University encourages all faculty, staff, students, and volunteers, acting in good faith, to report suspected or actual wrongful conduct associated with human subjects research. </w:t>
      </w:r>
    </w:p>
    <w:p w14:paraId="32D6E2B0" w14:textId="77777777" w:rsidR="006213AE" w:rsidRPr="00D515E8" w:rsidRDefault="006213AE" w:rsidP="00D515E8">
      <w:pPr>
        <w:pStyle w:val="ListParagraph"/>
      </w:pPr>
      <w:bookmarkStart w:id="100" w:name="_Toc225507705"/>
      <w:r>
        <w:rPr>
          <w:rStyle w:val="Heading4Char"/>
          <w:bCs/>
          <w:color w:val="404443" w:themeColor="text1"/>
          <w:sz w:val="24"/>
          <w:szCs w:val="24"/>
        </w:rPr>
        <w:t>Suspension and Termination of IRB-Approved Research</w:t>
      </w:r>
      <w:r>
        <w:rPr>
          <w:rStyle w:val="Heading3Char"/>
          <w:sz w:val="24"/>
        </w:rPr>
        <w:t>:</w:t>
      </w:r>
      <w:bookmarkEnd w:id="100"/>
      <w:r>
        <w:t xml:space="preserve"> This policy describes the conditions under which the IRBs may suspend or terminate previously approved research and the procedures to be followed when suspending or terminating previously approved research. </w:t>
      </w:r>
    </w:p>
    <w:p w14:paraId="78C347C9" w14:textId="77777777" w:rsidR="00A95582" w:rsidRPr="001F749B" w:rsidRDefault="00A95582" w:rsidP="001F749B">
      <w:pPr>
        <w:pStyle w:val="Heading2"/>
      </w:pPr>
      <w:bookmarkStart w:id="101" w:name="_Toc212142160"/>
      <w:bookmarkStart w:id="102" w:name="_Toc225507706"/>
      <w:bookmarkStart w:id="103" w:name="closingastudy"/>
      <w:r>
        <w:t>Close a Study</w:t>
      </w:r>
      <w:bookmarkEnd w:id="101"/>
      <w:bookmarkEnd w:id="102"/>
    </w:p>
    <w:bookmarkEnd w:id="103"/>
    <w:p w14:paraId="76A5DFA7" w14:textId="77777777" w:rsidR="00A95582" w:rsidRPr="00E6416A" w:rsidRDefault="00A95582" w:rsidP="00A95582">
      <w:pPr>
        <w:pStyle w:val="BodyText"/>
        <w:spacing w:line="276" w:lineRule="auto"/>
      </w:pPr>
      <w:r>
        <w:t xml:space="preserve">Complete the Continuing Review SmartForm in the Huron IRB system and attach all requested supplements including </w:t>
      </w:r>
      <w:hyperlink r:id="rId56" w:history="1">
        <w:r>
          <w:rPr>
            <w:rStyle w:val="Hyperlink"/>
          </w:rPr>
          <w:t>HRP-215 – FORM - Continuing Review Supplemental</w:t>
        </w:r>
      </w:hyperlink>
      <w:r>
        <w:t>. Have the PI submit the SmartForm by clicking the “Submit” activity. Maintain electronic copies of all information submitted to the IRB in case revisions are required.</w:t>
      </w:r>
    </w:p>
    <w:p w14:paraId="548210C3" w14:textId="77777777" w:rsidR="00A95582" w:rsidRPr="00E6416A" w:rsidRDefault="00A95582" w:rsidP="00B632B2">
      <w:pPr>
        <w:pStyle w:val="BodyText"/>
        <w:spacing w:line="276" w:lineRule="auto"/>
      </w:pPr>
      <w:r>
        <w:t xml:space="preserve">For the step-by-step process on how to create and submit a study closure, visit </w:t>
      </w:r>
      <w:hyperlink r:id="rId57" w:history="1">
        <w:r>
          <w:rPr>
            <w:rStyle w:val="Hyperlink"/>
          </w:rPr>
          <w:t>Huron IRB – Closing a study when Ohio State is the IRB of record</w:t>
        </w:r>
      </w:hyperlink>
      <w:r>
        <w:t xml:space="preserve"> in the Research Knowledge Base. </w:t>
      </w:r>
    </w:p>
    <w:p w14:paraId="1CC9F5DD" w14:textId="77777777" w:rsidR="00A95582" w:rsidRPr="00E77299" w:rsidRDefault="00A95582" w:rsidP="00E77299">
      <w:pPr>
        <w:pStyle w:val="Heading2"/>
      </w:pPr>
      <w:bookmarkStart w:id="104" w:name="_Toc212142161"/>
      <w:bookmarkStart w:id="105" w:name="_Toc225507707"/>
      <w:r>
        <w:t>Record Keeping</w:t>
      </w:r>
      <w:bookmarkEnd w:id="104"/>
      <w:bookmarkEnd w:id="105"/>
      <w:r>
        <w:t xml:space="preserve"> </w:t>
      </w:r>
    </w:p>
    <w:p w14:paraId="0AE9DDC7" w14:textId="77777777" w:rsidR="00A95582" w:rsidRPr="00E6416A" w:rsidRDefault="00A95582" w:rsidP="00A95582">
      <w:pPr>
        <w:spacing w:line="276" w:lineRule="auto"/>
      </w:pPr>
      <w:r>
        <w:t xml:space="preserve">Primary research data should be retained for a minimum of five years after final project closeout. For more information, see the university </w:t>
      </w:r>
      <w:hyperlink r:id="rId58" w:history="1">
        <w:r>
          <w:rPr>
            <w:rStyle w:val="Hyperlink"/>
          </w:rPr>
          <w:t>Research Data Policy</w:t>
        </w:r>
      </w:hyperlink>
      <w:r>
        <w:t>. Other research-related records should be retained for a period of at least three years after the research has been discontinued (i.e., no further data collection, long-term follow-up, re-contact, or analysis of identifiable/coded data). HIPAA research authorization forms must be retained for six years after study closure.</w:t>
      </w:r>
    </w:p>
    <w:p w14:paraId="48EDE180" w14:textId="77777777" w:rsidR="00A95582" w:rsidRPr="00E6416A" w:rsidRDefault="00A95582" w:rsidP="00A95582">
      <w:pPr>
        <w:pStyle w:val="BodyText"/>
        <w:spacing w:line="276" w:lineRule="auto"/>
      </w:pPr>
      <w:r>
        <w:t>If your research is sponsored, contact the sponsor before disposing of research records.</w:t>
      </w:r>
    </w:p>
    <w:p w14:paraId="68F0CCE8" w14:textId="77777777" w:rsidR="00DE7C53" w:rsidRPr="008A6D0A" w:rsidRDefault="006908EB" w:rsidP="00B632B2">
      <w:pPr>
        <w:pStyle w:val="Heading1"/>
      </w:pPr>
      <w:bookmarkStart w:id="106" w:name="_Toc212142166"/>
      <w:bookmarkStart w:id="107" w:name="_Toc225507708"/>
      <w:r>
        <w:t>Collaborative and Multi-Site Research</w:t>
      </w:r>
      <w:bookmarkEnd w:id="106"/>
      <w:bookmarkEnd w:id="107"/>
    </w:p>
    <w:p w14:paraId="78F1BF36" w14:textId="77777777" w:rsidR="00C7142B" w:rsidRPr="001F749B" w:rsidRDefault="00C7142B" w:rsidP="001F749B">
      <w:pPr>
        <w:pStyle w:val="Heading2"/>
      </w:pPr>
      <w:bookmarkStart w:id="108" w:name="_Toc225507709"/>
      <w:bookmarkStart w:id="109" w:name="_Toc212142167"/>
      <w:r>
        <w:t>Single IRB Review</w:t>
      </w:r>
      <w:bookmarkEnd w:id="108"/>
      <w:r>
        <w:t xml:space="preserve"> </w:t>
      </w:r>
    </w:p>
    <w:p w14:paraId="6D418023" w14:textId="77777777" w:rsidR="00C7142B" w:rsidRPr="00D515E8" w:rsidRDefault="00C7142B" w:rsidP="00D515E8">
      <w:r>
        <w:t xml:space="preserve">Any cooperative non-exempt human subjects research subject to the Common Rule requires use of single IRB. This requirement applies to that portion of the research that is conducted in the United States. See </w:t>
      </w:r>
      <w:hyperlink w:anchor="APPENDIX_A9" w:history="1">
        <w:r>
          <w:rPr>
            <w:rStyle w:val="Hyperlink"/>
          </w:rPr>
          <w:t>Appendix A-9</w:t>
        </w:r>
      </w:hyperlink>
      <w:r>
        <w:t>.</w:t>
      </w:r>
    </w:p>
    <w:p w14:paraId="04DDB2EF" w14:textId="77777777" w:rsidR="004521D0" w:rsidRPr="001F749B" w:rsidRDefault="003C51AA" w:rsidP="001F749B">
      <w:pPr>
        <w:pStyle w:val="Heading2"/>
      </w:pPr>
      <w:bookmarkStart w:id="110" w:name="_Toc212142169"/>
      <w:bookmarkStart w:id="111" w:name="_Toc225507710"/>
      <w:bookmarkStart w:id="112" w:name="_Toc147308376"/>
      <w:bookmarkStart w:id="113" w:name="_Toc180977168"/>
      <w:bookmarkEnd w:id="70"/>
      <w:bookmarkEnd w:id="71"/>
      <w:bookmarkEnd w:id="72"/>
      <w:bookmarkEnd w:id="109"/>
      <w:r>
        <w:t>Determining the IRB of Record</w:t>
      </w:r>
      <w:bookmarkEnd w:id="110"/>
      <w:bookmarkEnd w:id="111"/>
      <w:r>
        <w:t xml:space="preserve"> </w:t>
      </w:r>
      <w:bookmarkEnd w:id="112"/>
      <w:bookmarkEnd w:id="113"/>
      <w:r>
        <w:t xml:space="preserve"> </w:t>
      </w:r>
    </w:p>
    <w:p w14:paraId="482623CF" w14:textId="77777777" w:rsidR="004521D0" w:rsidRPr="00E6416A" w:rsidRDefault="004B5D1B">
      <w:pPr>
        <w:spacing w:before="120" w:after="120"/>
      </w:pPr>
      <w:r>
        <w:t xml:space="preserve">For criteria used to determine whether Ohio State will serve as the sIRB, refer to </w:t>
      </w:r>
      <w:hyperlink r:id="rId59" w:history="1">
        <w:r>
          <w:rPr>
            <w:rStyle w:val="Hyperlink"/>
          </w:rPr>
          <w:t>HRP-833-WORKSHEET—Considerations for Serving as the sIRB</w:t>
        </w:r>
      </w:hyperlink>
      <w:r>
        <w:t xml:space="preserve">. For criteria used to determine whether Ohio State will rely on an external IRB, refer to </w:t>
      </w:r>
      <w:hyperlink r:id="rId60" w:history="1">
        <w:r>
          <w:rPr>
            <w:rStyle w:val="Hyperlink"/>
          </w:rPr>
          <w:t xml:space="preserve">HRP-832-WORKSHEET- Considerations for Relying on an External </w:t>
        </w:r>
        <w:r>
          <w:rPr>
            <w:rStyle w:val="Hyperlink"/>
          </w:rPr>
          <w:lastRenderedPageBreak/>
          <w:t>IRB</w:t>
        </w:r>
      </w:hyperlink>
      <w:r>
        <w:t xml:space="preserve">. An </w:t>
      </w:r>
      <w:r>
        <w:rPr>
          <w:u w:val="double"/>
        </w:rPr>
        <w:t>Authorization Agreement</w:t>
      </w:r>
      <w:r>
        <w:t xml:space="preserve">(s) must be in place before an Ohio State IRB can serve as the sIRB or rely on an external IRB. </w:t>
      </w:r>
    </w:p>
    <w:p w14:paraId="7A38A3BF" w14:textId="77777777" w:rsidR="004A4173" w:rsidRPr="00E6416A" w:rsidRDefault="001127E9">
      <w:pPr>
        <w:spacing w:before="120" w:after="120"/>
      </w:pPr>
      <w:r>
        <w:t>Collaborative research sponsored by the university or for which an Ohio State investigator serves as the principal/lead investigator is generally reviewed by an Ohio State IRB. A reliance agreement naming Ohio State as the IRB of record and describing each entity’s responsibilities for IRB review, research oversight, communication, and reporting will be executed.</w:t>
      </w:r>
    </w:p>
    <w:p w14:paraId="69EED7A3" w14:textId="77777777" w:rsidR="004521D0" w:rsidRPr="001F749B" w:rsidRDefault="003C51AA" w:rsidP="001F749B">
      <w:pPr>
        <w:pStyle w:val="Heading2"/>
      </w:pPr>
      <w:bookmarkStart w:id="114" w:name="_Toc147308377"/>
      <w:bookmarkStart w:id="115" w:name="_Toc301228011"/>
      <w:bookmarkStart w:id="116" w:name="_Toc212142170"/>
      <w:bookmarkStart w:id="117" w:name="_Toc225507711"/>
      <w:r>
        <w:t>Submit a Request to Rely on an External IRB</w:t>
      </w:r>
      <w:bookmarkEnd w:id="114"/>
      <w:bookmarkEnd w:id="115"/>
      <w:bookmarkEnd w:id="116"/>
      <w:bookmarkEnd w:id="117"/>
    </w:p>
    <w:p w14:paraId="0AD36ECC" w14:textId="77777777" w:rsidR="004521D0" w:rsidRPr="00E6416A" w:rsidRDefault="004B5D1B" w:rsidP="007F17AF">
      <w:r>
        <w:t xml:space="preserve">For studies where Ohio State is a </w:t>
      </w:r>
      <w:r>
        <w:rPr>
          <w:u w:val="double"/>
        </w:rPr>
        <w:t>participating site</w:t>
      </w:r>
      <w:r>
        <w:t xml:space="preserve"> (pSite), requests to rely on an external IRB </w:t>
      </w:r>
      <w:r>
        <w:rPr>
          <w:i/>
          <w:iCs/>
        </w:rPr>
        <w:t>should</w:t>
      </w:r>
      <w:r>
        <w:t xml:space="preserve"> be submitted after the reviewing IRB (sIRB) has approved the study (e.g., lead site protocol), including consent templates and other document templates. Complete the “New Study” SmartForm in the Huron IRB system, indicate that an external IRB will serve as the IRB of record, and attach all requested supplements. Have the PI submit the SmartForm by clicking the “Submit” activity. Maintain electronic copies of all information submitted to the IRB in case revisions are required. Reference </w:t>
      </w:r>
      <w:hyperlink r:id="rId61" w:history="1">
        <w:r>
          <w:rPr>
            <w:rStyle w:val="Hyperlink"/>
          </w:rPr>
          <w:t>Huron IRB – Create and Submit a New Single-Site External Study</w:t>
        </w:r>
      </w:hyperlink>
      <w:r>
        <w:t xml:space="preserve"> in the Research Knowledge Base for the step by step process. </w:t>
      </w:r>
    </w:p>
    <w:p w14:paraId="6C4E2EC5" w14:textId="77777777" w:rsidR="00E03276" w:rsidRPr="006908EB" w:rsidRDefault="003C51AA" w:rsidP="00B632B2">
      <w:pPr>
        <w:pStyle w:val="Heading3"/>
      </w:pPr>
      <w:bookmarkStart w:id="118" w:name="_Toc1217827335"/>
      <w:bookmarkStart w:id="119" w:name="_Toc212142172"/>
      <w:bookmarkStart w:id="120" w:name="_Toc225507712"/>
      <w:bookmarkStart w:id="121" w:name="_Hlk186543767"/>
      <w:r>
        <w:t>Considerations When Ceding Review to an External IRB</w:t>
      </w:r>
      <w:bookmarkEnd w:id="118"/>
      <w:bookmarkEnd w:id="119"/>
      <w:bookmarkEnd w:id="120"/>
    </w:p>
    <w:bookmarkEnd w:id="121"/>
    <w:p w14:paraId="0E653148" w14:textId="77777777" w:rsidR="00B71B27" w:rsidRPr="003D576E" w:rsidRDefault="00B71B27" w:rsidP="00B71B27">
      <w:r>
        <w:t>An external IRB may provide review and oversight of research initiated and/or conducted by Ohio State investigators provided that the reliance and allocation of responsibilities between Ohio State and the external IRB are appropriately documented and federally conducted and/or supported research complies with the Common Rule. Decisions to rely on another IRB for review of collaborative off-site research are made by the program manager for reliance agreements, in consultation with the appropriate Ohio State IRB chair or vice chair, the ORRP director, or an IRB operations associate director, as needed. The university’s IO and/or their designee will have the ultimate authority in determining whether Ohio State may cede review to an external IRB or entity.</w:t>
      </w:r>
    </w:p>
    <w:p w14:paraId="5B20586B" w14:textId="77777777" w:rsidR="00E03276" w:rsidRPr="003D576E" w:rsidRDefault="00B71B27" w:rsidP="00B71B27">
      <w:r>
        <w:t>The external IRB must be registered with OHRP and maintain a current FWA. A reliance agreement naming the IRB of record must be executed. Minimally, the agreement must describe the IRB and organizational responsibilities for research oversight, and communication and reporting requirements.</w:t>
      </w:r>
    </w:p>
    <w:p w14:paraId="02ECE2BB" w14:textId="77777777" w:rsidR="000E0056" w:rsidRPr="0031376A" w:rsidRDefault="000E0056" w:rsidP="00A07209">
      <w:pPr>
        <w:numPr>
          <w:ilvl w:val="0"/>
          <w:numId w:val="428"/>
        </w:numPr>
      </w:pPr>
      <w:r>
        <w:t xml:space="preserve">Ohio State is responsible for obtaining approval for any necessary ancillary reviews of research ceded to an external IRB: </w:t>
      </w:r>
    </w:p>
    <w:p w14:paraId="54C2DBF3" w14:textId="77777777" w:rsidR="00720CD6" w:rsidRPr="0031376A" w:rsidRDefault="000E0056" w:rsidP="00A07209">
      <w:pPr>
        <w:numPr>
          <w:ilvl w:val="1"/>
          <w:numId w:val="428"/>
        </w:numPr>
        <w:spacing w:after="0"/>
      </w:pPr>
      <w:r>
        <w:t>Clinical Scientific Review Committee</w:t>
      </w:r>
    </w:p>
    <w:p w14:paraId="527CE613" w14:textId="77777777" w:rsidR="000E0056" w:rsidRPr="0031376A" w:rsidRDefault="000E0056" w:rsidP="00A07209">
      <w:pPr>
        <w:numPr>
          <w:ilvl w:val="1"/>
          <w:numId w:val="428"/>
        </w:numPr>
        <w:spacing w:after="0"/>
      </w:pPr>
      <w:r>
        <w:t xml:space="preserve">Human Subjects Radiation Committee </w:t>
      </w:r>
    </w:p>
    <w:p w14:paraId="1C934DDB" w14:textId="77777777" w:rsidR="00E31EEA" w:rsidRPr="0031376A" w:rsidRDefault="000E0056" w:rsidP="00A07209">
      <w:pPr>
        <w:numPr>
          <w:ilvl w:val="1"/>
          <w:numId w:val="428"/>
        </w:numPr>
        <w:spacing w:after="120"/>
      </w:pPr>
      <w:r>
        <w:t>Institutional Biosafety Committee</w:t>
      </w:r>
    </w:p>
    <w:p w14:paraId="5A1E9410" w14:textId="77777777" w:rsidR="00E7161B" w:rsidRPr="0031376A" w:rsidRDefault="00F81400" w:rsidP="00A07209">
      <w:pPr>
        <w:pStyle w:val="ListParagraph"/>
        <w:numPr>
          <w:ilvl w:val="0"/>
          <w:numId w:val="428"/>
        </w:numPr>
        <w:spacing w:after="120"/>
      </w:pPr>
      <w:r>
        <w:t xml:space="preserve">ORRP maintains documentation of institutional boilerplate consent (e.g., costs, compensation for injury, contact information requirements, etc.) and HIPAA research authorization language. This language is provided to reviewing IRBs for insertion into consent materials used with Ohio State participants, as applicable. Whenever possible, Ohio State’s institutional HIPAA research authorization language should be used to obtain authorization from Ohio State participants. However, Ohio State may use the reviewing IRB’s HIPAA authorization language if a member of </w:t>
      </w:r>
      <w:r>
        <w:lastRenderedPageBreak/>
        <w:t>the Ohio State privacy board reviews and approves the proposed language when reviewing the request to cede IRB review.</w:t>
      </w:r>
    </w:p>
    <w:p w14:paraId="62230AEB" w14:textId="77777777" w:rsidR="003B3639" w:rsidRPr="0031376A" w:rsidRDefault="003B3639" w:rsidP="00A07209">
      <w:pPr>
        <w:pStyle w:val="ListParagraph"/>
        <w:numPr>
          <w:ilvl w:val="0"/>
          <w:numId w:val="428"/>
        </w:numPr>
      </w:pPr>
      <w:r>
        <w:t>When research ceded to an external IRB is subject to the Privacy Rule, the external IRB will generally serve as privacy board for all HIPAA determinations. If Ohio State will serve in this capacity for ceded research, the reliance agreement between Ohio State and the reviewing IRB will reflect this designation.</w:t>
      </w:r>
    </w:p>
    <w:p w14:paraId="7566C2CB" w14:textId="77777777" w:rsidR="00614E6F" w:rsidRPr="0031376A" w:rsidRDefault="00614E6F" w:rsidP="00A07209">
      <w:pPr>
        <w:pStyle w:val="ListParagraph"/>
        <w:numPr>
          <w:ilvl w:val="0"/>
          <w:numId w:val="428"/>
        </w:numPr>
      </w:pPr>
      <w:r>
        <w:t xml:space="preserve">Commercial IRBs are generally used to review industry-initiated and/or industry-sponsored clinical trials when the sponsor of the project is a for-profit entity/company, the project was designed and written by the sponsor, and the sponsor holds all INDs or IDEs for the project. Ohio State may cede research to a commercial or independent IRB when the sponsor or lead site of a collaborative research study designates such an IRB to provide study oversight. Commercial IRBs may also be used in the event of an institutional conflict of interest, in consultation with the Office of Research Compliance and the Conflict Approval Committee, when necessary. </w:t>
      </w:r>
    </w:p>
    <w:p w14:paraId="024BD565" w14:textId="77777777" w:rsidR="0068488F" w:rsidRPr="0031376A" w:rsidRDefault="0068488F" w:rsidP="00A07209">
      <w:pPr>
        <w:pStyle w:val="ListParagraph"/>
        <w:numPr>
          <w:ilvl w:val="0"/>
          <w:numId w:val="428"/>
        </w:numPr>
      </w:pPr>
      <w:r>
        <w:t xml:space="preserve">Any reliance agreement containing indemnification language must be referred to the Office of Legal Affairs for review and approval prior to finalizing the agreement. </w:t>
      </w:r>
    </w:p>
    <w:p w14:paraId="324629AE" w14:textId="77777777" w:rsidR="007158CA" w:rsidRPr="0031376A" w:rsidRDefault="007158CA" w:rsidP="00A07209">
      <w:pPr>
        <w:pStyle w:val="ListParagraph"/>
        <w:numPr>
          <w:ilvl w:val="0"/>
          <w:numId w:val="428"/>
        </w:numPr>
      </w:pPr>
      <w:r>
        <w:t>ORRP issues correspondence authorizing ceded review when the reliance agreement between Ohio State and the IRB of record is complete, and when all other institutional requirements are finalized. Ohio State study teams may forward this correspondence to the IRB of record, if necessary. Ohio State researchers may not begin any research activities until the reviewing IRB issues approval for Ohio State’s involvement in the study.</w:t>
      </w:r>
    </w:p>
    <w:p w14:paraId="48B9D593" w14:textId="77777777" w:rsidR="00C038DF" w:rsidRPr="0031376A" w:rsidRDefault="00C038DF" w:rsidP="00A07209">
      <w:pPr>
        <w:pStyle w:val="ListParagraph"/>
        <w:numPr>
          <w:ilvl w:val="0"/>
          <w:numId w:val="428"/>
        </w:numPr>
      </w:pPr>
      <w:r>
        <w:t xml:space="preserve">After review is ceded to the IRB of record, amendments must be submitted for changes to personnel, funding, Ohio State locations of research, research-related radiation procedures, and HIPAA determinations, as applicable. All other changes should be submitted to the IRB of record according to their local policies and procedures. Study teams are responsible for maintaining IRB approval documentation from the IRB of record for all aspects of the research. </w:t>
      </w:r>
    </w:p>
    <w:p w14:paraId="1C433F52" w14:textId="77777777" w:rsidR="003B3639" w:rsidRPr="007F17AF" w:rsidRDefault="00027017" w:rsidP="00A07209">
      <w:pPr>
        <w:pStyle w:val="ListParagraph"/>
        <w:numPr>
          <w:ilvl w:val="0"/>
          <w:numId w:val="428"/>
        </w:numPr>
      </w:pPr>
      <w:r>
        <w:t>ORRP may conduct for-cause audits or routine post-approval monitoring assessments of research ceded to external IRBs as part of routine monitoring activities or as directed by the IRB or IRB Investigative Committee. Any consent and/or HIPAA authorization documents used at Ohio State will name ORRP as an entity that may access participants’ data. The results of any for-cause audit or findings that could represent noncompliance will be shared with the IRB of record.</w:t>
      </w:r>
    </w:p>
    <w:p w14:paraId="5AE0FB3D" w14:textId="77777777" w:rsidR="00C7142B" w:rsidRPr="001F749B" w:rsidRDefault="00814C89" w:rsidP="001F749B">
      <w:pPr>
        <w:pStyle w:val="Heading2"/>
      </w:pPr>
      <w:bookmarkStart w:id="122" w:name="_Toc225507713"/>
      <w:bookmarkStart w:id="123" w:name="_Toc212142173"/>
      <w:bookmarkStart w:id="124" w:name="_Toc502355845"/>
      <w:r>
        <w:t>Requesting Ohio State IRB to be an sIRB</w:t>
      </w:r>
      <w:bookmarkEnd w:id="122"/>
      <w:r>
        <w:t xml:space="preserve"> </w:t>
      </w:r>
    </w:p>
    <w:p w14:paraId="041333D2" w14:textId="77777777" w:rsidR="00C7142B" w:rsidRPr="00E6416A" w:rsidRDefault="00C7142B" w:rsidP="00C7142B">
      <w:pPr>
        <w:spacing w:before="120" w:after="120" w:line="276" w:lineRule="auto"/>
      </w:pPr>
      <w:r>
        <w:t xml:space="preserve">If you request to have an Ohio State IRB serve as the reviewing IRB (sIRB) for cooperative research, contact </w:t>
      </w:r>
      <w:hyperlink r:id="rId62" w:history="1">
        <w:r>
          <w:rPr>
            <w:rStyle w:val="Hyperlink"/>
          </w:rPr>
          <w:t>IRBAgreements@osu.edu</w:t>
        </w:r>
      </w:hyperlink>
      <w:r>
        <w:t xml:space="preserve"> prior to submitting grant or other funding applications to determine whether Ohio State will agree to serve as the sIRB for the study. Note: any changes in site numbers and/or locations requires additional review and approval.</w:t>
      </w:r>
    </w:p>
    <w:p w14:paraId="6FB7BEE7" w14:textId="77777777" w:rsidR="00C7142B" w:rsidRPr="00E6416A" w:rsidRDefault="00C7142B" w:rsidP="00C7142B">
      <w:pPr>
        <w:spacing w:before="120" w:after="120" w:line="276" w:lineRule="auto"/>
      </w:pPr>
      <w:r>
        <w:t>Decisions that an Ohio State IRB will serve as the IRB of record for a collaborating institution engaged in Ohio State’s research are made by the program manager for reliance agreements in consultation with the appropriate Ohio State IRB chair or vice chair, the institutional official (IO) or his/her designee, the ORRP Director and/or an IRB Operations Associate Director, as needed.</w:t>
      </w:r>
    </w:p>
    <w:bookmarkEnd w:id="123"/>
    <w:bookmarkEnd w:id="124"/>
    <w:p w14:paraId="772385EC" w14:textId="77777777" w:rsidR="004521D0" w:rsidRPr="003D576E" w:rsidRDefault="004B5D1B">
      <w:pPr>
        <w:spacing w:before="120" w:after="120" w:line="276" w:lineRule="auto"/>
      </w:pPr>
      <w:r>
        <w:lastRenderedPageBreak/>
        <w:t>On the New Study SmartForm in the electronic IRB system, indicate if the study is a multi-site or collaborative research study, then select “Yes” to the question “Will your IRB act as the single IRB of record for other participating sites?” Complete the rest of the New Study SmartForm and attach all available supplements. Participating sites are added by executing the “Add Participating Site” activity. Have the PI submit the SmartForm by clicking the “Submit” activity.</w:t>
      </w:r>
    </w:p>
    <w:p w14:paraId="28D59F0E" w14:textId="77777777" w:rsidR="00F925D8" w:rsidRPr="006908EB" w:rsidRDefault="003C51AA" w:rsidP="00B632B2">
      <w:pPr>
        <w:pStyle w:val="Heading3"/>
      </w:pPr>
      <w:bookmarkStart w:id="125" w:name="_Toc212142174"/>
      <w:bookmarkStart w:id="126" w:name="_Toc225507714"/>
      <w:bookmarkStart w:id="127" w:name="_Hlk186543907"/>
      <w:r>
        <w:t>Considerations when Ohio State Serves as the sIRB</w:t>
      </w:r>
      <w:bookmarkEnd w:id="125"/>
      <w:bookmarkEnd w:id="126"/>
    </w:p>
    <w:bookmarkEnd w:id="127"/>
    <w:p w14:paraId="26439A5A" w14:textId="77777777" w:rsidR="00742F74" w:rsidRPr="003D576E" w:rsidRDefault="00B6421E" w:rsidP="00A07209">
      <w:pPr>
        <w:pStyle w:val="ListParagraph"/>
        <w:numPr>
          <w:ilvl w:val="0"/>
          <w:numId w:val="427"/>
        </w:numPr>
        <w:spacing w:before="120" w:after="120"/>
      </w:pPr>
      <w:r>
        <w:t>Collaborators from international institutions must either provide their own IRB/ethics board approval for the study or be covered by an Ohio State individual investigator agreement (IIA). Collaborators from institutions or entities that do not have an active FWA may also be covered via IIAs.</w:t>
      </w:r>
    </w:p>
    <w:p w14:paraId="0A85465D" w14:textId="77777777" w:rsidR="00A063E4" w:rsidRPr="003D576E" w:rsidRDefault="00A1220F" w:rsidP="00A07209">
      <w:pPr>
        <w:pStyle w:val="ListParagraph"/>
        <w:numPr>
          <w:ilvl w:val="0"/>
          <w:numId w:val="427"/>
        </w:numPr>
        <w:spacing w:before="120" w:after="120"/>
      </w:pPr>
      <w:r>
        <w:t>In general, amendments in which collaborating sites and site-specific documents are added to existing IRB-approved research may be reviewed via expedited review. If a relying site is being added to a greater than minimal risk research study and the site requires approval for previously unapproved vulnerable populations (e.g., children or prisoners), the amendment should be reviewed by the convened IRB.</w:t>
      </w:r>
    </w:p>
    <w:p w14:paraId="35E92531" w14:textId="77777777" w:rsidR="00EA1034" w:rsidRPr="003D576E" w:rsidRDefault="00FD759D" w:rsidP="00A07209">
      <w:pPr>
        <w:pStyle w:val="ListParagraph"/>
        <w:numPr>
          <w:ilvl w:val="0"/>
          <w:numId w:val="427"/>
        </w:numPr>
        <w:spacing w:before="120" w:after="120"/>
      </w:pPr>
      <w:r>
        <w:t>Relying sites are responsible for obtaining any local or institutional ancillary reviews (e.g., radiation safety, pharmacy, biosafety, etc.). Documentation of ancillary review approval(s) must be provided to the Ohio State IRB for review.</w:t>
      </w:r>
    </w:p>
    <w:p w14:paraId="4C44A69C" w14:textId="77777777" w:rsidR="00FD759D" w:rsidRPr="003D576E" w:rsidRDefault="00D82929" w:rsidP="00A07209">
      <w:pPr>
        <w:pStyle w:val="ListParagraph"/>
        <w:numPr>
          <w:ilvl w:val="0"/>
          <w:numId w:val="427"/>
        </w:numPr>
        <w:spacing w:before="120" w:after="120"/>
      </w:pPr>
      <w:r>
        <w:t>Ohio State’s approved consent (and, when applicable, HIPAA research authorization) template(s) should be adapted for use at relying locations/sites. Any local language requirements must be indicated in the relying site’s local context form and tracked into Ohio State’s template. Relying sites may provide their own HIPAA authorization language in Ohio State’s combined consent and HIPAA authorization form; in this case, a member of the Ohio State privacy board must review and approve the proposed language prior to IRB review.</w:t>
      </w:r>
    </w:p>
    <w:p w14:paraId="00B89866" w14:textId="77777777" w:rsidR="00D82929" w:rsidRPr="003D576E" w:rsidRDefault="000638A3" w:rsidP="00A07209">
      <w:pPr>
        <w:pStyle w:val="ListParagraph"/>
        <w:numPr>
          <w:ilvl w:val="0"/>
          <w:numId w:val="427"/>
        </w:numPr>
        <w:spacing w:before="120" w:after="120"/>
      </w:pPr>
      <w:r>
        <w:t>Ohio State will serve as the privacy board for relying sites with regard to Privacy Rule determinations. If a relying site wishes to maintain privacy board oversight, this decision must be documented in the reliance agreement between Ohio State and the relying site. Documentation of the relying site’s review and approval of HIPAA waiver(s) or alteration must be submitted with the Ohio State IRB application materials. The site must also use a standalone form to obtain HIPAA research authorization from its participants.</w:t>
      </w:r>
    </w:p>
    <w:p w14:paraId="44BB3FD8" w14:textId="77777777" w:rsidR="000638A3" w:rsidRPr="003D576E" w:rsidRDefault="00CA4450" w:rsidP="00A07209">
      <w:pPr>
        <w:pStyle w:val="ListParagraph"/>
        <w:numPr>
          <w:ilvl w:val="0"/>
          <w:numId w:val="427"/>
        </w:numPr>
        <w:spacing w:before="120" w:after="120"/>
      </w:pPr>
      <w:r>
        <w:t>The Ohio State study team is responsible for preparing IRB submissions on behalf of the relying site and external collaborators (e.g., annual/continuing reviews, amendments, event reports, etc.) and providing Ohio State IRB determinations and approved documents to all external sites and collaborators.</w:t>
      </w:r>
    </w:p>
    <w:p w14:paraId="5E8D238D" w14:textId="77777777" w:rsidR="002A1B13" w:rsidRPr="003D576E" w:rsidRDefault="002A1B13" w:rsidP="00A07209">
      <w:pPr>
        <w:pStyle w:val="ListParagraph"/>
        <w:numPr>
          <w:ilvl w:val="0"/>
          <w:numId w:val="427"/>
        </w:numPr>
        <w:spacing w:before="120" w:after="120"/>
      </w:pPr>
      <w:r>
        <w:t>Ohio State IRB approval for the research location, external collaborators, and any corresponding site-specific documents is required before the relying institution may begin any research activities. Sites not relying on Ohio State as the IRB of record may begin research upon receipt of local IRB approval.</w:t>
      </w:r>
    </w:p>
    <w:p w14:paraId="6799B49B" w14:textId="77777777" w:rsidR="00246339" w:rsidRPr="003D576E" w:rsidRDefault="00246339" w:rsidP="00A07209">
      <w:pPr>
        <w:pStyle w:val="ListParagraph"/>
        <w:numPr>
          <w:ilvl w:val="0"/>
          <w:numId w:val="427"/>
        </w:numPr>
        <w:spacing w:before="120" w:after="120"/>
      </w:pPr>
      <w:r>
        <w:t>Any reliance agreement containing indemnification language must be referred to the Office of Legal Affairs for review and approval prior to finalizing the agreement.</w:t>
      </w:r>
    </w:p>
    <w:p w14:paraId="0EB29D17" w14:textId="77777777" w:rsidR="00845777" w:rsidRPr="00A02817" w:rsidRDefault="6F92FCDC" w:rsidP="00A02817">
      <w:pPr>
        <w:pStyle w:val="Heading2"/>
      </w:pPr>
      <w:bookmarkStart w:id="128" w:name="_Toc2061676608"/>
      <w:bookmarkStart w:id="129" w:name="_Toc212142175"/>
      <w:bookmarkStart w:id="130" w:name="_Toc225507715"/>
      <w:bookmarkStart w:id="131" w:name="_Hlk186544001"/>
      <w:r>
        <w:lastRenderedPageBreak/>
        <w:t>Local Context Considerations</w:t>
      </w:r>
      <w:bookmarkEnd w:id="128"/>
      <w:bookmarkEnd w:id="129"/>
      <w:bookmarkEnd w:id="130"/>
    </w:p>
    <w:bookmarkEnd w:id="131"/>
    <w:p w14:paraId="75413BB7" w14:textId="77777777" w:rsidR="00C46646" w:rsidRPr="003D576E" w:rsidRDefault="00845777" w:rsidP="00C46646">
      <w:r>
        <w:t>When participants are recruited, provide consent, and/or enrolled at a relying site, an Ohio State IRB must be provided with sufficient knowledge of the local research context. Knowledge of the local research context is essential for the IRB reviewing and overseeing research conducted at an external location/site. A local context worksheet is required for sites relying on an Ohio State IRB when participants will be recruited and/or provide consent at the relying site(s). The ORRP program manager for reliance agreements or an IRB operations staff member will complete local context worksheets upon request for research in which an external IRB is providing oversight for Ohio State research.</w:t>
      </w:r>
    </w:p>
    <w:p w14:paraId="629CDCCE" w14:textId="77777777" w:rsidR="002A6E2E" w:rsidRPr="003D576E" w:rsidRDefault="002A6E2E" w:rsidP="008E1F98">
      <w:pPr>
        <w:numPr>
          <w:ilvl w:val="0"/>
          <w:numId w:val="33"/>
        </w:numPr>
      </w:pPr>
      <w:r>
        <w:t>For research reviewed by an Ohio State IRB that is conducted off-site, adequate knowledge of the local context may be obtained in various ways, including the following:</w:t>
      </w:r>
    </w:p>
    <w:p w14:paraId="36CFB875" w14:textId="77777777" w:rsidR="005F36C2" w:rsidRPr="003D576E" w:rsidRDefault="002A6E2E" w:rsidP="008E1F98">
      <w:pPr>
        <w:numPr>
          <w:ilvl w:val="0"/>
          <w:numId w:val="34"/>
        </w:numPr>
        <w:spacing w:after="0"/>
      </w:pPr>
      <w:r>
        <w:t>Personal knowledge of one or more IRB members or an appropriate consultant, obtained through direct experience with the site, its populations, and the surrounding community</w:t>
      </w:r>
    </w:p>
    <w:p w14:paraId="59E43060" w14:textId="77777777" w:rsidR="005F36C2" w:rsidRPr="003D576E" w:rsidRDefault="002A6E2E" w:rsidP="008E1F98">
      <w:pPr>
        <w:numPr>
          <w:ilvl w:val="0"/>
          <w:numId w:val="34"/>
        </w:numPr>
        <w:spacing w:after="0"/>
      </w:pPr>
      <w:r>
        <w:t xml:space="preserve">Written materials submitted by the investigator or local site contact, such as a local context worksheet </w:t>
      </w:r>
    </w:p>
    <w:p w14:paraId="2220C4D8" w14:textId="77777777" w:rsidR="002A6E2E" w:rsidRPr="003D576E" w:rsidRDefault="002A6E2E" w:rsidP="008E1F98">
      <w:pPr>
        <w:numPr>
          <w:ilvl w:val="0"/>
          <w:numId w:val="34"/>
        </w:numPr>
        <w:spacing w:after="0"/>
      </w:pPr>
      <w:r>
        <w:t>Site visit or conversation with the local site contact or other individual identified by the investigator or site contact as being knowledgeable about the research site</w:t>
      </w:r>
    </w:p>
    <w:p w14:paraId="5E2C5082" w14:textId="77777777" w:rsidR="002A6E2E" w:rsidRPr="003D576E" w:rsidRDefault="002A6E2E" w:rsidP="008E1F98">
      <w:pPr>
        <w:numPr>
          <w:ilvl w:val="0"/>
          <w:numId w:val="33"/>
        </w:numPr>
      </w:pPr>
      <w:r>
        <w:t>For research conducted off-site when site personnel will recruit, obtain consent, and enroll participants, the following information is obtained via a local context worksheet and the Ohio State IRB application, depending on the degree of risk (i.e., minimal or greater than minimal) and nature of the research:</w:t>
      </w:r>
    </w:p>
    <w:p w14:paraId="65197459" w14:textId="77777777" w:rsidR="002A6E2E" w:rsidRPr="003D576E" w:rsidRDefault="002A6E2E" w:rsidP="008E1F98">
      <w:pPr>
        <w:numPr>
          <w:ilvl w:val="0"/>
          <w:numId w:val="34"/>
        </w:numPr>
        <w:spacing w:after="0" w:line="240" w:lineRule="auto"/>
      </w:pPr>
      <w:r>
        <w:t>Scope of the research activities to be performed at the external location/site</w:t>
      </w:r>
    </w:p>
    <w:p w14:paraId="1C917478" w14:textId="77777777" w:rsidR="009C42F7" w:rsidRPr="003D576E" w:rsidRDefault="009C42F7" w:rsidP="008E1F98">
      <w:pPr>
        <w:numPr>
          <w:ilvl w:val="0"/>
          <w:numId w:val="34"/>
        </w:numPr>
        <w:spacing w:after="0" w:line="240" w:lineRule="auto"/>
      </w:pPr>
      <w:r>
        <w:t>Investigator and research staff contact information, experience, training, qualifications appropriate for the research setting, and disclosed conflicts of interest</w:t>
      </w:r>
    </w:p>
    <w:p w14:paraId="132DD5EB" w14:textId="77777777" w:rsidR="009C42F7" w:rsidRPr="003D576E" w:rsidRDefault="009C42F7" w:rsidP="008E1F98">
      <w:pPr>
        <w:numPr>
          <w:ilvl w:val="0"/>
          <w:numId w:val="34"/>
        </w:numPr>
        <w:spacing w:after="0" w:line="240" w:lineRule="auto"/>
      </w:pPr>
      <w:r>
        <w:t>Contact information for the IO or designee and IRB/HRPP office, if applicable</w:t>
      </w:r>
    </w:p>
    <w:p w14:paraId="6074664B" w14:textId="77777777" w:rsidR="009C42F7" w:rsidRPr="003D576E" w:rsidRDefault="009C42F7" w:rsidP="008E1F98">
      <w:pPr>
        <w:numPr>
          <w:ilvl w:val="0"/>
          <w:numId w:val="34"/>
        </w:numPr>
        <w:spacing w:after="0" w:line="240" w:lineRule="auto"/>
      </w:pPr>
      <w:r>
        <w:t>Populations likely to be involved</w:t>
      </w:r>
    </w:p>
    <w:p w14:paraId="6C8547D9" w14:textId="77777777" w:rsidR="009C42F7" w:rsidRPr="003D576E" w:rsidRDefault="009C42F7" w:rsidP="008E1F98">
      <w:pPr>
        <w:numPr>
          <w:ilvl w:val="0"/>
          <w:numId w:val="34"/>
        </w:numPr>
        <w:spacing w:after="0" w:line="240" w:lineRule="auto"/>
      </w:pPr>
      <w:r>
        <w:t>Specific information about the process of recruitment and obtaining consent at the relying site</w:t>
      </w:r>
    </w:p>
    <w:p w14:paraId="502252A8" w14:textId="77777777" w:rsidR="009C42F7" w:rsidRPr="003D576E" w:rsidRDefault="009C42F7" w:rsidP="008E1F98">
      <w:pPr>
        <w:numPr>
          <w:ilvl w:val="0"/>
          <w:numId w:val="34"/>
        </w:numPr>
        <w:spacing w:after="0" w:line="240" w:lineRule="auto"/>
      </w:pPr>
      <w:r>
        <w:t>Community in which the research will take place, including any customs or practices (e.g., cultural, political, or religious) unique to the location/population</w:t>
      </w:r>
    </w:p>
    <w:p w14:paraId="4FC9D690" w14:textId="77777777" w:rsidR="009C42F7" w:rsidRPr="003D576E" w:rsidRDefault="009C42F7" w:rsidP="008E1F98">
      <w:pPr>
        <w:numPr>
          <w:ilvl w:val="0"/>
          <w:numId w:val="34"/>
        </w:numPr>
        <w:spacing w:after="0" w:line="240" w:lineRule="auto"/>
      </w:pPr>
      <w:r>
        <w:t>Language(s) understood by potential participants</w:t>
      </w:r>
    </w:p>
    <w:p w14:paraId="0D3942DC" w14:textId="77777777" w:rsidR="009C42F7" w:rsidRPr="003D576E" w:rsidRDefault="009C42F7" w:rsidP="008E1F98">
      <w:pPr>
        <w:numPr>
          <w:ilvl w:val="0"/>
          <w:numId w:val="34"/>
        </w:numPr>
        <w:spacing w:after="0" w:line="240" w:lineRule="auto"/>
      </w:pPr>
      <w:r>
        <w:t>Facilities/equipment at the external site relevant to research performance and protection of participants</w:t>
      </w:r>
    </w:p>
    <w:p w14:paraId="68C69EA7" w14:textId="77777777" w:rsidR="009C42F7" w:rsidRPr="003D576E" w:rsidRDefault="009C42F7" w:rsidP="008E1F98">
      <w:pPr>
        <w:numPr>
          <w:ilvl w:val="0"/>
          <w:numId w:val="34"/>
        </w:numPr>
        <w:spacing w:after="0" w:line="240" w:lineRule="auto"/>
      </w:pPr>
      <w:r>
        <w:t xml:space="preserve">Site policies and requirements relevant to the research </w:t>
      </w:r>
    </w:p>
    <w:p w14:paraId="26C1575E" w14:textId="77777777" w:rsidR="009C42F7" w:rsidRPr="003D576E" w:rsidRDefault="009C42F7" w:rsidP="008E1F98">
      <w:pPr>
        <w:numPr>
          <w:ilvl w:val="0"/>
          <w:numId w:val="34"/>
        </w:numPr>
        <w:spacing w:after="0" w:line="240" w:lineRule="auto"/>
      </w:pPr>
      <w:r>
        <w:t>Institutionally required consent and/or HIPAA research authorization language, as applicable (e.g., local contacts for questions, compensation for injury language)</w:t>
      </w:r>
    </w:p>
    <w:p w14:paraId="62417DCC" w14:textId="77777777" w:rsidR="009C42F7" w:rsidRPr="003D576E" w:rsidRDefault="009C42F7" w:rsidP="008E1F98">
      <w:pPr>
        <w:numPr>
          <w:ilvl w:val="0"/>
          <w:numId w:val="34"/>
        </w:numPr>
        <w:spacing w:after="0" w:line="240" w:lineRule="auto"/>
      </w:pPr>
      <w:r>
        <w:t>Characteristics of the site that may affect selection and/or privacy of participants</w:t>
      </w:r>
    </w:p>
    <w:p w14:paraId="0583F459" w14:textId="77777777" w:rsidR="009C42F7" w:rsidRPr="003D576E" w:rsidRDefault="009C42F7" w:rsidP="008E1F98">
      <w:pPr>
        <w:numPr>
          <w:ilvl w:val="0"/>
          <w:numId w:val="34"/>
        </w:numPr>
        <w:spacing w:after="0" w:line="240" w:lineRule="auto"/>
      </w:pPr>
      <w:r>
        <w:t>Appropriateness of proposed compensation (if any) at the external location</w:t>
      </w:r>
    </w:p>
    <w:p w14:paraId="3241A9C3" w14:textId="77777777" w:rsidR="009C42F7" w:rsidRPr="003D576E" w:rsidRDefault="009C42F7" w:rsidP="008E1F98">
      <w:pPr>
        <w:numPr>
          <w:ilvl w:val="0"/>
          <w:numId w:val="34"/>
        </w:numPr>
        <w:spacing w:after="0" w:line="240" w:lineRule="auto"/>
      </w:pPr>
      <w:r>
        <w:t>Methods for maintaining confidentiality of data stored and transferred between sites</w:t>
      </w:r>
    </w:p>
    <w:p w14:paraId="1C1A76DB" w14:textId="77777777" w:rsidR="009C42F7" w:rsidRPr="003D576E" w:rsidRDefault="009C42F7" w:rsidP="008E1F98">
      <w:pPr>
        <w:numPr>
          <w:ilvl w:val="0"/>
          <w:numId w:val="34"/>
        </w:numPr>
        <w:spacing w:after="0" w:line="240" w:lineRule="auto"/>
      </w:pPr>
      <w:r>
        <w:t>Communication and oversight plans between Ohio State and the external site</w:t>
      </w:r>
    </w:p>
    <w:p w14:paraId="3E4E814E" w14:textId="77777777" w:rsidR="00845777" w:rsidRPr="003D576E" w:rsidRDefault="009C42F7" w:rsidP="008E1F98">
      <w:pPr>
        <w:numPr>
          <w:ilvl w:val="0"/>
          <w:numId w:val="34"/>
        </w:numPr>
        <w:spacing w:after="0" w:line="240" w:lineRule="auto"/>
      </w:pPr>
      <w:r>
        <w:t>Applicable state or local laws and/or institutional policies</w:t>
      </w:r>
    </w:p>
    <w:p w14:paraId="64C36DB1" w14:textId="77777777" w:rsidR="00125212" w:rsidRPr="008A6D0A" w:rsidRDefault="005D1822" w:rsidP="008A6D0A">
      <w:pPr>
        <w:pStyle w:val="Heading2"/>
      </w:pPr>
      <w:bookmarkStart w:id="132" w:name="_Toc1295210736"/>
      <w:bookmarkStart w:id="133" w:name="_Toc212142176"/>
      <w:bookmarkStart w:id="134" w:name="_Toc225507716"/>
      <w:bookmarkStart w:id="135" w:name="_Hlk186544058"/>
      <w:r>
        <w:lastRenderedPageBreak/>
        <w:t>Collaborating with an External or Unaffiliated Individual Investigator</w:t>
      </w:r>
      <w:bookmarkEnd w:id="132"/>
      <w:bookmarkEnd w:id="133"/>
      <w:bookmarkEnd w:id="134"/>
    </w:p>
    <w:bookmarkEnd w:id="135"/>
    <w:p w14:paraId="38540FC5" w14:textId="77777777" w:rsidR="009E58A0" w:rsidRPr="00E6416A" w:rsidRDefault="009E58A0" w:rsidP="009E58A0">
      <w:pPr>
        <w:spacing w:after="0" w:line="240" w:lineRule="auto"/>
      </w:pPr>
      <w:r>
        <w:t xml:space="preserve">When an external collaborator in Ohio State research is not affiliated with an FWA-holding institution, and/or does not have an IRB responsible for review of their research activities, an Ohio State IRB can extend the university’s FWA to cover the unaffiliated researcher and provide IRB review for the individual by executing an individual investigator agreement (IIA) for the collaborator. </w:t>
      </w:r>
    </w:p>
    <w:p w14:paraId="0BEDC4B2" w14:textId="77777777" w:rsidR="009E58A0" w:rsidRPr="00E6416A" w:rsidRDefault="009E58A0" w:rsidP="00A07209">
      <w:pPr>
        <w:numPr>
          <w:ilvl w:val="0"/>
          <w:numId w:val="429"/>
        </w:numPr>
        <w:spacing w:after="0" w:line="240" w:lineRule="auto"/>
      </w:pPr>
      <w:r>
        <w:t xml:space="preserve">Individuals added to Ohio State study teams via an IIA are required to obtain an Ohio State guest account, maintain Ohio State’s </w:t>
      </w:r>
      <w:hyperlink r:id="rId63" w:history="1">
        <w:r>
          <w:rPr>
            <w:rStyle w:val="Hyperlink"/>
          </w:rPr>
          <w:t>CITI Human Subjects Protection</w:t>
        </w:r>
      </w:hyperlink>
      <w:r>
        <w:t xml:space="preserve"> training, </w:t>
      </w:r>
      <w:hyperlink r:id="rId64" w:history="1">
        <w:r>
          <w:rPr>
            <w:rStyle w:val="Hyperlink"/>
          </w:rPr>
          <w:t>Responsible Conduct of Research</w:t>
        </w:r>
      </w:hyperlink>
      <w:r>
        <w:t xml:space="preserve"> training, and complete an annual Ohio State </w:t>
      </w:r>
      <w:hyperlink r:id="rId65" w:history="1">
        <w:r>
          <w:rPr>
            <w:rStyle w:val="Hyperlink"/>
          </w:rPr>
          <w:t>conflict of interest</w:t>
        </w:r>
      </w:hyperlink>
      <w:r>
        <w:t xml:space="preserve"> disclosure. These requirements must be met before the agreement is finalized.</w:t>
      </w:r>
    </w:p>
    <w:p w14:paraId="3B9FA91F" w14:textId="77777777" w:rsidR="009E58A0" w:rsidRPr="00E6416A" w:rsidRDefault="009E58A0" w:rsidP="00A07209">
      <w:pPr>
        <w:numPr>
          <w:ilvl w:val="0"/>
          <w:numId w:val="429"/>
        </w:numPr>
        <w:spacing w:after="0" w:line="240" w:lineRule="auto"/>
      </w:pPr>
      <w:r>
        <w:t xml:space="preserve">IIAs must be signed by the collaborating individual as well as the IO or his/her designee. If the collaborator is a minor (e.g., high school intern or research volunteer), a parent or legal guardian must also sign the agreement. </w:t>
      </w:r>
    </w:p>
    <w:p w14:paraId="7727D689" w14:textId="77777777" w:rsidR="009E58A0" w:rsidRPr="00E6416A" w:rsidRDefault="009E58A0" w:rsidP="00A07209">
      <w:pPr>
        <w:numPr>
          <w:ilvl w:val="0"/>
          <w:numId w:val="429"/>
        </w:numPr>
        <w:spacing w:after="0" w:line="240" w:lineRule="auto"/>
      </w:pPr>
      <w:r>
        <w:t>ORRP reserves the right to contact a collaborator’s home institution (if any) to confirm that the home institution is not engaged in Ohio State’s research and/or that the collaborator is not acting as an employee or agent of their home institution prior to executing an IIA.</w:t>
      </w:r>
    </w:p>
    <w:p w14:paraId="4E5E4286" w14:textId="77777777" w:rsidR="009E58A0" w:rsidRPr="00E6416A" w:rsidRDefault="009E58A0" w:rsidP="00A07209">
      <w:pPr>
        <w:numPr>
          <w:ilvl w:val="0"/>
          <w:numId w:val="429"/>
        </w:numPr>
        <w:spacing w:after="0" w:line="240" w:lineRule="auto"/>
      </w:pPr>
      <w:r>
        <w:t xml:space="preserve">Amendments to add collaborating individuals via IIA may be reviewed via expedited review methods. </w:t>
      </w:r>
    </w:p>
    <w:p w14:paraId="112AF928" w14:textId="77777777" w:rsidR="00DC414F" w:rsidRPr="00E6416A" w:rsidRDefault="009E58A0" w:rsidP="00A07209">
      <w:pPr>
        <w:numPr>
          <w:ilvl w:val="0"/>
          <w:numId w:val="429"/>
        </w:numPr>
        <w:spacing w:after="0" w:line="240" w:lineRule="auto"/>
      </w:pPr>
      <w:r>
        <w:t xml:space="preserve">Ohio State will not execute IIAs for individuals collaborating on studies determined exempt from IRB review or subject to limited IRB review. </w:t>
      </w:r>
    </w:p>
    <w:p w14:paraId="38A52B47" w14:textId="77777777" w:rsidR="00EC3F08" w:rsidRPr="008A6D0A" w:rsidRDefault="00A02817" w:rsidP="001F749B">
      <w:pPr>
        <w:pStyle w:val="Heading2"/>
      </w:pPr>
      <w:bookmarkStart w:id="136" w:name="_Toc212142177"/>
      <w:bookmarkStart w:id="137" w:name="_Toc225507717"/>
      <w:bookmarkStart w:id="138" w:name="_Toc1461777736"/>
      <w:r>
        <w:t>PI Obligations when relying on an external IRB</w:t>
      </w:r>
      <w:bookmarkEnd w:id="136"/>
      <w:bookmarkEnd w:id="137"/>
      <w:r>
        <w:t xml:space="preserve"> </w:t>
      </w:r>
    </w:p>
    <w:p w14:paraId="337A2207" w14:textId="77777777" w:rsidR="00EC3F08" w:rsidRPr="000F2CF1" w:rsidRDefault="00EC3F08" w:rsidP="008E1F98">
      <w:pPr>
        <w:pStyle w:val="ListParagraph"/>
        <w:numPr>
          <w:ilvl w:val="0"/>
          <w:numId w:val="20"/>
        </w:numPr>
        <w:spacing w:after="0"/>
      </w:pPr>
      <w:r>
        <w:t>Obtain appropriate approvals from this institution prior to seeking review by another IRB.</w:t>
      </w:r>
    </w:p>
    <w:p w14:paraId="6F783B36" w14:textId="77777777" w:rsidR="00EC3F08" w:rsidRPr="003D576E" w:rsidRDefault="00EC3F08" w:rsidP="008E1F98">
      <w:pPr>
        <w:numPr>
          <w:ilvl w:val="0"/>
          <w:numId w:val="20"/>
        </w:numPr>
        <w:spacing w:after="0" w:line="276" w:lineRule="auto"/>
      </w:pPr>
      <w:r>
        <w:t>Comply with determinations and requirements of the reviewing IRB.</w:t>
      </w:r>
    </w:p>
    <w:p w14:paraId="72846A32" w14:textId="77777777" w:rsidR="00EC3F08" w:rsidRPr="003D576E" w:rsidRDefault="00EC3F08" w:rsidP="008E1F98">
      <w:pPr>
        <w:numPr>
          <w:ilvl w:val="0"/>
          <w:numId w:val="20"/>
        </w:numPr>
        <w:spacing w:after="0" w:line="276" w:lineRule="auto"/>
      </w:pPr>
      <w:r>
        <w:t>Prepare consent and other study documents that are consistent with those approved by the sIRB (e.g., use the approved consent template to create site-specific documents).</w:t>
      </w:r>
    </w:p>
    <w:p w14:paraId="5CEAE970" w14:textId="77777777" w:rsidR="00EC3F08" w:rsidRPr="003D576E" w:rsidRDefault="00EC3F08" w:rsidP="008E1F98">
      <w:pPr>
        <w:numPr>
          <w:ilvl w:val="0"/>
          <w:numId w:val="20"/>
        </w:numPr>
        <w:spacing w:after="0" w:line="276" w:lineRule="auto"/>
      </w:pPr>
      <w:r>
        <w:t>Provide the reviewing IRB with requested information about local requirements or local research context issues relevant to the IRB’s determination prior to IRB review.</w:t>
      </w:r>
    </w:p>
    <w:p w14:paraId="3B0A4F78" w14:textId="77777777" w:rsidR="00EC3F08" w:rsidRPr="003D576E" w:rsidRDefault="00EC3F08" w:rsidP="008E1F98">
      <w:pPr>
        <w:numPr>
          <w:ilvl w:val="0"/>
          <w:numId w:val="20"/>
        </w:numPr>
        <w:spacing w:after="0" w:line="276" w:lineRule="auto"/>
      </w:pPr>
      <w:r>
        <w:t>Notify the reviewing IRB when local policies that impact IRB review are updated.</w:t>
      </w:r>
    </w:p>
    <w:p w14:paraId="15978A02" w14:textId="77777777" w:rsidR="00EC3F08" w:rsidRPr="003D576E" w:rsidRDefault="00EC3F08" w:rsidP="008E1F98">
      <w:pPr>
        <w:numPr>
          <w:ilvl w:val="0"/>
          <w:numId w:val="20"/>
        </w:numPr>
        <w:spacing w:after="0" w:line="276" w:lineRule="auto"/>
      </w:pPr>
      <w:r>
        <w:t>Cooperate in the reviewing IRB’s responsibility for initial and continuing review, record keeping and reporting, and providing all information requested by the reviewing IRB in a timely manner.</w:t>
      </w:r>
    </w:p>
    <w:p w14:paraId="71963947" w14:textId="77777777" w:rsidR="00EC3F08" w:rsidRPr="003D576E" w:rsidRDefault="00EC3F08" w:rsidP="008E1F98">
      <w:pPr>
        <w:numPr>
          <w:ilvl w:val="0"/>
          <w:numId w:val="20"/>
        </w:numPr>
        <w:spacing w:after="0" w:line="276" w:lineRule="auto"/>
      </w:pPr>
      <w:r>
        <w:t>Disclose conflicts of interest as required by the reviewing IRB and complying with management plans that may result.</w:t>
      </w:r>
    </w:p>
    <w:p w14:paraId="2B204EBB" w14:textId="77777777" w:rsidR="00EC3F08" w:rsidRPr="003D576E" w:rsidRDefault="00EC3F08" w:rsidP="008E1F98">
      <w:pPr>
        <w:numPr>
          <w:ilvl w:val="0"/>
          <w:numId w:val="20"/>
        </w:numPr>
        <w:spacing w:after="0" w:line="276" w:lineRule="auto"/>
      </w:pPr>
      <w:r>
        <w:t>Promptly report to the reviewing IRB any proposed changes to the research and do not implement those changes to the research without prior IRB review and approval, except where necessary to eliminate apparent immediate hazards to the participants.</w:t>
      </w:r>
    </w:p>
    <w:p w14:paraId="1179322E" w14:textId="77777777" w:rsidR="00EC3F08" w:rsidRPr="003D576E" w:rsidRDefault="00EC3F08" w:rsidP="008E1F98">
      <w:pPr>
        <w:numPr>
          <w:ilvl w:val="0"/>
          <w:numId w:val="20"/>
        </w:numPr>
        <w:spacing w:after="0" w:line="276" w:lineRule="auto"/>
      </w:pPr>
      <w:r>
        <w:t>When enrolling participants, obtain, document, and maintain records of consent for each participant or each participant's legally authorized representative.</w:t>
      </w:r>
    </w:p>
    <w:p w14:paraId="7186C4CE" w14:textId="77777777" w:rsidR="00EC3F08" w:rsidRPr="003D576E" w:rsidRDefault="00EC3F08" w:rsidP="008E1F98">
      <w:pPr>
        <w:numPr>
          <w:ilvl w:val="0"/>
          <w:numId w:val="20"/>
        </w:numPr>
        <w:spacing w:after="0" w:line="276" w:lineRule="auto"/>
      </w:pPr>
      <w:r>
        <w:t xml:space="preserve">Promptly report to the reviewing IRB any unanticipated problems involving risks to subjects or others according to the requirements specified in the reliance agreement. </w:t>
      </w:r>
    </w:p>
    <w:p w14:paraId="5A391895" w14:textId="77777777" w:rsidR="00EC3F08" w:rsidRPr="003D576E" w:rsidRDefault="00EC3F08" w:rsidP="008E1F98">
      <w:pPr>
        <w:numPr>
          <w:ilvl w:val="0"/>
          <w:numId w:val="20"/>
        </w:numPr>
        <w:spacing w:after="0" w:line="276" w:lineRule="auto"/>
      </w:pPr>
      <w:r>
        <w:t>Provide the reviewing IRB with data safety monitoring reports in accordance with the reviewing IRB’s reporting policy.</w:t>
      </w:r>
    </w:p>
    <w:p w14:paraId="5B70EECF" w14:textId="77777777" w:rsidR="00EC3F08" w:rsidRPr="003D576E" w:rsidRDefault="00EC3F08" w:rsidP="008E1F98">
      <w:pPr>
        <w:numPr>
          <w:ilvl w:val="0"/>
          <w:numId w:val="20"/>
        </w:numPr>
        <w:spacing w:after="0" w:line="276" w:lineRule="auto"/>
      </w:pPr>
      <w:r>
        <w:t xml:space="preserve">Report non-compliance, participant complaints, protocol deviations, or other events according to the requirements specified in the reliance agreement. </w:t>
      </w:r>
    </w:p>
    <w:p w14:paraId="16865D82" w14:textId="77777777" w:rsidR="00EC3F08" w:rsidRPr="003D576E" w:rsidRDefault="00EC3F08" w:rsidP="008E1F98">
      <w:pPr>
        <w:numPr>
          <w:ilvl w:val="0"/>
          <w:numId w:val="20"/>
        </w:numPr>
        <w:spacing w:after="0" w:line="276" w:lineRule="auto"/>
      </w:pPr>
      <w:r>
        <w:lastRenderedPageBreak/>
        <w:t>Specify the contact person and provide contact information for researchers and research staff to obtain answers to questions, express concerns, and convey suggestions regarding the use of the reviewing IRB.</w:t>
      </w:r>
    </w:p>
    <w:p w14:paraId="3BBE03B1" w14:textId="77777777" w:rsidR="00EC3F08" w:rsidRPr="00E6416A" w:rsidRDefault="00EC3F08" w:rsidP="008E1F98">
      <w:pPr>
        <w:numPr>
          <w:ilvl w:val="0"/>
          <w:numId w:val="20"/>
        </w:numPr>
        <w:spacing w:after="0" w:line="276" w:lineRule="auto"/>
      </w:pPr>
      <w:r>
        <w:t xml:space="preserve">Fulfill any communication responsibilities as outlined in </w:t>
      </w:r>
      <w:hyperlink r:id="rId66" w:history="1">
        <w:r>
          <w:rPr>
            <w:rStyle w:val="Hyperlink"/>
          </w:rPr>
          <w:t>HRP-830 - WORKSHEET -Communication and Responsibilities.</w:t>
        </w:r>
      </w:hyperlink>
    </w:p>
    <w:p w14:paraId="03A07160" w14:textId="77777777" w:rsidR="00EC3F08" w:rsidRPr="00E6416A" w:rsidRDefault="00EC3F08" w:rsidP="008E1F98">
      <w:pPr>
        <w:numPr>
          <w:ilvl w:val="0"/>
          <w:numId w:val="20"/>
        </w:numPr>
        <w:spacing w:after="0" w:line="276" w:lineRule="auto"/>
      </w:pPr>
      <w:r>
        <w:t xml:space="preserve">Determine which institutional requirements apply to your study and ensure all are met. </w:t>
      </w:r>
    </w:p>
    <w:p w14:paraId="3D2A1BB5" w14:textId="77777777" w:rsidR="00BE76E0" w:rsidRPr="001F749B" w:rsidRDefault="00BE76E0" w:rsidP="001F749B">
      <w:pPr>
        <w:pStyle w:val="Heading2"/>
      </w:pPr>
      <w:bookmarkStart w:id="139" w:name="_Toc212142178"/>
      <w:bookmarkStart w:id="140" w:name="_Toc225507718"/>
      <w:r>
        <w:t>Obligations as the Overall Study PI for a sIRB study</w:t>
      </w:r>
      <w:bookmarkEnd w:id="139"/>
      <w:bookmarkEnd w:id="140"/>
    </w:p>
    <w:p w14:paraId="1375D290" w14:textId="77777777" w:rsidR="00BE76E0" w:rsidRPr="00E6416A" w:rsidRDefault="00BE76E0" w:rsidP="00A07209">
      <w:pPr>
        <w:pStyle w:val="ListParagraph"/>
        <w:numPr>
          <w:ilvl w:val="0"/>
          <w:numId w:val="73"/>
        </w:numPr>
        <w:spacing w:after="0"/>
      </w:pPr>
      <w:r>
        <w:t xml:space="preserve">Coordinate with ORRP staff to determine whether an Ohio State IRB can act as the single IRB for all or some institutions participating in the study or if an external IRB will assume oversight. </w:t>
      </w:r>
    </w:p>
    <w:p w14:paraId="2A1B8FB1" w14:textId="77777777" w:rsidR="00BE76E0" w:rsidRPr="00E6416A" w:rsidRDefault="00BE76E0" w:rsidP="00A07209">
      <w:pPr>
        <w:numPr>
          <w:ilvl w:val="0"/>
          <w:numId w:val="73"/>
        </w:numPr>
        <w:spacing w:after="0" w:line="276" w:lineRule="auto"/>
      </w:pPr>
      <w:r>
        <w:t>Identify whether any IRB fees will be charged and address any budget considerations.</w:t>
      </w:r>
    </w:p>
    <w:p w14:paraId="7E6447AC" w14:textId="77777777" w:rsidR="00BE76E0" w:rsidRPr="00E6416A" w:rsidRDefault="00BE76E0" w:rsidP="00A07209">
      <w:pPr>
        <w:numPr>
          <w:ilvl w:val="0"/>
          <w:numId w:val="73"/>
        </w:numPr>
        <w:spacing w:after="0" w:line="276" w:lineRule="auto"/>
      </w:pPr>
      <w:r>
        <w:t xml:space="preserve">Identify all sites that will be engaged in the research and will require oversight by the IRB. </w:t>
      </w:r>
    </w:p>
    <w:p w14:paraId="681E9189" w14:textId="77777777" w:rsidR="00BE76E0" w:rsidRPr="00E6416A" w:rsidRDefault="00BE76E0" w:rsidP="00A07209">
      <w:pPr>
        <w:numPr>
          <w:ilvl w:val="0"/>
          <w:numId w:val="73"/>
        </w:numPr>
        <w:spacing w:after="0" w:line="276" w:lineRule="auto"/>
      </w:pPr>
      <w:r>
        <w:t xml:space="preserve">Ensure that all sites receive a request to rely on the reviewing IRB and that all institutional requirements are satisfied before a study is activated at a relying site. </w:t>
      </w:r>
    </w:p>
    <w:p w14:paraId="77C21EF1" w14:textId="77777777" w:rsidR="00BE76E0" w:rsidRPr="00E6416A" w:rsidRDefault="00BE76E0" w:rsidP="00A07209">
      <w:pPr>
        <w:numPr>
          <w:ilvl w:val="0"/>
          <w:numId w:val="73"/>
        </w:numPr>
        <w:spacing w:after="0" w:line="276" w:lineRule="auto"/>
      </w:pPr>
      <w:r>
        <w:t>Collaborate with the reviewing IRB to document roles and responsibilities for communicating and coordinating key information from study teams and the IRB or IRB staff at relying sites.</w:t>
      </w:r>
    </w:p>
    <w:p w14:paraId="6D29EC26" w14:textId="77777777" w:rsidR="00BE76E0" w:rsidRPr="00E6416A" w:rsidRDefault="00BE76E0" w:rsidP="00A07209">
      <w:pPr>
        <w:numPr>
          <w:ilvl w:val="0"/>
          <w:numId w:val="73"/>
        </w:numPr>
        <w:spacing w:after="0" w:line="276" w:lineRule="auto"/>
      </w:pPr>
      <w:r>
        <w:t xml:space="preserve">Respond to questions or information requests from study teams or the IRB or IRB staff at relying sites. </w:t>
      </w:r>
    </w:p>
    <w:p w14:paraId="7C555D85" w14:textId="77777777" w:rsidR="00BE76E0" w:rsidRPr="00E6416A" w:rsidRDefault="00BE76E0" w:rsidP="00A07209">
      <w:pPr>
        <w:numPr>
          <w:ilvl w:val="0"/>
          <w:numId w:val="73"/>
        </w:numPr>
        <w:spacing w:after="0" w:line="276" w:lineRule="auto"/>
      </w:pPr>
      <w:r>
        <w:t xml:space="preserve">Provide relying site investigators with the policies of the reviewing IRB. </w:t>
      </w:r>
    </w:p>
    <w:p w14:paraId="71F1B0EC" w14:textId="77777777" w:rsidR="00BE76E0" w:rsidRPr="00E6416A" w:rsidRDefault="00BE76E0" w:rsidP="00A07209">
      <w:pPr>
        <w:numPr>
          <w:ilvl w:val="0"/>
          <w:numId w:val="73"/>
        </w:numPr>
        <w:spacing w:after="0" w:line="276" w:lineRule="auto"/>
      </w:pPr>
      <w:r>
        <w:t>Provide relying site investigators with the IRB-approved versions of all study documents, including an approved consent template.</w:t>
      </w:r>
    </w:p>
    <w:p w14:paraId="601D4671" w14:textId="77777777" w:rsidR="00BE76E0" w:rsidRPr="00E6416A" w:rsidRDefault="00BE76E0" w:rsidP="00A07209">
      <w:pPr>
        <w:numPr>
          <w:ilvl w:val="0"/>
          <w:numId w:val="73"/>
        </w:numPr>
        <w:spacing w:after="0" w:line="276" w:lineRule="auto"/>
      </w:pPr>
      <w:r>
        <w:t xml:space="preserve">Help prepare and submit IRB applications on behalf of all sites, including initial review, modifications, personnel updates, reportable new information, and continuing review information. </w:t>
      </w:r>
    </w:p>
    <w:p w14:paraId="5E244EDE" w14:textId="77777777" w:rsidR="00BE76E0" w:rsidRPr="00E6416A" w:rsidRDefault="00BE76E0" w:rsidP="00A07209">
      <w:pPr>
        <w:numPr>
          <w:ilvl w:val="0"/>
          <w:numId w:val="73"/>
        </w:numPr>
        <w:spacing w:after="0" w:line="276" w:lineRule="auto"/>
      </w:pPr>
      <w:r>
        <w:t>Establish a process for obtaining and collating information from all sites and submitting this information to the reviewing IRB. This includes site-specific variations in study conduct, such as the local consent process and language, participant identification and recruitment processes, and local variations in study conduct.</w:t>
      </w:r>
    </w:p>
    <w:p w14:paraId="31F2711E" w14:textId="77777777" w:rsidR="00BE76E0" w:rsidRPr="00E6416A" w:rsidRDefault="00BE76E0" w:rsidP="00A07209">
      <w:pPr>
        <w:numPr>
          <w:ilvl w:val="0"/>
          <w:numId w:val="73"/>
        </w:numPr>
        <w:spacing w:after="0" w:line="276" w:lineRule="auto"/>
      </w:pPr>
      <w:r>
        <w:t xml:space="preserve">Provide pSites with </w:t>
      </w:r>
      <w:hyperlink r:id="rId67" w:history="1">
        <w:r>
          <w:rPr>
            <w:rStyle w:val="Hyperlink"/>
          </w:rPr>
          <w:t>HRP-103p – pSite Manual</w:t>
        </w:r>
      </w:hyperlink>
      <w:r>
        <w:t>.</w:t>
      </w:r>
    </w:p>
    <w:p w14:paraId="3CEA56E7" w14:textId="77777777" w:rsidR="00BE76E0" w:rsidRPr="00E6416A" w:rsidRDefault="00BE76E0" w:rsidP="00A07209">
      <w:pPr>
        <w:numPr>
          <w:ilvl w:val="0"/>
          <w:numId w:val="73"/>
        </w:numPr>
        <w:spacing w:after="0" w:line="276" w:lineRule="auto"/>
      </w:pPr>
      <w:r>
        <w:t xml:space="preserve">Fulfill any communication responsibilities as outlined in </w:t>
      </w:r>
      <w:hyperlink r:id="rId68" w:history="1">
        <w:r>
          <w:rPr>
            <w:rStyle w:val="Hyperlink"/>
          </w:rPr>
          <w:t>HRP-830 - WORKSHEET – Communication and Responsibilities</w:t>
        </w:r>
      </w:hyperlink>
      <w:r>
        <w:t xml:space="preserve"> or an alternate form (e.g., SMART IRB Agreement Implementation Checklist and Documentation Tool).</w:t>
      </w:r>
    </w:p>
    <w:p w14:paraId="0514AEF1" w14:textId="77777777" w:rsidR="00BE76E0" w:rsidRPr="00E6416A" w:rsidRDefault="00BE76E0" w:rsidP="00A07209">
      <w:pPr>
        <w:numPr>
          <w:ilvl w:val="0"/>
          <w:numId w:val="73"/>
        </w:numPr>
        <w:spacing w:after="0" w:line="276" w:lineRule="auto"/>
      </w:pPr>
      <w:r>
        <w:t xml:space="preserve">Use </w:t>
      </w:r>
      <w:hyperlink r:id="rId69" w:history="1">
        <w:r>
          <w:rPr>
            <w:rStyle w:val="Hyperlink"/>
          </w:rPr>
          <w:t>HRP-811- FORM - Basic Site Information</w:t>
        </w:r>
      </w:hyperlink>
      <w:r>
        <w:t xml:space="preserve">, </w:t>
      </w:r>
      <w:hyperlink r:id="rId70" w:history="1">
        <w:r>
          <w:rPr>
            <w:rStyle w:val="Hyperlink"/>
          </w:rPr>
          <w:t>HRP-812 - FORM - Site Continuing Review</w:t>
        </w:r>
      </w:hyperlink>
      <w:r>
        <w:t xml:space="preserve">, </w:t>
      </w:r>
      <w:hyperlink r:id="rId71" w:history="1">
        <w:r>
          <w:rPr>
            <w:rStyle w:val="Hyperlink"/>
          </w:rPr>
          <w:t>HRP-813 - FORM - Site Modification,</w:t>
        </w:r>
      </w:hyperlink>
      <w:r>
        <w:t xml:space="preserve"> and </w:t>
      </w:r>
      <w:hyperlink r:id="rId72" w:history="1">
        <w:r>
          <w:rPr>
            <w:rStyle w:val="Hyperlink"/>
          </w:rPr>
          <w:t>814 - FORM - Site Reportable New Information</w:t>
        </w:r>
      </w:hyperlink>
      <w:r>
        <w:t xml:space="preserve"> to collect information from participating sites.</w:t>
      </w:r>
    </w:p>
    <w:p w14:paraId="058810EC" w14:textId="77777777" w:rsidR="00BE76E0" w:rsidRPr="00E6416A" w:rsidRDefault="00BE76E0" w:rsidP="00A07209">
      <w:pPr>
        <w:numPr>
          <w:ilvl w:val="0"/>
          <w:numId w:val="73"/>
        </w:numPr>
        <w:spacing w:after="0" w:line="276" w:lineRule="auto"/>
      </w:pPr>
      <w:r>
        <w:t>Ensure that consent forms used by pSites follow the consent template approved by the reviewing IRB and include required language as specified by the pSites.</w:t>
      </w:r>
    </w:p>
    <w:p w14:paraId="4FFDD825" w14:textId="77777777" w:rsidR="00BE76E0" w:rsidRPr="00E6416A" w:rsidRDefault="00BE76E0" w:rsidP="00A07209">
      <w:pPr>
        <w:numPr>
          <w:ilvl w:val="0"/>
          <w:numId w:val="73"/>
        </w:numPr>
        <w:spacing w:after="0" w:line="276" w:lineRule="auto"/>
      </w:pPr>
      <w:r>
        <w:t xml:space="preserve">Provide site investigators with all determinations and communications from the reviewing IRB. </w:t>
      </w:r>
    </w:p>
    <w:p w14:paraId="5859D5F0" w14:textId="77777777" w:rsidR="00BE76E0" w:rsidRPr="00E6416A" w:rsidRDefault="00BE76E0" w:rsidP="00A07209">
      <w:pPr>
        <w:numPr>
          <w:ilvl w:val="0"/>
          <w:numId w:val="73"/>
        </w:numPr>
        <w:spacing w:after="0" w:line="276" w:lineRule="auto"/>
      </w:pPr>
      <w:r>
        <w:t xml:space="preserve">Submit reportable new information from pSites to the reviewing IRB in accordance with the terms outlined in the authorization agreement or communication plan. </w:t>
      </w:r>
    </w:p>
    <w:p w14:paraId="09713181" w14:textId="77777777" w:rsidR="00BE76E0" w:rsidRPr="00E6416A" w:rsidRDefault="00BE76E0" w:rsidP="00A07209">
      <w:pPr>
        <w:numPr>
          <w:ilvl w:val="0"/>
          <w:numId w:val="73"/>
        </w:numPr>
        <w:spacing w:after="0" w:line="276" w:lineRule="auto"/>
      </w:pPr>
      <w:r>
        <w:lastRenderedPageBreak/>
        <w:t xml:space="preserve">Report the absence of continuing review information from pSites if they do not provide the required information prior to submission of the continuing review materials to the reviewing IRB. Notify the pSite of their lapse in approval and applicable corrective actions. </w:t>
      </w:r>
    </w:p>
    <w:p w14:paraId="5684E91E" w14:textId="77777777" w:rsidR="00BE76E0" w:rsidRPr="00E6416A" w:rsidRDefault="00BE76E0" w:rsidP="00A07209">
      <w:pPr>
        <w:numPr>
          <w:ilvl w:val="0"/>
          <w:numId w:val="73"/>
        </w:numPr>
        <w:spacing w:after="0" w:line="276" w:lineRule="auto"/>
      </w:pPr>
      <w:r>
        <w:t>Provide study records to the relying institution, reviewing IRB, or regulatory agencies upon request.</w:t>
      </w:r>
    </w:p>
    <w:p w14:paraId="43F01A23" w14:textId="77777777" w:rsidR="00EC3F08" w:rsidRPr="001F749B" w:rsidRDefault="0021486D" w:rsidP="001F749B">
      <w:pPr>
        <w:pStyle w:val="Heading2"/>
      </w:pPr>
      <w:bookmarkStart w:id="141" w:name="_Toc212142179"/>
      <w:bookmarkStart w:id="142" w:name="_Toc225507719"/>
      <w:r>
        <w:t>Additional Knowledge Base Resources for Collaborative Research</w:t>
      </w:r>
      <w:bookmarkEnd w:id="141"/>
      <w:bookmarkEnd w:id="142"/>
      <w:r>
        <w:t xml:space="preserve"> </w:t>
      </w:r>
    </w:p>
    <w:p w14:paraId="6D277C51" w14:textId="77777777" w:rsidR="00F76C91" w:rsidRPr="00E6416A" w:rsidRDefault="00F76C91" w:rsidP="00A07209">
      <w:pPr>
        <w:pStyle w:val="Heading2"/>
        <w:numPr>
          <w:ilvl w:val="0"/>
          <w:numId w:val="72"/>
        </w:numPr>
        <w:spacing w:before="0" w:after="0" w:line="276" w:lineRule="auto"/>
      </w:pPr>
      <w:hyperlink r:id="rId73" w:history="1">
        <w:bookmarkStart w:id="143" w:name="_Toc212142180"/>
        <w:bookmarkStart w:id="144" w:name="_Toc225507720"/>
        <w:r>
          <w:t>Create Site Modifications for Single-Site or Multi-Site External Study</w:t>
        </w:r>
        <w:bookmarkEnd w:id="143"/>
        <w:bookmarkEnd w:id="144"/>
      </w:hyperlink>
      <w:r>
        <w:t xml:space="preserve"> </w:t>
      </w:r>
    </w:p>
    <w:p w14:paraId="1ED913D5" w14:textId="77777777" w:rsidR="00F76C91" w:rsidRPr="00E6416A" w:rsidRDefault="00F76C91" w:rsidP="00A07209">
      <w:pPr>
        <w:pStyle w:val="Heading2"/>
        <w:numPr>
          <w:ilvl w:val="0"/>
          <w:numId w:val="72"/>
        </w:numPr>
        <w:spacing w:before="0" w:after="0"/>
      </w:pPr>
      <w:hyperlink r:id="rId74" w:history="1">
        <w:bookmarkStart w:id="145" w:name="_Toc212142181"/>
        <w:bookmarkStart w:id="146" w:name="_Toc225507721"/>
        <w:r>
          <w:t>Report CR Data for a Single-Site External Study</w:t>
        </w:r>
        <w:bookmarkEnd w:id="145"/>
        <w:bookmarkEnd w:id="146"/>
      </w:hyperlink>
    </w:p>
    <w:p w14:paraId="08DA9525" w14:textId="77777777" w:rsidR="00F76C91" w:rsidRPr="00E6416A" w:rsidRDefault="00F76C91" w:rsidP="00A07209">
      <w:pPr>
        <w:pStyle w:val="Heading2"/>
        <w:numPr>
          <w:ilvl w:val="0"/>
          <w:numId w:val="72"/>
        </w:numPr>
        <w:spacing w:before="0" w:after="0"/>
      </w:pPr>
      <w:hyperlink r:id="rId75" w:history="1">
        <w:bookmarkStart w:id="147" w:name="_Toc212142182"/>
        <w:bookmarkStart w:id="148" w:name="_Toc225507722"/>
        <w:r>
          <w:t>Update Study Details for a Single-Site or Multi-Site External Study</w:t>
        </w:r>
        <w:bookmarkEnd w:id="147"/>
        <w:bookmarkEnd w:id="148"/>
      </w:hyperlink>
      <w:r>
        <w:t xml:space="preserve"> </w:t>
      </w:r>
    </w:p>
    <w:bookmarkEnd w:id="138"/>
    <w:p w14:paraId="449859D9" w14:textId="77777777" w:rsidR="00743347" w:rsidRPr="003D576E" w:rsidRDefault="00743347" w:rsidP="00B632B2">
      <w:pPr>
        <w:pStyle w:val="Heading2"/>
        <w:spacing w:before="0" w:after="0"/>
      </w:pPr>
    </w:p>
    <w:p w14:paraId="23BBB685" w14:textId="77777777" w:rsidR="00405A4B" w:rsidRPr="008A6D0A" w:rsidRDefault="003D576E" w:rsidP="000D00DC">
      <w:pPr>
        <w:pStyle w:val="Heading1"/>
      </w:pPr>
      <w:bookmarkStart w:id="149" w:name="_How_does_the"/>
      <w:bookmarkStart w:id="150" w:name="_How_do_I_1"/>
      <w:bookmarkStart w:id="151" w:name="_How_do_I_2"/>
      <w:bookmarkStart w:id="152" w:name="_Toc212142183"/>
      <w:bookmarkStart w:id="153" w:name="_Toc225507723"/>
      <w:bookmarkStart w:id="154" w:name="_Toc716007154"/>
      <w:bookmarkEnd w:id="149"/>
      <w:bookmarkEnd w:id="150"/>
      <w:bookmarkEnd w:id="151"/>
      <w:r>
        <w:t>Additional Information</w:t>
      </w:r>
      <w:bookmarkEnd w:id="152"/>
      <w:bookmarkEnd w:id="153"/>
      <w:r>
        <w:t xml:space="preserve"> </w:t>
      </w:r>
      <w:bookmarkEnd w:id="154"/>
    </w:p>
    <w:p w14:paraId="7355DA3D" w14:textId="77777777" w:rsidR="00FB2A4B" w:rsidRPr="00E6416A" w:rsidRDefault="00FB2A4B">
      <w:pPr>
        <w:pStyle w:val="BodyText"/>
        <w:spacing w:line="276" w:lineRule="auto"/>
      </w:pPr>
      <w:r>
        <w:t>Questions can be directed to the applicable ORRP inbox:</w:t>
      </w:r>
    </w:p>
    <w:p w14:paraId="3FA252C4" w14:textId="77777777" w:rsidR="00FB2A4B" w:rsidRPr="00E6416A" w:rsidRDefault="00FB2A4B" w:rsidP="00A07209">
      <w:pPr>
        <w:pStyle w:val="BodyText"/>
        <w:numPr>
          <w:ilvl w:val="0"/>
          <w:numId w:val="430"/>
        </w:numPr>
      </w:pPr>
      <w:r>
        <w:t xml:space="preserve">IRB General Information: </w:t>
      </w:r>
      <w:hyperlink r:id="rId76" w:history="1">
        <w:r>
          <w:rPr>
            <w:rStyle w:val="Hyperlink"/>
          </w:rPr>
          <w:t>IRBinfo@osu.edu</w:t>
        </w:r>
      </w:hyperlink>
      <w:r>
        <w:t xml:space="preserve"> </w:t>
      </w:r>
    </w:p>
    <w:p w14:paraId="514E05BD" w14:textId="77777777" w:rsidR="00FB2A4B" w:rsidRPr="00E6416A" w:rsidRDefault="00FB2A4B" w:rsidP="00A07209">
      <w:pPr>
        <w:pStyle w:val="BodyText"/>
        <w:numPr>
          <w:ilvl w:val="0"/>
          <w:numId w:val="430"/>
        </w:numPr>
      </w:pPr>
      <w:r>
        <w:t>Behavioral and Social Sciences IRB:</w:t>
      </w:r>
      <w:r>
        <w:rPr>
          <w:u w:val="single"/>
        </w:rPr>
        <w:t xml:space="preserve">  </w:t>
      </w:r>
      <w:hyperlink r:id="rId77" w:history="1">
        <w:r>
          <w:rPr>
            <w:rStyle w:val="Hyperlink"/>
          </w:rPr>
          <w:t>BehavioralIRBInfo@osu.edu</w:t>
        </w:r>
      </w:hyperlink>
      <w:r>
        <w:rPr>
          <w:u w:val="single"/>
        </w:rPr>
        <w:t xml:space="preserve"> </w:t>
      </w:r>
    </w:p>
    <w:p w14:paraId="393F0A03" w14:textId="77777777" w:rsidR="00FB2A4B" w:rsidRPr="00E6416A" w:rsidRDefault="00FB2A4B" w:rsidP="00A07209">
      <w:pPr>
        <w:pStyle w:val="BodyText"/>
        <w:numPr>
          <w:ilvl w:val="0"/>
          <w:numId w:val="430"/>
        </w:numPr>
      </w:pPr>
      <w:r>
        <w:t xml:space="preserve">Biomedical Sciences IRB: </w:t>
      </w:r>
      <w:hyperlink r:id="rId78" w:history="1">
        <w:r>
          <w:rPr>
            <w:rStyle w:val="Hyperlink"/>
          </w:rPr>
          <w:t>BiomedicalIRBInfo@osu.edu</w:t>
        </w:r>
      </w:hyperlink>
      <w:r>
        <w:t xml:space="preserve"> </w:t>
      </w:r>
    </w:p>
    <w:p w14:paraId="426FF393" w14:textId="77777777" w:rsidR="00FB2A4B" w:rsidRPr="00E6416A" w:rsidRDefault="00FB2A4B" w:rsidP="00A07209">
      <w:pPr>
        <w:pStyle w:val="BodyText"/>
        <w:numPr>
          <w:ilvl w:val="0"/>
          <w:numId w:val="430"/>
        </w:numPr>
      </w:pPr>
      <w:r>
        <w:t xml:space="preserve">Cancer IRB: </w:t>
      </w:r>
      <w:hyperlink r:id="rId79" w:history="1">
        <w:r>
          <w:rPr>
            <w:rStyle w:val="Hyperlink"/>
          </w:rPr>
          <w:t>CancerIRBInfo@osu.edu</w:t>
        </w:r>
      </w:hyperlink>
    </w:p>
    <w:p w14:paraId="5BE02A1D" w14:textId="77777777" w:rsidR="00FB2A4B" w:rsidRPr="00E6416A" w:rsidRDefault="00FB2A4B" w:rsidP="00A07209">
      <w:pPr>
        <w:pStyle w:val="BodyText"/>
        <w:numPr>
          <w:ilvl w:val="0"/>
          <w:numId w:val="430"/>
        </w:numPr>
      </w:pPr>
      <w:r>
        <w:t xml:space="preserve">Exempt Research: </w:t>
      </w:r>
      <w:hyperlink r:id="rId80" w:history="1">
        <w:r>
          <w:rPr>
            <w:rStyle w:val="Hyperlink"/>
          </w:rPr>
          <w:t>exemptinfo@osu.edu</w:t>
        </w:r>
      </w:hyperlink>
      <w:r>
        <w:t xml:space="preserve"> </w:t>
      </w:r>
    </w:p>
    <w:p w14:paraId="41BC80F6" w14:textId="77777777" w:rsidR="00FB2A4B" w:rsidRPr="00E6416A" w:rsidRDefault="00FB2A4B" w:rsidP="00A07209">
      <w:pPr>
        <w:pStyle w:val="BodyText"/>
        <w:numPr>
          <w:ilvl w:val="0"/>
          <w:numId w:val="430"/>
        </w:numPr>
      </w:pPr>
      <w:r>
        <w:t xml:space="preserve">Reliance and Individual Investigator Agreements: </w:t>
      </w:r>
      <w:hyperlink r:id="rId81" w:history="1">
        <w:r>
          <w:rPr>
            <w:rStyle w:val="Hyperlink"/>
          </w:rPr>
          <w:t>IRBAgreements@osu.edu</w:t>
        </w:r>
      </w:hyperlink>
      <w:r>
        <w:t xml:space="preserve"> </w:t>
      </w:r>
    </w:p>
    <w:p w14:paraId="77AC42D1" w14:textId="77777777" w:rsidR="00FB2A4B" w:rsidRPr="00E6416A" w:rsidRDefault="00FB2A4B" w:rsidP="00A07209">
      <w:pPr>
        <w:pStyle w:val="BodyText"/>
        <w:numPr>
          <w:ilvl w:val="0"/>
          <w:numId w:val="430"/>
        </w:numPr>
      </w:pPr>
      <w:r>
        <w:t xml:space="preserve">Human Subjects Research Determinations: </w:t>
      </w:r>
      <w:hyperlink r:id="rId82" w:history="1">
        <w:r>
          <w:rPr>
            <w:rStyle w:val="Hyperlink"/>
          </w:rPr>
          <w:t>ORRPDeterminations@osu.edu</w:t>
        </w:r>
      </w:hyperlink>
      <w:r>
        <w:t xml:space="preserve"> </w:t>
      </w:r>
    </w:p>
    <w:p w14:paraId="268C49E2" w14:textId="77777777" w:rsidR="00405A4B" w:rsidRPr="00E6416A" w:rsidRDefault="00FB2A4B" w:rsidP="00A07209">
      <w:pPr>
        <w:pStyle w:val="BodyText"/>
        <w:numPr>
          <w:ilvl w:val="0"/>
          <w:numId w:val="430"/>
        </w:numPr>
      </w:pPr>
      <w:r>
        <w:t xml:space="preserve">IRB Emergency Use: </w:t>
      </w:r>
      <w:hyperlink r:id="rId83" w:history="1">
        <w:r>
          <w:rPr>
            <w:rStyle w:val="Hyperlink"/>
          </w:rPr>
          <w:t>OR-IRBEmergencyUse@osu.edu</w:t>
        </w:r>
      </w:hyperlink>
    </w:p>
    <w:p w14:paraId="6EFB239D" w14:textId="77777777" w:rsidR="004521D0" w:rsidRPr="00E6416A" w:rsidRDefault="004B5D1B">
      <w:pPr>
        <w:pStyle w:val="BodyText"/>
        <w:spacing w:line="276" w:lineRule="auto"/>
      </w:pPr>
      <w:r>
        <w:t>If you have any questions or concerns about the Human Research Protection Program, contact ORRP at:</w:t>
      </w:r>
    </w:p>
    <w:p w14:paraId="339226F0" w14:textId="77777777" w:rsidR="004521D0" w:rsidRPr="00E6416A" w:rsidRDefault="004B5D1B">
      <w:pPr>
        <w:pStyle w:val="ListBullet3"/>
        <w:numPr>
          <w:ilvl w:val="0"/>
          <w:numId w:val="0"/>
        </w:numPr>
        <w:ind w:left="720"/>
        <w:rPr>
          <w:sz w:val="22"/>
          <w:szCs w:val="22"/>
        </w:rPr>
      </w:pPr>
      <w:r>
        <w:rPr>
          <w:sz w:val="22"/>
          <w:szCs w:val="22"/>
        </w:rPr>
        <w:t>Ellen Patricia, MS, CIP</w:t>
      </w:r>
    </w:p>
    <w:p w14:paraId="08EC840E" w14:textId="77777777" w:rsidR="004521D0" w:rsidRPr="00E6416A" w:rsidRDefault="004B5D1B" w:rsidP="0005655E">
      <w:pPr>
        <w:pStyle w:val="ListBullet3"/>
        <w:numPr>
          <w:ilvl w:val="0"/>
          <w:numId w:val="0"/>
        </w:numPr>
        <w:ind w:left="720"/>
        <w:rPr>
          <w:sz w:val="22"/>
          <w:szCs w:val="22"/>
        </w:rPr>
      </w:pPr>
      <w:r>
        <w:rPr>
          <w:sz w:val="22"/>
          <w:szCs w:val="22"/>
        </w:rPr>
        <w:t>Director, Office of Responsible Research Practices</w:t>
      </w:r>
    </w:p>
    <w:p w14:paraId="7492CFC5" w14:textId="77777777" w:rsidR="004521D0" w:rsidRPr="00E6416A" w:rsidRDefault="004B5D1B">
      <w:pPr>
        <w:spacing w:after="0"/>
        <w:ind w:left="720"/>
      </w:pPr>
      <w:r>
        <w:t>1050 Carmack Rd</w:t>
      </w:r>
    </w:p>
    <w:p w14:paraId="3F39ABBB" w14:textId="77777777" w:rsidR="004521D0" w:rsidRPr="00E6416A" w:rsidRDefault="004B5D1B">
      <w:pPr>
        <w:spacing w:after="0"/>
        <w:ind w:left="720"/>
      </w:pPr>
      <w:r>
        <w:t>Columbus, OH 43210</w:t>
      </w:r>
    </w:p>
    <w:p w14:paraId="227E05D1" w14:textId="77777777" w:rsidR="004521D0" w:rsidRPr="00E6416A" w:rsidRDefault="004B5D1B">
      <w:pPr>
        <w:spacing w:after="0"/>
        <w:ind w:left="720"/>
      </w:pPr>
      <w:r>
        <w:t xml:space="preserve">Email: </w:t>
      </w:r>
      <w:hyperlink r:id="rId84" w:history="1">
        <w:r>
          <w:rPr>
            <w:rStyle w:val="Hyperlink"/>
          </w:rPr>
          <w:t>patricia.1@osu.edu</w:t>
        </w:r>
      </w:hyperlink>
    </w:p>
    <w:p w14:paraId="57B1F772" w14:textId="77777777" w:rsidR="004521D0" w:rsidRPr="00E6416A" w:rsidRDefault="004B5D1B">
      <w:pPr>
        <w:spacing w:after="0"/>
        <w:ind w:left="720"/>
      </w:pPr>
      <w:r>
        <w:t>614-688-5556</w:t>
      </w:r>
    </w:p>
    <w:p w14:paraId="616EA60E" w14:textId="77777777" w:rsidR="002F4015" w:rsidRPr="00E6416A" w:rsidRDefault="004B5D1B">
      <w:pPr>
        <w:pStyle w:val="BodyText"/>
        <w:spacing w:line="276" w:lineRule="auto"/>
      </w:pPr>
      <w:r>
        <w:t xml:space="preserve">If you have questions, concerns, complaints, allegations of undue influence, allegations or findings of non-compliance, or input regarding the Human Research Protection Program that cannot be addressed by contacting ORRP, anonymous reports may be filed using the Anonymous Reporting Line Telephone (1-866-294-9350) or Internet Service </w:t>
      </w:r>
      <w:hyperlink r:id="rId85" w:tgtFrame="_blank" w:history="1">
        <w:r>
          <w:rPr>
            <w:rStyle w:val="Hyperlink"/>
          </w:rPr>
          <w:t>Anonymous Reporting Line</w:t>
        </w:r>
      </w:hyperlink>
      <w:r>
        <w:t xml:space="preserve"> (managed by EthicsPoint).</w:t>
      </w:r>
    </w:p>
    <w:p w14:paraId="6CE55886" w14:textId="77777777" w:rsidR="00405A4B" w:rsidRDefault="00405A4B">
      <w:r>
        <w:br w:type="page"/>
      </w:r>
    </w:p>
    <w:p w14:paraId="35820D08" w14:textId="77777777" w:rsidR="004521D0" w:rsidRPr="00AD33B7" w:rsidRDefault="41B41E75">
      <w:pPr>
        <w:pStyle w:val="Heading2AppendixA"/>
        <w:spacing w:line="276" w:lineRule="auto"/>
      </w:pPr>
      <w:bookmarkStart w:id="155" w:name="Appendix_A_1"/>
      <w:bookmarkStart w:id="156" w:name="_Toc441318812"/>
      <w:bookmarkStart w:id="157" w:name="_Toc212142184"/>
      <w:bookmarkStart w:id="158" w:name="_Toc225507724"/>
      <w:bookmarkEnd w:id="155"/>
      <w:r>
        <w:lastRenderedPageBreak/>
        <w:t>Additional Requirements for DHHS-Regulated Research</w:t>
      </w:r>
      <w:r>
        <w:endnoteReference w:id="2"/>
      </w:r>
      <w:bookmarkEnd w:id="156"/>
      <w:bookmarkEnd w:id="157"/>
      <w:bookmarkEnd w:id="158"/>
    </w:p>
    <w:p w14:paraId="593ACB97" w14:textId="77777777" w:rsidR="004521D0" w:rsidRPr="00AD33B7" w:rsidRDefault="004B5D1B" w:rsidP="008E1F98">
      <w:pPr>
        <w:numPr>
          <w:ilvl w:val="0"/>
          <w:numId w:val="12"/>
        </w:numPr>
        <w:spacing w:after="0" w:line="276" w:lineRule="auto"/>
        <w:rPr>
          <w:color w:val="000000"/>
        </w:rPr>
      </w:pPr>
      <w:r>
        <w:rPr>
          <w:color w:val="000000"/>
        </w:rPr>
        <w:t>When a subject decides to withdraw from a clinical trial, the investigator conducting the clinical trial should ask the subject to clarify whether the subject wishes to withdraw from all components of the trial or only from the primary interventional component. If the latter, research activities involving other components of the clinical trial, such as follow-up data collection activities, for which the subject previously gave consent may continue. The investigator should explain to the subject who wishes to withdraw the importance of obtaining follow-up safety data about the subject.</w:t>
      </w:r>
    </w:p>
    <w:p w14:paraId="3FA137F9" w14:textId="77777777" w:rsidR="004521D0" w:rsidRPr="00AD33B7" w:rsidRDefault="004B5D1B" w:rsidP="008E1F98">
      <w:pPr>
        <w:numPr>
          <w:ilvl w:val="0"/>
          <w:numId w:val="12"/>
        </w:numPr>
        <w:spacing w:after="0" w:line="276" w:lineRule="auto"/>
        <w:rPr>
          <w:color w:val="000000"/>
        </w:rPr>
      </w:pPr>
      <w:r>
        <w:rPr>
          <w:color w:val="000000"/>
        </w:rPr>
        <w:t>Investigators are allowed to retain and analyze already collected data relating to any subject who chooses to withdraw from a research study or whose participation is terminated by an investigator without regard to the subject’s consent, provided such analysis falls within the scope of the analysis described in the IRB-approved protocol. This is the case even if that data includes identifiable private information about the subject.</w:t>
      </w:r>
    </w:p>
    <w:p w14:paraId="26ED1650" w14:textId="77777777" w:rsidR="004521D0" w:rsidRPr="00AD33B7" w:rsidRDefault="004B5D1B" w:rsidP="008E1F98">
      <w:pPr>
        <w:numPr>
          <w:ilvl w:val="0"/>
          <w:numId w:val="12"/>
        </w:numPr>
        <w:spacing w:after="0" w:line="276" w:lineRule="auto"/>
        <w:rPr>
          <w:color w:val="000000"/>
        </w:rPr>
      </w:pPr>
      <w:r>
        <w:rPr>
          <w:color w:val="000000"/>
        </w:rPr>
        <w:t>For research not subject to regulation and review by FDA, investigators, in consultation with the funding agency, can choose to honor a research subject’s request that the investigator destroy the subject’s data or that the investigator exclude the subject’s data from any analysis.</w:t>
      </w:r>
    </w:p>
    <w:p w14:paraId="707DC025" w14:textId="77777777" w:rsidR="004521D0" w:rsidRPr="00AD33B7" w:rsidRDefault="004B5D1B" w:rsidP="008E1F98">
      <w:pPr>
        <w:numPr>
          <w:ilvl w:val="0"/>
          <w:numId w:val="12"/>
        </w:numPr>
        <w:spacing w:after="0" w:line="276" w:lineRule="auto"/>
        <w:rPr>
          <w:color w:val="000000"/>
        </w:rPr>
      </w:pPr>
      <w:r>
        <w:rPr>
          <w:color w:val="000000"/>
        </w:rPr>
        <w:t>When seeking the informed consent of subjects, investigators should explain whether already collected data about the subjects will be retained and analyzed even if the subjects choose to withdraw from the research.</w:t>
      </w:r>
    </w:p>
    <w:p w14:paraId="2341376A" w14:textId="77777777" w:rsidR="004521D0" w:rsidRPr="00AD33B7" w:rsidRDefault="004B5D1B" w:rsidP="008E1F98">
      <w:pPr>
        <w:numPr>
          <w:ilvl w:val="0"/>
          <w:numId w:val="12"/>
        </w:numPr>
        <w:spacing w:after="0" w:line="276" w:lineRule="auto"/>
        <w:rPr>
          <w:color w:val="000000"/>
        </w:rPr>
      </w:pPr>
      <w:r>
        <w:rPr>
          <w:color w:val="000000"/>
        </w:rPr>
        <w:t>When research is covered by a Certificate of Confidentiality (CoC), researchers:</w:t>
      </w:r>
    </w:p>
    <w:p w14:paraId="17F7AD9C" w14:textId="77777777" w:rsidR="004521D0" w:rsidRPr="00AD33B7" w:rsidRDefault="004B5D1B" w:rsidP="008E1F98">
      <w:pPr>
        <w:numPr>
          <w:ilvl w:val="1"/>
          <w:numId w:val="12"/>
        </w:numPr>
        <w:spacing w:after="0" w:line="276" w:lineRule="auto"/>
        <w:rPr>
          <w:color w:val="000000"/>
        </w:rPr>
      </w:pPr>
      <w:r>
        <w:rPr>
          <w:color w:val="000000"/>
        </w:rPr>
        <w:t xml:space="preserve">May not disclose or provide, in any Federal, State, or local civil, criminal, administrative, legislative, or other proceeding, the name of such individual or </w:t>
      </w:r>
      <w:r>
        <w:t>any such information, document, or biospecimen that contains identifiable, sensitive information about the individual and that was created or compiled for purposes of the research, unless such disclosure or use is made with the consent of the individual to whom the information, document, or biospecimen pertains, or</w:t>
      </w:r>
    </w:p>
    <w:p w14:paraId="13CBF3D2" w14:textId="77777777" w:rsidR="004521D0" w:rsidRPr="00AD33B7" w:rsidRDefault="004B5D1B" w:rsidP="008E1F98">
      <w:pPr>
        <w:numPr>
          <w:ilvl w:val="1"/>
          <w:numId w:val="12"/>
        </w:numPr>
        <w:spacing w:after="0" w:line="276" w:lineRule="auto"/>
        <w:rPr>
          <w:color w:val="000000"/>
        </w:rPr>
      </w:pPr>
      <w:r>
        <w:t xml:space="preserve">May not disclose or provide to any other person not connected with the research the name of such an individual or any information, document, or biospecimen that contains identifiable, sensitive information about such an individual and that was created or compiled for purposes of the research. </w:t>
      </w:r>
    </w:p>
    <w:p w14:paraId="125570F8" w14:textId="77777777" w:rsidR="004521D0" w:rsidRPr="00AD33B7" w:rsidRDefault="004B5D1B" w:rsidP="008E1F98">
      <w:pPr>
        <w:numPr>
          <w:ilvl w:val="1"/>
          <w:numId w:val="12"/>
        </w:numPr>
        <w:spacing w:after="0" w:line="276" w:lineRule="auto"/>
        <w:rPr>
          <w:color w:val="000000"/>
        </w:rPr>
      </w:pPr>
      <w:r>
        <w:t xml:space="preserve">May disclose information only when: </w:t>
      </w:r>
    </w:p>
    <w:p w14:paraId="72DB9DFA" w14:textId="77777777" w:rsidR="004521D0" w:rsidRPr="00AD33B7" w:rsidRDefault="004B5D1B" w:rsidP="008E1F98">
      <w:pPr>
        <w:numPr>
          <w:ilvl w:val="2"/>
          <w:numId w:val="12"/>
        </w:numPr>
        <w:spacing w:after="0" w:line="276" w:lineRule="auto"/>
        <w:rPr>
          <w:color w:val="000000"/>
        </w:rPr>
      </w:pPr>
      <w:r>
        <w:t>Required by Federal, State, or local laws (e.g., as required by the Federal Food, Drug, and Cosmetic Act, or state laws requiring the reporting of communicable diseases to state and local health departments), excluding instances of disclosure in any federal, state, or local civil, criminal, administrative, legislative, or other proceeding,</w:t>
      </w:r>
    </w:p>
    <w:p w14:paraId="6E486F63" w14:textId="77777777" w:rsidR="004521D0" w:rsidRPr="00AD33B7" w:rsidRDefault="004B5D1B" w:rsidP="008E1F98">
      <w:pPr>
        <w:numPr>
          <w:ilvl w:val="2"/>
          <w:numId w:val="12"/>
        </w:numPr>
        <w:spacing w:after="0" w:line="276" w:lineRule="auto"/>
        <w:rPr>
          <w:color w:val="000000"/>
        </w:rPr>
      </w:pPr>
      <w:r>
        <w:t xml:space="preserve">Necessary for the medical treatment of the individual to whom the information, document, or biospecimen pertains and made with the consent of such individual, </w:t>
      </w:r>
    </w:p>
    <w:p w14:paraId="6BE614A2" w14:textId="77777777" w:rsidR="004521D0" w:rsidRPr="002F3966" w:rsidRDefault="004B5D1B" w:rsidP="008E1F98">
      <w:pPr>
        <w:numPr>
          <w:ilvl w:val="2"/>
          <w:numId w:val="12"/>
        </w:numPr>
        <w:spacing w:after="0" w:line="276" w:lineRule="auto"/>
        <w:rPr>
          <w:color w:val="000000"/>
        </w:rPr>
      </w:pPr>
      <w:r>
        <w:t>Made with the consent of the individual to whom the information, document, or biospecimen pertains’ or</w:t>
      </w:r>
    </w:p>
    <w:p w14:paraId="74B28BCD" w14:textId="77777777" w:rsidR="004521D0" w:rsidRPr="002F3966" w:rsidRDefault="004B5D1B" w:rsidP="008E1F98">
      <w:pPr>
        <w:numPr>
          <w:ilvl w:val="2"/>
          <w:numId w:val="12"/>
        </w:numPr>
        <w:spacing w:after="0" w:line="276" w:lineRule="auto"/>
        <w:rPr>
          <w:color w:val="000000"/>
        </w:rPr>
      </w:pPr>
      <w:r>
        <w:lastRenderedPageBreak/>
        <w:t>Made for the purposes of other scientific research that is in compliance with applicable federal regulations governing the protection of human participants in research.</w:t>
      </w:r>
    </w:p>
    <w:p w14:paraId="00AA288B" w14:textId="77777777" w:rsidR="004521D0" w:rsidRPr="002F3966" w:rsidRDefault="004B5D1B" w:rsidP="008E1F98">
      <w:pPr>
        <w:numPr>
          <w:ilvl w:val="1"/>
          <w:numId w:val="12"/>
        </w:numPr>
        <w:spacing w:after="0" w:line="276" w:lineRule="auto"/>
        <w:rPr>
          <w:color w:val="000000"/>
        </w:rPr>
      </w:pPr>
      <w:r>
        <w:t>Researchers must inform participants of the protections and limitations of Certificates of Confidentiality</w:t>
      </w:r>
      <w:r w:rsidR="002557BF">
        <w:t xml:space="preserve"> </w:t>
      </w:r>
      <w:hyperlink r:id="rId86" w:history="1">
        <w:r w:rsidR="002557BF" w:rsidRPr="002557BF">
          <w:rPr>
            <w:rStyle w:val="Hyperlink"/>
          </w:rPr>
          <w:t>consent language</w:t>
        </w:r>
      </w:hyperlink>
      <w:r w:rsidR="002557BF">
        <w:t>.</w:t>
      </w:r>
    </w:p>
    <w:p w14:paraId="1AE213B9" w14:textId="77777777" w:rsidR="004521D0" w:rsidRPr="002F3966" w:rsidRDefault="004B5D1B" w:rsidP="008E1F98">
      <w:pPr>
        <w:numPr>
          <w:ilvl w:val="2"/>
          <w:numId w:val="12"/>
        </w:numPr>
        <w:spacing w:after="0" w:line="276" w:lineRule="auto"/>
        <w:rPr>
          <w:color w:val="000000"/>
        </w:rPr>
      </w:pPr>
      <w:r>
        <w:t>For studies that were previously issued a Certificate and notified participants of the protections provided by that Certificate, NIH does not expect participants to be notified that the protections afforded by the Certificate have changed, although IRBs may determine whether it is appropriate to inform participants.</w:t>
      </w:r>
    </w:p>
    <w:p w14:paraId="6E1B4EA9" w14:textId="77777777" w:rsidR="004521D0" w:rsidRPr="002F3966" w:rsidRDefault="004B5D1B" w:rsidP="008E1F98">
      <w:pPr>
        <w:numPr>
          <w:ilvl w:val="2"/>
          <w:numId w:val="12"/>
        </w:numPr>
        <w:spacing w:after="0" w:line="276" w:lineRule="auto"/>
        <w:rPr>
          <w:color w:val="000000"/>
        </w:rPr>
      </w:pPr>
      <w:r>
        <w:t>If part of the study cohort was recruited prior to issuance of the Certificate, but are no longer actively participating in the study, NIH does not expect participants consented prior to the change in authority, or prior to the issuance of a Certificate, to be notified that the protections afforded by the Certificate have changed, or that participants who were previously consented to be re-contacted to be informed of the Certificate, although the IRB may determine whether it is appropriate to inform participants.</w:t>
      </w:r>
    </w:p>
    <w:p w14:paraId="28A5A66A" w14:textId="77777777" w:rsidR="004521D0" w:rsidRPr="002F3966" w:rsidRDefault="004B5D1B" w:rsidP="008E1F98">
      <w:pPr>
        <w:numPr>
          <w:ilvl w:val="1"/>
          <w:numId w:val="12"/>
        </w:numPr>
        <w:spacing w:after="0" w:line="276" w:lineRule="auto"/>
        <w:rPr>
          <w:color w:val="000000"/>
        </w:rPr>
      </w:pPr>
      <w:r>
        <w:t>Researchers conducting research covered by a CoC, even if the research is not federally funded, must ensure that if identifiable, sensitive information is provided to other researchers or organizations, the other researcher or organization must comply with applicable requirements when research is covered by a CoC.</w:t>
      </w:r>
    </w:p>
    <w:p w14:paraId="75EDF9DC" w14:textId="77777777" w:rsidR="004521D0" w:rsidRPr="00AD33B7" w:rsidRDefault="41B41E75">
      <w:pPr>
        <w:pStyle w:val="Heading2AppendixA"/>
        <w:spacing w:line="276" w:lineRule="auto"/>
      </w:pPr>
      <w:bookmarkStart w:id="159" w:name="_Toc1914831363"/>
      <w:bookmarkStart w:id="160" w:name="_Toc212142185"/>
      <w:bookmarkStart w:id="161" w:name="_Toc225507725"/>
      <w:r>
        <w:lastRenderedPageBreak/>
        <w:t>Additional Requirements for FDA-Regulated Research</w:t>
      </w:r>
      <w:bookmarkEnd w:id="159"/>
      <w:bookmarkEnd w:id="160"/>
      <w:bookmarkEnd w:id="161"/>
    </w:p>
    <w:p w14:paraId="45976675" w14:textId="77777777" w:rsidR="00AD253D" w:rsidRPr="002F3966" w:rsidRDefault="00A972FB" w:rsidP="008E1F98">
      <w:pPr>
        <w:numPr>
          <w:ilvl w:val="0"/>
          <w:numId w:val="13"/>
        </w:numPr>
        <w:autoSpaceDE w:val="0"/>
        <w:autoSpaceDN w:val="0"/>
        <w:adjustRightInd w:val="0"/>
        <w:spacing w:after="0" w:line="276" w:lineRule="auto"/>
        <w:rPr>
          <w:color w:val="000000"/>
        </w:rPr>
      </w:pPr>
      <w:r>
        <w:rPr>
          <w:color w:val="000000"/>
          <w:u w:val="single"/>
        </w:rPr>
        <w:t>Sponsor</w:t>
      </w:r>
      <w:r>
        <w:rPr>
          <w:color w:val="000000"/>
        </w:rPr>
        <w:t>: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conduct an investigation that it has initiated is a sponsor, not a sponsor-investigator, and the employees are investigators.</w:t>
      </w:r>
    </w:p>
    <w:p w14:paraId="5C4261F5" w14:textId="77777777" w:rsidR="004521D0" w:rsidRPr="002F3966" w:rsidRDefault="004B5D1B" w:rsidP="008E1F98">
      <w:pPr>
        <w:numPr>
          <w:ilvl w:val="0"/>
          <w:numId w:val="13"/>
        </w:numPr>
        <w:autoSpaceDE w:val="0"/>
        <w:autoSpaceDN w:val="0"/>
        <w:adjustRightInd w:val="0"/>
        <w:spacing w:after="0" w:line="276" w:lineRule="auto"/>
        <w:rPr>
          <w:color w:val="000000"/>
        </w:rPr>
      </w:pPr>
      <w:r>
        <w:rPr>
          <w:color w:val="000000"/>
        </w:rPr>
        <w:t>When a subject withdraws from a study:</w:t>
      </w:r>
      <w:r>
        <w:rPr>
          <w:rStyle w:val="EndnoteReference"/>
          <w:kern w:val="32"/>
        </w:rPr>
        <w:endnoteReference w:id="3"/>
      </w:r>
    </w:p>
    <w:p w14:paraId="79B4CA78" w14:textId="77777777" w:rsidR="004521D0" w:rsidRPr="002F3966" w:rsidRDefault="004B5D1B" w:rsidP="008E1F98">
      <w:pPr>
        <w:numPr>
          <w:ilvl w:val="1"/>
          <w:numId w:val="13"/>
        </w:numPr>
        <w:autoSpaceDE w:val="0"/>
        <w:autoSpaceDN w:val="0"/>
        <w:adjustRightInd w:val="0"/>
        <w:spacing w:after="0" w:line="276" w:lineRule="auto"/>
        <w:rPr>
          <w:color w:val="000000"/>
        </w:rPr>
      </w:pPr>
      <w:r>
        <w:rPr>
          <w:color w:val="000000"/>
        </w:rPr>
        <w:t>The data collected on the subject to the point of withdrawal remains part of the study database and may not be removed.</w:t>
      </w:r>
    </w:p>
    <w:p w14:paraId="27C84EF6" w14:textId="77777777" w:rsidR="004521D0" w:rsidRPr="002F3966" w:rsidRDefault="004B5D1B" w:rsidP="008E1F98">
      <w:pPr>
        <w:numPr>
          <w:ilvl w:val="1"/>
          <w:numId w:val="13"/>
        </w:numPr>
        <w:spacing w:after="0" w:line="276" w:lineRule="auto"/>
        <w:rPr>
          <w:color w:val="000000"/>
        </w:rPr>
      </w:pPr>
      <w:r>
        <w:rPr>
          <w:color w:val="000000"/>
        </w:rPr>
        <w:t>An investigator may ask a subject who is withdrawing whether the subject wishes to provide continued follow-up and further data collection subsequent to their withdrawal from the interventional portion of the study. Under this circumstance, the discussion with the subject would distinguish between study-related interventions and continued follow-up of associated clinical outcome information, such as medical course or laboratory results obtained through non-invasive chart review, and address the maintenance of privacy and confidentiality of the subject’s information.</w:t>
      </w:r>
    </w:p>
    <w:p w14:paraId="4A8A0676" w14:textId="77777777" w:rsidR="004521D0" w:rsidRPr="002F3966" w:rsidRDefault="004B5D1B" w:rsidP="008E1F98">
      <w:pPr>
        <w:numPr>
          <w:ilvl w:val="1"/>
          <w:numId w:val="13"/>
        </w:numPr>
        <w:spacing w:after="0" w:line="276" w:lineRule="auto"/>
        <w:rPr>
          <w:color w:val="000000"/>
        </w:rPr>
      </w:pPr>
      <w:r>
        <w:rPr>
          <w:color w:val="000000"/>
        </w:rPr>
        <w:t>If a subject withdraws from the interventional portion of the study but agrees to continued follow-up of associated clinical outcome information as described in the previous bullet, the investigator must obtain the subject’s informed consent for this limited participation in the study (assuming such a situation was not described in the original informed consent form). IRB approval of informed consent documents is required.</w:t>
      </w:r>
    </w:p>
    <w:p w14:paraId="2C26C791" w14:textId="77777777" w:rsidR="004521D0" w:rsidRPr="002F3966" w:rsidRDefault="004B5D1B" w:rsidP="008E1F98">
      <w:pPr>
        <w:numPr>
          <w:ilvl w:val="1"/>
          <w:numId w:val="13"/>
        </w:numPr>
        <w:spacing w:after="0" w:line="276" w:lineRule="auto"/>
        <w:rPr>
          <w:color w:val="000000"/>
        </w:rPr>
      </w:pPr>
      <w:r>
        <w:rPr>
          <w:color w:val="000000"/>
        </w:rPr>
        <w:t>If a subject withdraws from the interventional portion of a study and does not consent to continued follow-up of associated clinical outcome information, the investigator must not access for purposes related to the study the subject’s medical record or other confidential records requiring the subject’s consent.</w:t>
      </w:r>
    </w:p>
    <w:p w14:paraId="66C2D253" w14:textId="77777777" w:rsidR="004521D0" w:rsidRPr="002F3966" w:rsidRDefault="004B5D1B" w:rsidP="008E1F98">
      <w:pPr>
        <w:numPr>
          <w:ilvl w:val="1"/>
          <w:numId w:val="13"/>
        </w:numPr>
        <w:spacing w:after="0" w:line="276" w:lineRule="auto"/>
        <w:rPr>
          <w:color w:val="000000"/>
        </w:rPr>
      </w:pPr>
      <w:r>
        <w:rPr>
          <w:color w:val="000000"/>
        </w:rPr>
        <w:t>An investigator may review study data related to the subject collected prior to the subject’s withdrawal from the study, and may consult public records, such as those establishing survival status.</w:t>
      </w:r>
    </w:p>
    <w:p w14:paraId="5B0BB363" w14:textId="77777777" w:rsidR="004521D0" w:rsidRPr="002F3966" w:rsidRDefault="004B5D1B" w:rsidP="008E1F98">
      <w:pPr>
        <w:numPr>
          <w:ilvl w:val="0"/>
          <w:numId w:val="13"/>
        </w:numPr>
        <w:spacing w:after="0" w:line="276" w:lineRule="auto"/>
        <w:rPr>
          <w:color w:val="000000"/>
        </w:rPr>
      </w:pPr>
      <w:r>
        <w:rPr>
          <w:color w:val="000000"/>
        </w:rPr>
        <w:t>For FDA-regulated research involving investigational drugs:</w:t>
      </w:r>
    </w:p>
    <w:p w14:paraId="6AEDB2C1" w14:textId="77777777" w:rsidR="00405DEB" w:rsidRPr="002F3966" w:rsidRDefault="00F16633" w:rsidP="008E1F98">
      <w:pPr>
        <w:numPr>
          <w:ilvl w:val="1"/>
          <w:numId w:val="13"/>
        </w:numPr>
        <w:spacing w:after="0" w:line="276" w:lineRule="auto"/>
        <w:rPr>
          <w:color w:val="000000"/>
        </w:rPr>
      </w:pPr>
      <w:r>
        <w:rPr>
          <w:color w:val="000000"/>
        </w:rPr>
        <w:t xml:space="preserve">Drug: A substance that is: </w:t>
      </w:r>
    </w:p>
    <w:p w14:paraId="3BEF957E" w14:textId="77777777" w:rsidR="006D017B" w:rsidRPr="002F3966" w:rsidRDefault="00405DEB" w:rsidP="008E1F98">
      <w:pPr>
        <w:pStyle w:val="ListParagraph"/>
        <w:numPr>
          <w:ilvl w:val="0"/>
          <w:numId w:val="32"/>
        </w:numPr>
        <w:spacing w:after="0"/>
        <w:rPr>
          <w:color w:val="000000"/>
        </w:rPr>
      </w:pPr>
      <w:r>
        <w:rPr>
          <w:color w:val="000000"/>
        </w:rPr>
        <w:t xml:space="preserve">Recognized in the United States Pharmacopoeia, Homeopathic Pharmacopoeia of the United States, or National Formulary (or any supplement to any of these), </w:t>
      </w:r>
    </w:p>
    <w:p w14:paraId="7146D484" w14:textId="77777777" w:rsidR="00D81886" w:rsidRPr="002F3966" w:rsidRDefault="00405DEB" w:rsidP="008E1F98">
      <w:pPr>
        <w:pStyle w:val="ListParagraph"/>
        <w:numPr>
          <w:ilvl w:val="0"/>
          <w:numId w:val="32"/>
        </w:numPr>
        <w:spacing w:after="0"/>
        <w:rPr>
          <w:color w:val="000000"/>
        </w:rPr>
      </w:pPr>
      <w:r>
        <w:rPr>
          <w:color w:val="000000"/>
        </w:rPr>
        <w:t xml:space="preserve">Intended for use in the diagnosis, cure, mitigation, treatment, or prevention of disease, </w:t>
      </w:r>
    </w:p>
    <w:p w14:paraId="4553D2AD" w14:textId="77777777" w:rsidR="0020158A" w:rsidRPr="002F3966" w:rsidRDefault="00405DEB" w:rsidP="008E1F98">
      <w:pPr>
        <w:pStyle w:val="ListParagraph"/>
        <w:numPr>
          <w:ilvl w:val="0"/>
          <w:numId w:val="32"/>
        </w:numPr>
        <w:spacing w:after="0"/>
        <w:rPr>
          <w:color w:val="000000"/>
        </w:rPr>
      </w:pPr>
      <w:r>
        <w:rPr>
          <w:color w:val="000000"/>
        </w:rPr>
        <w:t xml:space="preserve">Intended to affect the structure or any function of the body and is not a food product, or </w:t>
      </w:r>
    </w:p>
    <w:p w14:paraId="3BC6011A" w14:textId="77777777" w:rsidR="00DE45D1" w:rsidRPr="002F3966" w:rsidRDefault="00405DEB" w:rsidP="008E1F98">
      <w:pPr>
        <w:pStyle w:val="ListParagraph"/>
        <w:numPr>
          <w:ilvl w:val="0"/>
          <w:numId w:val="32"/>
        </w:numPr>
        <w:spacing w:after="0"/>
        <w:rPr>
          <w:color w:val="000000"/>
        </w:rPr>
      </w:pPr>
      <w:r>
        <w:rPr>
          <w:color w:val="000000"/>
        </w:rPr>
        <w:t>Intended for use as a component of any substance described above.</w:t>
      </w:r>
    </w:p>
    <w:p w14:paraId="36251C83" w14:textId="77777777" w:rsidR="004B0647" w:rsidRPr="002F3966" w:rsidRDefault="006031A3" w:rsidP="008E1F98">
      <w:pPr>
        <w:pStyle w:val="ListParagraph"/>
        <w:numPr>
          <w:ilvl w:val="1"/>
          <w:numId w:val="13"/>
        </w:numPr>
        <w:rPr>
          <w:color w:val="000000"/>
        </w:rPr>
      </w:pPr>
      <w:r>
        <w:rPr>
          <w:color w:val="000000"/>
        </w:rPr>
        <w:t>Experiment: Any use of a drug except for the use of a marketed drug in the course of medical practice or any evaluation of the safety and efficacy of a medical device.</w:t>
      </w:r>
    </w:p>
    <w:p w14:paraId="48C38DCE" w14:textId="77777777" w:rsidR="007602D5" w:rsidRPr="002F3966" w:rsidRDefault="007602D5" w:rsidP="008E1F98">
      <w:pPr>
        <w:pStyle w:val="ListParagraph"/>
        <w:numPr>
          <w:ilvl w:val="1"/>
          <w:numId w:val="13"/>
        </w:numPr>
        <w:rPr>
          <w:color w:val="000000"/>
        </w:rPr>
      </w:pPr>
      <w:r>
        <w:rPr>
          <w:color w:val="000000"/>
        </w:rPr>
        <w:lastRenderedPageBreak/>
        <w:t>Test Article: Any drug (including a biological product) or medical device for human use, human food (including dietary supplements), food or color additive, infant formula, electronic product, or any other article subject to regulation by FDA.</w:t>
      </w:r>
    </w:p>
    <w:p w14:paraId="1123E4DE" w14:textId="77777777" w:rsidR="004521D0" w:rsidRPr="002F3966" w:rsidRDefault="004B5D1B" w:rsidP="008E1F98">
      <w:pPr>
        <w:pStyle w:val="ListParagraph"/>
        <w:numPr>
          <w:ilvl w:val="1"/>
          <w:numId w:val="13"/>
        </w:numPr>
        <w:rPr>
          <w:color w:val="000000"/>
        </w:rPr>
      </w:pPr>
      <w:r>
        <w:rPr>
          <w:color w:val="000000"/>
        </w:rPr>
        <w:t>Investigators must abide by FDA restrictions on promotion of investigational drugs:</w:t>
      </w:r>
      <w:r>
        <w:rPr>
          <w:rStyle w:val="EndnoteReference"/>
          <w:kern w:val="32"/>
        </w:rPr>
        <w:endnoteReference w:id="4"/>
      </w:r>
    </w:p>
    <w:p w14:paraId="290FC1A3" w14:textId="77777777" w:rsidR="004521D0" w:rsidRPr="002F3966" w:rsidRDefault="004B5D1B" w:rsidP="008E1F98">
      <w:pPr>
        <w:numPr>
          <w:ilvl w:val="2"/>
          <w:numId w:val="13"/>
        </w:numPr>
        <w:spacing w:after="0" w:line="276" w:lineRule="auto"/>
        <w:rPr>
          <w:color w:val="000000"/>
        </w:rPr>
      </w:pPr>
      <w:r>
        <w:rPr>
          <w:color w:val="000000"/>
        </w:rPr>
        <w:t>An investigator, or any person acting on behalf of an investigator, must not represent in a promotional context that an investigational new drug is safe or effective for the purposes for which it is under investigation or otherwise promote the drug.</w:t>
      </w:r>
    </w:p>
    <w:p w14:paraId="5C844B67" w14:textId="77777777" w:rsidR="004521D0" w:rsidRPr="002F3966" w:rsidRDefault="004B5D1B" w:rsidP="008E1F98">
      <w:pPr>
        <w:numPr>
          <w:ilvl w:val="2"/>
          <w:numId w:val="13"/>
        </w:numPr>
        <w:spacing w:after="0" w:line="276" w:lineRule="auto"/>
        <w:rPr>
          <w:color w:val="000000"/>
        </w:rPr>
      </w:pPr>
      <w:r>
        <w:rPr>
          <w:color w:val="000000"/>
        </w:rPr>
        <w:t>This provision is not intended to restrict the full exchange of scientific information concerning the drug, including dissemination of scientific findings in scientific or lay media. Rather, its intent is to restrict promotional claims of safety or effectiveness of the drug for a use for which it is under investigation and to preclude commercialization of the drug before it is approved for commercial distribution.</w:t>
      </w:r>
    </w:p>
    <w:p w14:paraId="5A4D894E" w14:textId="77777777" w:rsidR="004521D0" w:rsidRPr="002F3966" w:rsidRDefault="004B5D1B" w:rsidP="008E1F98">
      <w:pPr>
        <w:numPr>
          <w:ilvl w:val="2"/>
          <w:numId w:val="13"/>
        </w:numPr>
        <w:spacing w:after="0" w:line="276" w:lineRule="auto"/>
        <w:rPr>
          <w:color w:val="000000"/>
        </w:rPr>
      </w:pPr>
      <w:r>
        <w:rPr>
          <w:color w:val="000000"/>
        </w:rPr>
        <w:t>An investigator must not commercially distribute or test market an investigational new drug.</w:t>
      </w:r>
    </w:p>
    <w:p w14:paraId="6B995BD6" w14:textId="77777777" w:rsidR="004521D0" w:rsidRPr="002F3966" w:rsidRDefault="004B5D1B" w:rsidP="008E1F98">
      <w:pPr>
        <w:numPr>
          <w:ilvl w:val="1"/>
          <w:numId w:val="13"/>
        </w:numPr>
        <w:spacing w:after="0" w:line="276" w:lineRule="auto"/>
        <w:rPr>
          <w:color w:val="000000"/>
        </w:rPr>
      </w:pPr>
      <w:r>
        <w:rPr>
          <w:color w:val="000000"/>
        </w:rPr>
        <w:t>Follow FDA requirements for general responsibilities of investigators</w:t>
      </w:r>
      <w:r>
        <w:rPr>
          <w:rStyle w:val="EndnoteReference"/>
          <w:kern w:val="32"/>
        </w:rPr>
        <w:endnoteReference w:id="5"/>
      </w:r>
    </w:p>
    <w:p w14:paraId="75650D29" w14:textId="77777777" w:rsidR="004521D0" w:rsidRPr="002F3966" w:rsidRDefault="004B5D1B" w:rsidP="008E1F98">
      <w:pPr>
        <w:numPr>
          <w:ilvl w:val="2"/>
          <w:numId w:val="13"/>
        </w:numPr>
        <w:spacing w:after="0" w:line="276" w:lineRule="auto"/>
        <w:rPr>
          <w:color w:val="000000"/>
        </w:rPr>
      </w:pPr>
      <w:r>
        <w:rPr>
          <w:color w:val="000000"/>
        </w:rPr>
        <w:t>An investigator is responsible for ensuring that an investigation is conducted according to the signed investigator statement, the investigational plan, and applicable regulations; for protecting the rights, safety, and welfare of subjects under the investigator's care; and for the control of drugs under investigation.</w:t>
      </w:r>
    </w:p>
    <w:p w14:paraId="40B6D7CE" w14:textId="77777777" w:rsidR="004521D0" w:rsidRPr="002F3966" w:rsidRDefault="004B5D1B" w:rsidP="008E1F98">
      <w:pPr>
        <w:numPr>
          <w:ilvl w:val="2"/>
          <w:numId w:val="13"/>
        </w:numPr>
        <w:spacing w:after="0" w:line="276" w:lineRule="auto"/>
        <w:rPr>
          <w:color w:val="000000"/>
        </w:rPr>
      </w:pPr>
      <w:r>
        <w:rPr>
          <w:color w:val="000000"/>
        </w:rPr>
        <w:t>An investigator must, in accordance with the provisions of 21 CFR §50, obtain the informed consent of each human subject to whom the drug is administered, except as provided in 21 CFR §50.23 or §50.24 of this chapter.</w:t>
      </w:r>
    </w:p>
    <w:p w14:paraId="4181C1B1" w14:textId="77777777" w:rsidR="004521D0" w:rsidRPr="002F3966" w:rsidRDefault="004B5D1B" w:rsidP="008E1F98">
      <w:pPr>
        <w:numPr>
          <w:ilvl w:val="2"/>
          <w:numId w:val="13"/>
        </w:numPr>
        <w:spacing w:after="0" w:line="276" w:lineRule="auto"/>
        <w:rPr>
          <w:color w:val="000000"/>
        </w:rPr>
      </w:pPr>
      <w:r>
        <w:rPr>
          <w:color w:val="000000"/>
        </w:rPr>
        <w:t>Additional specific responsibilities of clinical investigators are set forth in this part and in 21 CFR §50 and 21 CFR §56.</w:t>
      </w:r>
    </w:p>
    <w:p w14:paraId="29F0848F" w14:textId="77777777" w:rsidR="004521D0" w:rsidRPr="002F3966" w:rsidRDefault="004B5D1B" w:rsidP="008E1F98">
      <w:pPr>
        <w:numPr>
          <w:ilvl w:val="1"/>
          <w:numId w:val="13"/>
        </w:numPr>
        <w:spacing w:after="0" w:line="276" w:lineRule="auto"/>
        <w:rPr>
          <w:color w:val="000000"/>
        </w:rPr>
      </w:pPr>
      <w:r>
        <w:rPr>
          <w:color w:val="000000"/>
        </w:rPr>
        <w:t>Follow FDA requirements for control of the investigational drug</w:t>
      </w:r>
      <w:r>
        <w:rPr>
          <w:rStyle w:val="EndnoteReference"/>
          <w:kern w:val="32"/>
        </w:rPr>
        <w:endnoteReference w:id="6"/>
      </w:r>
    </w:p>
    <w:p w14:paraId="0B1A32F3" w14:textId="77777777" w:rsidR="004521D0" w:rsidRPr="002F3966" w:rsidRDefault="004B5D1B" w:rsidP="008E1F98">
      <w:pPr>
        <w:numPr>
          <w:ilvl w:val="2"/>
          <w:numId w:val="13"/>
        </w:numPr>
        <w:spacing w:after="0" w:line="276" w:lineRule="auto"/>
        <w:rPr>
          <w:color w:val="000000"/>
        </w:rPr>
      </w:pPr>
      <w:r>
        <w:rPr>
          <w:color w:val="000000"/>
        </w:rPr>
        <w:t>An investigator must administer the drug only to subjects under the investigator's personal supervision or under the supervision of a sub-investigator responsible to the investigator.</w:t>
      </w:r>
    </w:p>
    <w:p w14:paraId="07215552" w14:textId="77777777" w:rsidR="004521D0" w:rsidRPr="002F3966" w:rsidRDefault="004B5D1B" w:rsidP="008E1F98">
      <w:pPr>
        <w:numPr>
          <w:ilvl w:val="2"/>
          <w:numId w:val="13"/>
        </w:numPr>
        <w:spacing w:after="0" w:line="276" w:lineRule="auto"/>
        <w:rPr>
          <w:color w:val="000000"/>
        </w:rPr>
      </w:pPr>
      <w:r>
        <w:rPr>
          <w:color w:val="000000"/>
        </w:rPr>
        <w:t>The investigator must not supply the investigational drug to any person not authorized under this part to receive it.</w:t>
      </w:r>
    </w:p>
    <w:p w14:paraId="24D2D161" w14:textId="77777777" w:rsidR="004521D0" w:rsidRPr="002F3966" w:rsidRDefault="004B5D1B" w:rsidP="008E1F98">
      <w:pPr>
        <w:numPr>
          <w:ilvl w:val="1"/>
          <w:numId w:val="13"/>
        </w:numPr>
        <w:spacing w:after="0" w:line="276" w:lineRule="auto"/>
        <w:rPr>
          <w:color w:val="000000"/>
        </w:rPr>
      </w:pPr>
      <w:r>
        <w:rPr>
          <w:color w:val="000000"/>
        </w:rPr>
        <w:t>Follow FDA requirements for investigator recordkeeping and record retention</w:t>
      </w:r>
      <w:r>
        <w:rPr>
          <w:rStyle w:val="EndnoteReference"/>
          <w:kern w:val="32"/>
        </w:rPr>
        <w:endnoteReference w:id="7"/>
      </w:r>
    </w:p>
    <w:p w14:paraId="46B73E9E" w14:textId="77777777" w:rsidR="004521D0" w:rsidRPr="002F3966" w:rsidRDefault="004B5D1B" w:rsidP="008E1F98">
      <w:pPr>
        <w:numPr>
          <w:ilvl w:val="2"/>
          <w:numId w:val="13"/>
        </w:numPr>
        <w:spacing w:after="0" w:line="276" w:lineRule="auto"/>
        <w:rPr>
          <w:color w:val="000000"/>
        </w:rPr>
      </w:pPr>
      <w:r>
        <w:rPr>
          <w:color w:val="000000"/>
        </w:rPr>
        <w:t>Disposition of drug:</w:t>
      </w:r>
    </w:p>
    <w:p w14:paraId="7EEA1F11" w14:textId="77777777" w:rsidR="004521D0" w:rsidRPr="002F3966" w:rsidRDefault="004B5D1B" w:rsidP="008E1F98">
      <w:pPr>
        <w:numPr>
          <w:ilvl w:val="3"/>
          <w:numId w:val="13"/>
        </w:numPr>
        <w:spacing w:after="0" w:line="276" w:lineRule="auto"/>
        <w:rPr>
          <w:color w:val="000000"/>
        </w:rPr>
      </w:pPr>
      <w:r>
        <w:rPr>
          <w:color w:val="000000"/>
        </w:rPr>
        <w:t>An investigator is required to maintain adequate records of the disposition of the drug, including dates, quantity, and use by subjects.</w:t>
      </w:r>
    </w:p>
    <w:p w14:paraId="76B6D00D" w14:textId="77777777" w:rsidR="004521D0" w:rsidRPr="002F3966" w:rsidRDefault="004B5D1B" w:rsidP="008E1F98">
      <w:pPr>
        <w:numPr>
          <w:ilvl w:val="3"/>
          <w:numId w:val="13"/>
        </w:numPr>
        <w:spacing w:after="0" w:line="276" w:lineRule="auto"/>
        <w:rPr>
          <w:color w:val="000000"/>
        </w:rPr>
      </w:pPr>
      <w:r>
        <w:rPr>
          <w:color w:val="000000"/>
        </w:rPr>
        <w:t>If the investigation is terminated, suspended, discontinued, or completed, the investigator must return the unused supplies of the drug to the sponsor, or otherwise provide for disposition of the unused supplies of the drug under 21 CFR §312.59.</w:t>
      </w:r>
    </w:p>
    <w:p w14:paraId="5E586CBF" w14:textId="77777777" w:rsidR="004521D0" w:rsidRPr="002F3966" w:rsidRDefault="004B5D1B" w:rsidP="008E1F98">
      <w:pPr>
        <w:numPr>
          <w:ilvl w:val="2"/>
          <w:numId w:val="13"/>
        </w:numPr>
        <w:spacing w:after="0" w:line="276" w:lineRule="auto"/>
        <w:rPr>
          <w:color w:val="000000"/>
        </w:rPr>
      </w:pPr>
      <w:r>
        <w:rPr>
          <w:color w:val="000000"/>
        </w:rPr>
        <w:t>Case histories.</w:t>
      </w:r>
    </w:p>
    <w:p w14:paraId="0150B621" w14:textId="77777777" w:rsidR="004521D0" w:rsidRPr="002F3966" w:rsidRDefault="004B5D1B" w:rsidP="008E1F98">
      <w:pPr>
        <w:numPr>
          <w:ilvl w:val="3"/>
          <w:numId w:val="13"/>
        </w:numPr>
        <w:spacing w:after="0" w:line="276" w:lineRule="auto"/>
        <w:rPr>
          <w:color w:val="000000"/>
        </w:rPr>
      </w:pPr>
      <w:r>
        <w:rPr>
          <w:color w:val="000000"/>
        </w:rPr>
        <w:lastRenderedPageBreak/>
        <w:t>An investigator is required to prepare and maintain adequate and accurate case histories that record all observations and other data pertinent to the investigation on each individual administered the investigational drug or employed as a control in the investigation.</w:t>
      </w:r>
    </w:p>
    <w:p w14:paraId="1067C232" w14:textId="77777777" w:rsidR="004521D0" w:rsidRPr="002F3966" w:rsidRDefault="004B5D1B" w:rsidP="008E1F98">
      <w:pPr>
        <w:numPr>
          <w:ilvl w:val="3"/>
          <w:numId w:val="13"/>
        </w:numPr>
        <w:spacing w:after="0" w:line="276" w:lineRule="auto"/>
        <w:rPr>
          <w:color w:val="000000"/>
        </w:rPr>
      </w:pPr>
      <w:r>
        <w:rPr>
          <w:color w:val="000000"/>
        </w:rPr>
        <w:t>Case histories include the case report forms and supporting data including, for example, signed and dated consent forms and medical records including, for example, progress notes of the physician, the individual's hospital charts, and the nurses' notes. The case history for each individual must document that informed consent was obtained prior to participation in the study.</w:t>
      </w:r>
    </w:p>
    <w:p w14:paraId="7791A019" w14:textId="77777777" w:rsidR="004521D0" w:rsidRPr="002F3966" w:rsidRDefault="004B5D1B" w:rsidP="008E1F98">
      <w:pPr>
        <w:numPr>
          <w:ilvl w:val="2"/>
          <w:numId w:val="13"/>
        </w:numPr>
        <w:spacing w:after="0" w:line="276" w:lineRule="auto"/>
        <w:rPr>
          <w:color w:val="000000"/>
        </w:rPr>
      </w:pPr>
      <w:r>
        <w:rPr>
          <w:color w:val="000000"/>
        </w:rPr>
        <w:t>Record retention: An investigator must retain required records for a period of 2 years following the date a marketing application is approved for the drug for the indication for which it is being investigated; or, if no application is to be filed or if the application is not approved for such indication, until 2 years after the investigation is discontinued and FDA is notified.</w:t>
      </w:r>
    </w:p>
    <w:p w14:paraId="28B7E3AB" w14:textId="77777777" w:rsidR="004521D0" w:rsidRPr="002F3966" w:rsidRDefault="004B5D1B" w:rsidP="008E1F98">
      <w:pPr>
        <w:numPr>
          <w:ilvl w:val="1"/>
          <w:numId w:val="13"/>
        </w:numPr>
        <w:spacing w:after="0" w:line="276" w:lineRule="auto"/>
        <w:rPr>
          <w:color w:val="000000"/>
        </w:rPr>
      </w:pPr>
      <w:r>
        <w:rPr>
          <w:color w:val="000000"/>
        </w:rPr>
        <w:t>Follow FDA requirements for investigator reports</w:t>
      </w:r>
      <w:r>
        <w:rPr>
          <w:rStyle w:val="EndnoteReference"/>
          <w:kern w:val="32"/>
        </w:rPr>
        <w:endnoteReference w:id="8"/>
      </w:r>
    </w:p>
    <w:p w14:paraId="31A5EDAA" w14:textId="77777777" w:rsidR="004521D0" w:rsidRPr="002F3966" w:rsidRDefault="004B5D1B" w:rsidP="008E1F98">
      <w:pPr>
        <w:numPr>
          <w:ilvl w:val="2"/>
          <w:numId w:val="13"/>
        </w:numPr>
        <w:spacing w:after="0" w:line="276" w:lineRule="auto"/>
        <w:rPr>
          <w:color w:val="000000"/>
        </w:rPr>
      </w:pPr>
      <w:r>
        <w:rPr>
          <w:color w:val="000000"/>
        </w:rPr>
        <w:t>Progress reports: The investigator must furnish all reports to the sponsor of the drug who is responsible for collecting and evaluating the results obtained.</w:t>
      </w:r>
    </w:p>
    <w:p w14:paraId="459B64BB" w14:textId="77777777" w:rsidR="004521D0" w:rsidRPr="002F3966" w:rsidRDefault="004B5D1B" w:rsidP="008E1F98">
      <w:pPr>
        <w:numPr>
          <w:ilvl w:val="2"/>
          <w:numId w:val="13"/>
        </w:numPr>
        <w:spacing w:after="0" w:line="276" w:lineRule="auto"/>
        <w:rPr>
          <w:color w:val="000000"/>
        </w:rPr>
      </w:pPr>
      <w:r>
        <w:rPr>
          <w:color w:val="000000"/>
        </w:rPr>
        <w:t>Safety reports: An investigator must promptly report to the sponsor any adverse effect that may reasonably be regarded as caused by, or probably caused by, the drug. If the adverse effect is alarming, the investigator must report the adverse effect immediately.</w:t>
      </w:r>
    </w:p>
    <w:p w14:paraId="757428D5" w14:textId="77777777" w:rsidR="004521D0" w:rsidRPr="002F3966" w:rsidRDefault="004B5D1B" w:rsidP="008E1F98">
      <w:pPr>
        <w:numPr>
          <w:ilvl w:val="2"/>
          <w:numId w:val="13"/>
        </w:numPr>
        <w:spacing w:after="0" w:line="276" w:lineRule="auto"/>
        <w:rPr>
          <w:color w:val="000000"/>
        </w:rPr>
      </w:pPr>
      <w:r>
        <w:rPr>
          <w:color w:val="000000"/>
        </w:rPr>
        <w:t>Final report: An investigator must provide the sponsor with an adequate report shortly after completion of the investigator's participation in the investigation.</w:t>
      </w:r>
    </w:p>
    <w:p w14:paraId="044F577D" w14:textId="77777777" w:rsidR="004521D0" w:rsidRPr="002F3966" w:rsidRDefault="004B5D1B" w:rsidP="008E1F98">
      <w:pPr>
        <w:numPr>
          <w:ilvl w:val="2"/>
          <w:numId w:val="13"/>
        </w:numPr>
        <w:spacing w:after="0" w:line="276" w:lineRule="auto"/>
        <w:rPr>
          <w:color w:val="000000"/>
        </w:rPr>
      </w:pPr>
      <w:r>
        <w:rPr>
          <w:color w:val="000000"/>
        </w:rPr>
        <w:t>Financial disclosure reports:</w:t>
      </w:r>
    </w:p>
    <w:p w14:paraId="72DBFD4C" w14:textId="77777777" w:rsidR="004521D0" w:rsidRPr="002F3966" w:rsidRDefault="004B5D1B" w:rsidP="008E1F98">
      <w:pPr>
        <w:numPr>
          <w:ilvl w:val="3"/>
          <w:numId w:val="13"/>
        </w:numPr>
        <w:spacing w:after="0" w:line="276" w:lineRule="auto"/>
        <w:rPr>
          <w:color w:val="000000"/>
        </w:rPr>
      </w:pPr>
      <w:r>
        <w:rPr>
          <w:color w:val="000000"/>
        </w:rPr>
        <w:t>The clinical investigator must provide the sponsor with sufficient accurate financial information to allow an applicant to submit complete and accurate certification or disclosure statements as required under 21 CFR §54.</w:t>
      </w:r>
    </w:p>
    <w:p w14:paraId="7C9130DC" w14:textId="77777777" w:rsidR="004521D0" w:rsidRPr="002F3966" w:rsidRDefault="004B5D1B" w:rsidP="008E1F98">
      <w:pPr>
        <w:numPr>
          <w:ilvl w:val="3"/>
          <w:numId w:val="13"/>
        </w:numPr>
        <w:spacing w:after="0" w:line="276" w:lineRule="auto"/>
        <w:rPr>
          <w:color w:val="000000"/>
        </w:rPr>
      </w:pPr>
      <w:r>
        <w:rPr>
          <w:color w:val="000000"/>
        </w:rPr>
        <w:t>The clinical investigator must promptly update this information if any relevant changes occur during the course of the investigation and for 1 year following the completion of the study.</w:t>
      </w:r>
    </w:p>
    <w:p w14:paraId="690C699F" w14:textId="77777777" w:rsidR="004521D0" w:rsidRPr="002F3966" w:rsidRDefault="004B5D1B" w:rsidP="008E1F98">
      <w:pPr>
        <w:numPr>
          <w:ilvl w:val="1"/>
          <w:numId w:val="13"/>
        </w:numPr>
        <w:spacing w:after="0" w:line="276" w:lineRule="auto"/>
        <w:rPr>
          <w:color w:val="000000"/>
        </w:rPr>
      </w:pPr>
      <w:r>
        <w:rPr>
          <w:color w:val="000000"/>
        </w:rPr>
        <w:t>Follow FDA requirements for assurance of IRB review</w:t>
      </w:r>
      <w:r>
        <w:rPr>
          <w:rStyle w:val="EndnoteReference"/>
          <w:kern w:val="32"/>
        </w:rPr>
        <w:endnoteReference w:id="9"/>
      </w:r>
    </w:p>
    <w:p w14:paraId="1C3CE2CA" w14:textId="77777777" w:rsidR="004521D0" w:rsidRPr="002F3966" w:rsidRDefault="004B5D1B" w:rsidP="008E1F98">
      <w:pPr>
        <w:numPr>
          <w:ilvl w:val="2"/>
          <w:numId w:val="13"/>
        </w:numPr>
        <w:spacing w:after="0" w:line="276" w:lineRule="auto"/>
        <w:rPr>
          <w:color w:val="000000"/>
        </w:rPr>
      </w:pPr>
      <w:r>
        <w:rPr>
          <w:color w:val="000000"/>
        </w:rPr>
        <w:t>An investigator must assure that an IRB that complies with the requirements set forth in 21 CFR §56 will be responsible for the initial and continuing review and approval of the proposed clinical study.</w:t>
      </w:r>
    </w:p>
    <w:p w14:paraId="66D513AE" w14:textId="77777777" w:rsidR="004521D0" w:rsidRPr="002F3966" w:rsidRDefault="004B5D1B" w:rsidP="008E1F98">
      <w:pPr>
        <w:numPr>
          <w:ilvl w:val="2"/>
          <w:numId w:val="13"/>
        </w:numPr>
        <w:spacing w:after="0" w:line="276" w:lineRule="auto"/>
        <w:rPr>
          <w:color w:val="000000"/>
        </w:rPr>
      </w:pPr>
      <w:r>
        <w:rPr>
          <w:color w:val="000000"/>
        </w:rPr>
        <w:t>The investigator must also assure that he or she will promptly report to the IRB all changes in the research activity and all unanticipated problems involving risk to human subjects or others, and that he or she will not make any changes in the research without IRB approval, except where necessary to eliminate apparent immediate hazards to human subjects.</w:t>
      </w:r>
    </w:p>
    <w:p w14:paraId="1760F22D" w14:textId="77777777" w:rsidR="004521D0" w:rsidRPr="002F3966" w:rsidRDefault="004B5D1B" w:rsidP="008E1F98">
      <w:pPr>
        <w:numPr>
          <w:ilvl w:val="1"/>
          <w:numId w:val="13"/>
        </w:numPr>
        <w:spacing w:after="0" w:line="276" w:lineRule="auto"/>
        <w:rPr>
          <w:color w:val="000000"/>
        </w:rPr>
      </w:pPr>
      <w:r>
        <w:rPr>
          <w:color w:val="000000"/>
        </w:rPr>
        <w:t>Follow FDA requirements for inspection of investigator's records and reports</w:t>
      </w:r>
      <w:r>
        <w:rPr>
          <w:rStyle w:val="EndnoteReference"/>
          <w:kern w:val="32"/>
        </w:rPr>
        <w:endnoteReference w:id="10"/>
      </w:r>
    </w:p>
    <w:p w14:paraId="7D375467" w14:textId="77777777" w:rsidR="004521D0" w:rsidRPr="002F3966" w:rsidRDefault="004B5D1B" w:rsidP="008E1F98">
      <w:pPr>
        <w:numPr>
          <w:ilvl w:val="2"/>
          <w:numId w:val="13"/>
        </w:numPr>
        <w:spacing w:after="0" w:line="276" w:lineRule="auto"/>
        <w:rPr>
          <w:color w:val="000000"/>
        </w:rPr>
      </w:pPr>
      <w:r>
        <w:rPr>
          <w:color w:val="000000"/>
        </w:rPr>
        <w:lastRenderedPageBreak/>
        <w:t>An investigator must upon request from any properly authorized officer or employee of FDA, at reasonable times, permit such officer or employee to have access to, and copy and verify any records or reports made by the investigator pursuant to 312.62.</w:t>
      </w:r>
    </w:p>
    <w:p w14:paraId="4EADEC20" w14:textId="77777777" w:rsidR="004521D0" w:rsidRPr="002F3966" w:rsidRDefault="004B5D1B" w:rsidP="008E1F98">
      <w:pPr>
        <w:numPr>
          <w:ilvl w:val="2"/>
          <w:numId w:val="13"/>
        </w:numPr>
        <w:spacing w:after="0" w:line="276" w:lineRule="auto"/>
        <w:rPr>
          <w:color w:val="000000"/>
        </w:rPr>
      </w:pPr>
      <w:r>
        <w:rPr>
          <w:color w:val="000000"/>
        </w:rPr>
        <w:t>The investigator is not required to divulge subject names unless the records of particular individuals require a more detailed study of the cases, or unless there is reason to believe that the records do not represent actual case studies, or do not represent actual results obtained.</w:t>
      </w:r>
    </w:p>
    <w:p w14:paraId="01487972" w14:textId="77777777" w:rsidR="004521D0" w:rsidRPr="002F3966" w:rsidRDefault="004B5D1B" w:rsidP="008E1F98">
      <w:pPr>
        <w:numPr>
          <w:ilvl w:val="1"/>
          <w:numId w:val="13"/>
        </w:numPr>
        <w:spacing w:after="0" w:line="276" w:lineRule="auto"/>
        <w:rPr>
          <w:color w:val="000000"/>
        </w:rPr>
      </w:pPr>
      <w:r>
        <w:rPr>
          <w:color w:val="000000"/>
        </w:rPr>
        <w:t>Follow FDA requirements for handling of controlled substances</w:t>
      </w:r>
      <w:r>
        <w:rPr>
          <w:rStyle w:val="EndnoteReference"/>
          <w:kern w:val="32"/>
        </w:rPr>
        <w:endnoteReference w:id="11"/>
      </w:r>
    </w:p>
    <w:p w14:paraId="5467BA84" w14:textId="77777777" w:rsidR="004521D0" w:rsidRPr="002F3966" w:rsidRDefault="004B5D1B" w:rsidP="008E1F98">
      <w:pPr>
        <w:numPr>
          <w:ilvl w:val="2"/>
          <w:numId w:val="13"/>
        </w:numPr>
        <w:spacing w:after="0" w:line="276" w:lineRule="auto"/>
        <w:rPr>
          <w:color w:val="000000"/>
        </w:rPr>
      </w:pPr>
      <w:r>
        <w:rPr>
          <w:color w:val="000000"/>
        </w:rPr>
        <w:t>If the investigational drug is subject to the Controlled Substances Act, the investigator must take adequate precautions, including storage of the investigational drug in a securely locked, substantially constructed cabinet, or other securely locked, substantially constructed enclosure, access to which is limited, to prevent theft or diversion of the substance into illegal channels of distribution.</w:t>
      </w:r>
    </w:p>
    <w:p w14:paraId="2A6B4B53" w14:textId="77777777" w:rsidR="004521D0" w:rsidRPr="002F3966" w:rsidRDefault="004B5D1B" w:rsidP="008E1F98">
      <w:pPr>
        <w:numPr>
          <w:ilvl w:val="0"/>
          <w:numId w:val="13"/>
        </w:numPr>
        <w:spacing w:after="0" w:line="276" w:lineRule="auto"/>
        <w:rPr>
          <w:color w:val="000000"/>
        </w:rPr>
      </w:pPr>
      <w:r>
        <w:rPr>
          <w:color w:val="000000"/>
        </w:rPr>
        <w:t>For FDA-regulated research involving investigational devices:</w:t>
      </w:r>
    </w:p>
    <w:p w14:paraId="71356745" w14:textId="77777777" w:rsidR="004521D0" w:rsidRPr="002F3966" w:rsidRDefault="004B5D1B" w:rsidP="008E1F98">
      <w:pPr>
        <w:numPr>
          <w:ilvl w:val="1"/>
          <w:numId w:val="13"/>
        </w:numPr>
        <w:spacing w:after="0" w:line="276" w:lineRule="auto"/>
        <w:rPr>
          <w:color w:val="000000"/>
        </w:rPr>
      </w:pPr>
      <w:r>
        <w:rPr>
          <w:color w:val="000000"/>
        </w:rPr>
        <w:t>General responsibilities of investigators.</w:t>
      </w:r>
      <w:r>
        <w:rPr>
          <w:rStyle w:val="EndnoteReference"/>
          <w:kern w:val="32"/>
        </w:rPr>
        <w:endnoteReference w:id="12"/>
      </w:r>
    </w:p>
    <w:p w14:paraId="28C7C425" w14:textId="77777777" w:rsidR="000F1796" w:rsidRPr="002F3966" w:rsidRDefault="004B5D1B" w:rsidP="008E1F98">
      <w:pPr>
        <w:numPr>
          <w:ilvl w:val="2"/>
          <w:numId w:val="13"/>
        </w:numPr>
        <w:spacing w:after="0" w:line="276" w:lineRule="auto"/>
        <w:rPr>
          <w:color w:val="000000"/>
        </w:rPr>
      </w:pPr>
      <w:r>
        <w:rPr>
          <w:color w:val="000000"/>
        </w:rPr>
        <w:t>An investigator is responsible for ensuring that an investigation is conducted according to the signed agreement, the investigational plan and applicable FDA regulations, for protecting the rights, safety, and welfare of subjects under the investigator's care, and for the control of devices under investigation. An investigator also is responsible for ensuring that informed consent is obtained in accordance with 21 CFR §50.</w:t>
      </w:r>
    </w:p>
    <w:p w14:paraId="12BC7F82" w14:textId="77777777" w:rsidR="002D279C" w:rsidRPr="002F3966" w:rsidRDefault="00BA7747" w:rsidP="008E1F98">
      <w:pPr>
        <w:pStyle w:val="ListParagraph"/>
        <w:numPr>
          <w:ilvl w:val="1"/>
          <w:numId w:val="13"/>
        </w:numPr>
        <w:rPr>
          <w:color w:val="000000"/>
        </w:rPr>
      </w:pPr>
      <w:r>
        <w:rPr>
          <w:color w:val="000000"/>
        </w:rPr>
        <w:t>Definitions</w:t>
      </w:r>
    </w:p>
    <w:p w14:paraId="64745D50" w14:textId="77777777" w:rsidR="00A27C61" w:rsidRPr="002F3966" w:rsidRDefault="00A27C61" w:rsidP="008E1F98">
      <w:pPr>
        <w:pStyle w:val="ListParagraph"/>
        <w:numPr>
          <w:ilvl w:val="2"/>
          <w:numId w:val="13"/>
        </w:numPr>
        <w:rPr>
          <w:color w:val="000000"/>
        </w:rPr>
      </w:pPr>
      <w:r>
        <w:rPr>
          <w:color w:val="000000"/>
        </w:rPr>
        <w:t xml:space="preserve">Device: Also: medical device. An instrument, apparatus, implement, machine, contrivance, implant, in vitro reagent or other similar or related article, including any component, part, or accessory that is: </w:t>
      </w:r>
    </w:p>
    <w:p w14:paraId="5F2CC404" w14:textId="77777777" w:rsidR="003D4042" w:rsidRPr="002F3966" w:rsidRDefault="00A27C61" w:rsidP="008E1F98">
      <w:pPr>
        <w:pStyle w:val="ListParagraph"/>
        <w:numPr>
          <w:ilvl w:val="0"/>
          <w:numId w:val="31"/>
        </w:numPr>
        <w:rPr>
          <w:color w:val="000000"/>
        </w:rPr>
      </w:pPr>
      <w:r>
        <w:rPr>
          <w:color w:val="000000"/>
        </w:rPr>
        <w:t xml:space="preserve">Recognized in the National Formulary, United States Pharmacopoeia (or any supplement to these); </w:t>
      </w:r>
    </w:p>
    <w:p w14:paraId="5368B441" w14:textId="77777777" w:rsidR="00C41FE9" w:rsidRPr="002F3966" w:rsidRDefault="003A3DDF" w:rsidP="008E1F98">
      <w:pPr>
        <w:pStyle w:val="ListParagraph"/>
        <w:numPr>
          <w:ilvl w:val="0"/>
          <w:numId w:val="31"/>
        </w:numPr>
        <w:rPr>
          <w:color w:val="000000"/>
        </w:rPr>
      </w:pPr>
      <w:r>
        <w:rPr>
          <w:color w:val="000000"/>
        </w:rPr>
        <w:t xml:space="preserve">Intended for use in the diagnosis of disease or other conditions or in the cure, mitigation, treatment, or prevention of disease; or </w:t>
      </w:r>
    </w:p>
    <w:p w14:paraId="72D8038B" w14:textId="77777777" w:rsidR="00A27C61" w:rsidRPr="002F3966" w:rsidRDefault="00A27C61" w:rsidP="008E1F98">
      <w:pPr>
        <w:pStyle w:val="ListParagraph"/>
        <w:numPr>
          <w:ilvl w:val="0"/>
          <w:numId w:val="31"/>
        </w:numPr>
        <w:rPr>
          <w:color w:val="000000"/>
        </w:rPr>
      </w:pPr>
      <w:r>
        <w:rPr>
          <w:color w:val="000000"/>
        </w:rPr>
        <w:t>Intended to affect the structure or any function of the body, and does not achieve its primary intended purposes through chemical action within or on the body and is not dependent upon being metabolized to achieve its primary intended purposes.</w:t>
      </w:r>
    </w:p>
    <w:p w14:paraId="640CD4D8" w14:textId="77777777" w:rsidR="00554C34" w:rsidRPr="002F3966" w:rsidRDefault="00554C34" w:rsidP="008E1F98">
      <w:pPr>
        <w:pStyle w:val="ListParagraph"/>
        <w:numPr>
          <w:ilvl w:val="2"/>
          <w:numId w:val="13"/>
        </w:numPr>
        <w:rPr>
          <w:color w:val="000000"/>
        </w:rPr>
      </w:pPr>
      <w:r>
        <w:rPr>
          <w:color w:val="404443" w:themeColor="text1"/>
        </w:rPr>
        <w:t xml:space="preserve">Custom Device: A device that necessarily deviates from devices generally available or from an applicable performance standard or pre-market approval requirement to comply with the order of an individual physician or dentist and that is: </w:t>
      </w:r>
    </w:p>
    <w:p w14:paraId="5B4E4B4B" w14:textId="77777777" w:rsidR="00FA50C6" w:rsidRPr="002F3966" w:rsidRDefault="00554C34" w:rsidP="008E1F98">
      <w:pPr>
        <w:pStyle w:val="ListParagraph"/>
        <w:numPr>
          <w:ilvl w:val="0"/>
          <w:numId w:val="30"/>
        </w:numPr>
        <w:rPr>
          <w:color w:val="000000"/>
        </w:rPr>
      </w:pPr>
      <w:r>
        <w:rPr>
          <w:color w:val="404443" w:themeColor="text1"/>
        </w:rPr>
        <w:t>Not generally available or generally used by other physicians or dentists;</w:t>
      </w:r>
    </w:p>
    <w:p w14:paraId="65AB5A81" w14:textId="77777777" w:rsidR="00B768AC" w:rsidRPr="002F3966" w:rsidRDefault="00554C34" w:rsidP="008E1F98">
      <w:pPr>
        <w:pStyle w:val="ListParagraph"/>
        <w:numPr>
          <w:ilvl w:val="0"/>
          <w:numId w:val="30"/>
        </w:numPr>
        <w:rPr>
          <w:color w:val="000000"/>
        </w:rPr>
      </w:pPr>
      <w:r>
        <w:rPr>
          <w:color w:val="000000"/>
        </w:rPr>
        <w:t>Not generally available in finished form for purchase or for dispensing upon prescription;</w:t>
      </w:r>
    </w:p>
    <w:p w14:paraId="79BBF408" w14:textId="77777777" w:rsidR="0016720C" w:rsidRPr="002F3966" w:rsidRDefault="00554C34" w:rsidP="008E1F98">
      <w:pPr>
        <w:pStyle w:val="ListParagraph"/>
        <w:numPr>
          <w:ilvl w:val="0"/>
          <w:numId w:val="30"/>
        </w:numPr>
        <w:rPr>
          <w:color w:val="000000"/>
        </w:rPr>
      </w:pPr>
      <w:r>
        <w:rPr>
          <w:color w:val="000000"/>
        </w:rPr>
        <w:lastRenderedPageBreak/>
        <w:t xml:space="preserve">Not offered for commercial distribution through labeling or advertising; and </w:t>
      </w:r>
    </w:p>
    <w:p w14:paraId="3A8DC9B2" w14:textId="77777777" w:rsidR="006456F4" w:rsidRPr="002F3966" w:rsidRDefault="00554C34" w:rsidP="008E1F98">
      <w:pPr>
        <w:pStyle w:val="ListParagraph"/>
        <w:numPr>
          <w:ilvl w:val="0"/>
          <w:numId w:val="30"/>
        </w:numPr>
        <w:rPr>
          <w:color w:val="000000"/>
        </w:rPr>
      </w:pPr>
      <w:r>
        <w:rPr>
          <w:color w:val="404443" w:themeColor="text1"/>
        </w:rPr>
        <w:t>Intended for use by an individual patient named in the order of a physician or dentist and is to be made in a specific form for that patient or is intended to meet the special needs of the physician or dentist in the course of professional practice.</w:t>
      </w:r>
    </w:p>
    <w:p w14:paraId="6C7F95FE" w14:textId="77777777" w:rsidR="002D279C" w:rsidRPr="002F3966" w:rsidRDefault="00273C8A" w:rsidP="008E1F98">
      <w:pPr>
        <w:pStyle w:val="ListParagraph"/>
        <w:numPr>
          <w:ilvl w:val="2"/>
          <w:numId w:val="13"/>
        </w:numPr>
        <w:rPr>
          <w:color w:val="000000"/>
        </w:rPr>
      </w:pPr>
      <w:r>
        <w:rPr>
          <w:color w:val="000000"/>
        </w:rPr>
        <w:t>Humanitarian Device Exemption (HDE): An application that permits the marketing of a humanitarian use device.</w:t>
      </w:r>
    </w:p>
    <w:p w14:paraId="75AA136D" w14:textId="77777777" w:rsidR="00367342" w:rsidRPr="002F3966" w:rsidRDefault="00D36CDB" w:rsidP="008E1F98">
      <w:pPr>
        <w:pStyle w:val="ListParagraph"/>
        <w:numPr>
          <w:ilvl w:val="2"/>
          <w:numId w:val="13"/>
        </w:numPr>
        <w:rPr>
          <w:color w:val="000000"/>
        </w:rPr>
      </w:pPr>
      <w:r>
        <w:rPr>
          <w:color w:val="000000"/>
        </w:rPr>
        <w:t>Humanitarian Use Device (HUD): A device that is intended to benefit patients in the treatment and diagnosis of diseases or conditions that affect (or are manifested in) fewer than 8,000 individuals in the US per year.</w:t>
      </w:r>
    </w:p>
    <w:p w14:paraId="18B83B01" w14:textId="77777777" w:rsidR="00BC7E0D" w:rsidRPr="002F3966" w:rsidRDefault="0098452F" w:rsidP="008E1F98">
      <w:pPr>
        <w:pStyle w:val="ListParagraph"/>
        <w:numPr>
          <w:ilvl w:val="2"/>
          <w:numId w:val="13"/>
        </w:numPr>
        <w:rPr>
          <w:color w:val="000000"/>
        </w:rPr>
      </w:pPr>
      <w:r>
        <w:rPr>
          <w:color w:val="000000"/>
        </w:rPr>
        <w:t>Unapproved Medical Device: A device used for a purpose or condition for which the device would require but does not have premarket approval, premarket notification (510(k)), or an approved investigational device exemption (IDE) from FDA.</w:t>
      </w:r>
    </w:p>
    <w:p w14:paraId="6EBC5952" w14:textId="77777777" w:rsidR="004521D0" w:rsidRPr="002F3966" w:rsidRDefault="004B5D1B" w:rsidP="008E1F98">
      <w:pPr>
        <w:numPr>
          <w:ilvl w:val="1"/>
          <w:numId w:val="13"/>
        </w:numPr>
        <w:spacing w:after="0" w:line="276" w:lineRule="auto"/>
        <w:rPr>
          <w:color w:val="000000"/>
        </w:rPr>
      </w:pPr>
      <w:r>
        <w:rPr>
          <w:color w:val="000000"/>
        </w:rPr>
        <w:t>Specific responsibilities of investigators</w:t>
      </w:r>
      <w:r>
        <w:rPr>
          <w:rStyle w:val="EndnoteReference"/>
          <w:kern w:val="32"/>
        </w:rPr>
        <w:endnoteReference w:id="13"/>
      </w:r>
    </w:p>
    <w:p w14:paraId="4ABB9553" w14:textId="77777777" w:rsidR="004521D0" w:rsidRPr="002F3966" w:rsidRDefault="004B5D1B" w:rsidP="008E1F98">
      <w:pPr>
        <w:numPr>
          <w:ilvl w:val="2"/>
          <w:numId w:val="13"/>
        </w:numPr>
        <w:spacing w:after="0" w:line="276" w:lineRule="auto"/>
        <w:rPr>
          <w:color w:val="000000"/>
        </w:rPr>
      </w:pPr>
      <w:r>
        <w:rPr>
          <w:color w:val="000000"/>
        </w:rPr>
        <w:t>Awaiting approval: An investigator may determine whether potential subjects would be interested in participating in an investigation but must not request the written informed consent of any subject to participate and must not allow any subject to participate before obtaining IRB and FDA approval.</w:t>
      </w:r>
    </w:p>
    <w:p w14:paraId="195C78C8" w14:textId="77777777" w:rsidR="004521D0" w:rsidRPr="002F3966" w:rsidRDefault="004B5D1B" w:rsidP="008E1F98">
      <w:pPr>
        <w:numPr>
          <w:ilvl w:val="2"/>
          <w:numId w:val="13"/>
        </w:numPr>
        <w:spacing w:after="0" w:line="276" w:lineRule="auto"/>
        <w:rPr>
          <w:color w:val="000000"/>
        </w:rPr>
      </w:pPr>
      <w:r>
        <w:rPr>
          <w:color w:val="000000"/>
        </w:rPr>
        <w:t>Compliance: An investigator must conduct an investigation in accordance with the signed agreement with the sponsor, the investigational plan, and other applicable FDA regulations, and any conditions of approval imposed by an IRB or FDA.</w:t>
      </w:r>
    </w:p>
    <w:p w14:paraId="0B924C27" w14:textId="77777777" w:rsidR="004521D0" w:rsidRPr="002F3966" w:rsidRDefault="004B5D1B" w:rsidP="008E1F98">
      <w:pPr>
        <w:numPr>
          <w:ilvl w:val="2"/>
          <w:numId w:val="13"/>
        </w:numPr>
        <w:spacing w:after="0" w:line="276" w:lineRule="auto"/>
        <w:rPr>
          <w:color w:val="000000"/>
        </w:rPr>
      </w:pPr>
      <w:r>
        <w:rPr>
          <w:color w:val="000000"/>
        </w:rPr>
        <w:t>Supervising device use: An investigator must permit an investigational device to be used only with subjects under the investigator's supervision. An investigator must not supply an investigational device to any person not authorized to receive it.</w:t>
      </w:r>
    </w:p>
    <w:p w14:paraId="06803030" w14:textId="77777777" w:rsidR="004521D0" w:rsidRPr="002F3966" w:rsidRDefault="004B5D1B" w:rsidP="008E1F98">
      <w:pPr>
        <w:numPr>
          <w:ilvl w:val="2"/>
          <w:numId w:val="13"/>
        </w:numPr>
        <w:spacing w:after="0" w:line="276" w:lineRule="auto"/>
        <w:rPr>
          <w:color w:val="000000"/>
        </w:rPr>
      </w:pPr>
      <w:r>
        <w:rPr>
          <w:color w:val="000000"/>
        </w:rPr>
        <w:t>Financial disclosure:</w:t>
      </w:r>
    </w:p>
    <w:p w14:paraId="7EC567DE" w14:textId="77777777" w:rsidR="004521D0" w:rsidRPr="002F3966" w:rsidRDefault="004B5D1B" w:rsidP="008E1F98">
      <w:pPr>
        <w:numPr>
          <w:ilvl w:val="3"/>
          <w:numId w:val="13"/>
        </w:numPr>
        <w:spacing w:after="0" w:line="276" w:lineRule="auto"/>
        <w:rPr>
          <w:color w:val="000000"/>
        </w:rPr>
      </w:pPr>
      <w:r>
        <w:rPr>
          <w:color w:val="000000"/>
        </w:rPr>
        <w:t>A clinical investigator must disclose to the sponsor sufficient accurate financial information to allow the applicant to submit complete and accurate certification or disclosure statements required under 21 CFR §54.</w:t>
      </w:r>
    </w:p>
    <w:p w14:paraId="762EA5F5" w14:textId="77777777" w:rsidR="004521D0" w:rsidRPr="002F3966" w:rsidRDefault="004B5D1B" w:rsidP="008E1F98">
      <w:pPr>
        <w:numPr>
          <w:ilvl w:val="3"/>
          <w:numId w:val="13"/>
        </w:numPr>
        <w:spacing w:after="0" w:line="276" w:lineRule="auto"/>
        <w:rPr>
          <w:color w:val="000000"/>
        </w:rPr>
      </w:pPr>
      <w:r>
        <w:rPr>
          <w:color w:val="000000"/>
        </w:rPr>
        <w:t>The investigator must promptly update this information if any relevant changes occur during the course of the investigation and for 1 year following completion of the study.</w:t>
      </w:r>
    </w:p>
    <w:p w14:paraId="76A1A103" w14:textId="77777777" w:rsidR="004521D0" w:rsidRPr="002F3966" w:rsidRDefault="004B5D1B" w:rsidP="008E1F98">
      <w:pPr>
        <w:numPr>
          <w:ilvl w:val="2"/>
          <w:numId w:val="13"/>
        </w:numPr>
        <w:spacing w:after="0" w:line="276" w:lineRule="auto"/>
        <w:rPr>
          <w:color w:val="000000"/>
        </w:rPr>
      </w:pPr>
      <w:r>
        <w:rPr>
          <w:color w:val="000000"/>
        </w:rPr>
        <w:t>Disposing of device: Upon completion or termination of a clinical investigation or the investigator's part of an investigation, or at the sponsor's request, an investigator must return to the sponsor any remaining supply of the device or otherwise dispose of the device as the sponsor directs.</w:t>
      </w:r>
    </w:p>
    <w:p w14:paraId="31AAD76B" w14:textId="77777777" w:rsidR="004521D0" w:rsidRPr="002F3966" w:rsidRDefault="004B5D1B" w:rsidP="008E1F98">
      <w:pPr>
        <w:numPr>
          <w:ilvl w:val="1"/>
          <w:numId w:val="13"/>
        </w:numPr>
        <w:spacing w:after="0" w:line="276" w:lineRule="auto"/>
        <w:rPr>
          <w:color w:val="000000"/>
        </w:rPr>
      </w:pPr>
      <w:r>
        <w:rPr>
          <w:color w:val="000000"/>
        </w:rPr>
        <w:lastRenderedPageBreak/>
        <w:t>Maintain the following accurate, complete, and current records relating to the investigator's participation in an investigation:</w:t>
      </w:r>
      <w:r>
        <w:rPr>
          <w:rStyle w:val="EndnoteReference"/>
          <w:kern w:val="32"/>
        </w:rPr>
        <w:endnoteReference w:id="14"/>
      </w:r>
    </w:p>
    <w:p w14:paraId="0216E9EF" w14:textId="77777777" w:rsidR="004521D0" w:rsidRPr="002F3966" w:rsidRDefault="004B5D1B" w:rsidP="008E1F98">
      <w:pPr>
        <w:numPr>
          <w:ilvl w:val="2"/>
          <w:numId w:val="13"/>
        </w:numPr>
        <w:spacing w:after="0" w:line="276" w:lineRule="auto"/>
        <w:rPr>
          <w:color w:val="000000"/>
        </w:rPr>
      </w:pPr>
      <w:r>
        <w:rPr>
          <w:color w:val="000000"/>
        </w:rPr>
        <w:t>All correspondence with another investigator, an IRB, the sponsor, a monitor, or FDA, including required reports.</w:t>
      </w:r>
    </w:p>
    <w:p w14:paraId="441922EE" w14:textId="77777777" w:rsidR="004521D0" w:rsidRPr="002F3966" w:rsidRDefault="004B5D1B" w:rsidP="008E1F98">
      <w:pPr>
        <w:numPr>
          <w:ilvl w:val="2"/>
          <w:numId w:val="13"/>
        </w:numPr>
        <w:spacing w:after="0" w:line="276" w:lineRule="auto"/>
        <w:rPr>
          <w:color w:val="000000"/>
        </w:rPr>
      </w:pPr>
      <w:r>
        <w:rPr>
          <w:color w:val="000000"/>
        </w:rPr>
        <w:t>Records of receipt, use or disposition of a device that relate to:</w:t>
      </w:r>
    </w:p>
    <w:p w14:paraId="135DEBA5" w14:textId="77777777" w:rsidR="004521D0" w:rsidRPr="002F3966" w:rsidRDefault="004B5D1B" w:rsidP="008E1F98">
      <w:pPr>
        <w:numPr>
          <w:ilvl w:val="3"/>
          <w:numId w:val="13"/>
        </w:numPr>
        <w:spacing w:after="0" w:line="276" w:lineRule="auto"/>
        <w:rPr>
          <w:color w:val="000000"/>
        </w:rPr>
      </w:pPr>
      <w:r>
        <w:rPr>
          <w:color w:val="000000"/>
        </w:rPr>
        <w:t>The type and quantity of the device, the dates of its receipt, and the batch number or code mark.</w:t>
      </w:r>
    </w:p>
    <w:p w14:paraId="1525C1A1" w14:textId="77777777" w:rsidR="004521D0" w:rsidRPr="002F3966" w:rsidRDefault="004B5D1B" w:rsidP="008E1F98">
      <w:pPr>
        <w:numPr>
          <w:ilvl w:val="3"/>
          <w:numId w:val="13"/>
        </w:numPr>
        <w:spacing w:after="0" w:line="276" w:lineRule="auto"/>
        <w:rPr>
          <w:color w:val="000000"/>
        </w:rPr>
      </w:pPr>
      <w:r>
        <w:rPr>
          <w:color w:val="000000"/>
        </w:rPr>
        <w:t>The names of all persons who received, used, or disposed of each device.</w:t>
      </w:r>
    </w:p>
    <w:p w14:paraId="6482092A" w14:textId="77777777" w:rsidR="004521D0" w:rsidRPr="002F3966" w:rsidRDefault="004B5D1B" w:rsidP="008E1F98">
      <w:pPr>
        <w:numPr>
          <w:ilvl w:val="3"/>
          <w:numId w:val="13"/>
        </w:numPr>
        <w:spacing w:after="0" w:line="276" w:lineRule="auto"/>
        <w:rPr>
          <w:color w:val="000000"/>
        </w:rPr>
      </w:pPr>
      <w:r>
        <w:rPr>
          <w:color w:val="000000"/>
        </w:rPr>
        <w:t>Why and how many units of the device have been returned to the sponsor, repaired, or otherwise disposed of.</w:t>
      </w:r>
    </w:p>
    <w:p w14:paraId="6BA67BA1" w14:textId="77777777" w:rsidR="004521D0" w:rsidRPr="002F3966" w:rsidRDefault="004B5D1B" w:rsidP="008E1F98">
      <w:pPr>
        <w:numPr>
          <w:ilvl w:val="2"/>
          <w:numId w:val="13"/>
        </w:numPr>
        <w:spacing w:after="0" w:line="276" w:lineRule="auto"/>
        <w:rPr>
          <w:color w:val="000000"/>
        </w:rPr>
      </w:pPr>
      <w:r>
        <w:rPr>
          <w:color w:val="000000"/>
        </w:rPr>
        <w:t>Records of each subject's case history and exposure to the device. Case histories include the case report forms and supporting data including, for example, signed and dated consent forms and medical records including, for example, progress notes of the physician, the individual's hospital charts, and the nurses' notes. Such records must include:</w:t>
      </w:r>
    </w:p>
    <w:p w14:paraId="6CE1B47D" w14:textId="77777777" w:rsidR="004521D0" w:rsidRPr="002F3966" w:rsidRDefault="004B5D1B" w:rsidP="008E1F98">
      <w:pPr>
        <w:numPr>
          <w:ilvl w:val="3"/>
          <w:numId w:val="13"/>
        </w:numPr>
        <w:spacing w:after="0" w:line="276" w:lineRule="auto"/>
        <w:rPr>
          <w:color w:val="000000"/>
        </w:rPr>
      </w:pPr>
      <w:r>
        <w:rPr>
          <w:color w:val="000000"/>
        </w:rPr>
        <w:t>Documents evidencing informed consent and, for any use of a device by the investigator without informed consent, any written concurrence of a licensed physician and a brief description of the circumstances justifying the failure to obtain informed consent.</w:t>
      </w:r>
    </w:p>
    <w:p w14:paraId="29D619EB" w14:textId="77777777" w:rsidR="004521D0" w:rsidRPr="002F3966" w:rsidRDefault="004B5D1B" w:rsidP="008E1F98">
      <w:pPr>
        <w:numPr>
          <w:ilvl w:val="3"/>
          <w:numId w:val="13"/>
        </w:numPr>
        <w:spacing w:after="0" w:line="276" w:lineRule="auto"/>
        <w:rPr>
          <w:color w:val="000000"/>
        </w:rPr>
      </w:pPr>
      <w:r>
        <w:rPr>
          <w:color w:val="000000"/>
        </w:rPr>
        <w:t>Documentation that informed consent was obtained prior to participation in the study.</w:t>
      </w:r>
    </w:p>
    <w:p w14:paraId="15AD259D" w14:textId="77777777" w:rsidR="004521D0" w:rsidRPr="002F3966" w:rsidRDefault="004B5D1B" w:rsidP="008E1F98">
      <w:pPr>
        <w:numPr>
          <w:ilvl w:val="3"/>
          <w:numId w:val="13"/>
        </w:numPr>
        <w:spacing w:after="0" w:line="276" w:lineRule="auto"/>
        <w:rPr>
          <w:color w:val="000000"/>
        </w:rPr>
      </w:pPr>
      <w:r>
        <w:rPr>
          <w:color w:val="000000"/>
        </w:rPr>
        <w:t>All relevant observations, including records concerning adverse device effects (whether anticipated or unanticipated), information and data on the condition of each subject upon entering, and during the course of, the investigation, including information about relevant previous medical history and the results of all diagnostic tests.</w:t>
      </w:r>
    </w:p>
    <w:p w14:paraId="2E88B853" w14:textId="77777777" w:rsidR="004521D0" w:rsidRPr="002F3966" w:rsidRDefault="004B5D1B" w:rsidP="008E1F98">
      <w:pPr>
        <w:numPr>
          <w:ilvl w:val="3"/>
          <w:numId w:val="13"/>
        </w:numPr>
        <w:spacing w:after="0" w:line="276" w:lineRule="auto"/>
        <w:rPr>
          <w:color w:val="000000"/>
        </w:rPr>
      </w:pPr>
      <w:r>
        <w:rPr>
          <w:color w:val="000000"/>
        </w:rPr>
        <w:t>A record of the exposure of each subject to the investigational device, including the date and time of each use, and any other therapy.</w:t>
      </w:r>
    </w:p>
    <w:p w14:paraId="4E141C25" w14:textId="77777777" w:rsidR="004521D0" w:rsidRPr="002F3966" w:rsidRDefault="004B5D1B" w:rsidP="008E1F98">
      <w:pPr>
        <w:numPr>
          <w:ilvl w:val="2"/>
          <w:numId w:val="13"/>
        </w:numPr>
        <w:spacing w:after="0" w:line="276" w:lineRule="auto"/>
        <w:rPr>
          <w:color w:val="000000"/>
        </w:rPr>
      </w:pPr>
      <w:r>
        <w:rPr>
          <w:color w:val="000000"/>
        </w:rPr>
        <w:t>The protocol, with documents showing the dates of and reasons for each deviation from the protocol.</w:t>
      </w:r>
    </w:p>
    <w:p w14:paraId="7488A908" w14:textId="77777777" w:rsidR="004521D0" w:rsidRPr="002F3966" w:rsidRDefault="004B5D1B" w:rsidP="008E1F98">
      <w:pPr>
        <w:numPr>
          <w:ilvl w:val="2"/>
          <w:numId w:val="13"/>
        </w:numPr>
        <w:spacing w:after="0" w:line="276" w:lineRule="auto"/>
        <w:rPr>
          <w:color w:val="000000"/>
        </w:rPr>
      </w:pPr>
      <w:r>
        <w:rPr>
          <w:color w:val="000000"/>
        </w:rPr>
        <w:t>Any other records that FDA requires to be maintained by regulation or by specific requirement for a category of investigations or a particular investigation.</w:t>
      </w:r>
    </w:p>
    <w:p w14:paraId="39C97FD5" w14:textId="77777777" w:rsidR="004521D0" w:rsidRPr="002F3966" w:rsidRDefault="004B5D1B" w:rsidP="008E1F98">
      <w:pPr>
        <w:numPr>
          <w:ilvl w:val="1"/>
          <w:numId w:val="13"/>
        </w:numPr>
        <w:spacing w:after="0" w:line="276" w:lineRule="auto"/>
        <w:rPr>
          <w:color w:val="000000"/>
        </w:rPr>
      </w:pPr>
      <w:r>
        <w:rPr>
          <w:color w:val="000000"/>
        </w:rPr>
        <w:t>Inspections</w:t>
      </w:r>
      <w:r>
        <w:rPr>
          <w:rStyle w:val="EndnoteReference"/>
          <w:kern w:val="32"/>
        </w:rPr>
        <w:endnoteReference w:id="15"/>
      </w:r>
    </w:p>
    <w:p w14:paraId="0239E5D3" w14:textId="77777777" w:rsidR="004521D0" w:rsidRPr="002F3966" w:rsidRDefault="004B5D1B" w:rsidP="008E1F98">
      <w:pPr>
        <w:numPr>
          <w:ilvl w:val="2"/>
          <w:numId w:val="13"/>
        </w:numPr>
        <w:spacing w:after="0" w:line="276" w:lineRule="auto"/>
        <w:rPr>
          <w:color w:val="000000"/>
        </w:rPr>
      </w:pPr>
      <w:r>
        <w:rPr>
          <w:color w:val="000000"/>
        </w:rPr>
        <w:t>Entry and inspection: A sponsor or an investigator who has authority to grant access must permit authorized FDA employees, at reasonable times and in a reasonable manner, to enter and inspect any establishment where devices are held (including any establishment where devices are manufactured, processed, packed, installed, used, or implanted or where records of results from use of devices are kept).</w:t>
      </w:r>
    </w:p>
    <w:p w14:paraId="02328228" w14:textId="77777777" w:rsidR="004521D0" w:rsidRPr="002F3966" w:rsidRDefault="004B5D1B" w:rsidP="008E1F98">
      <w:pPr>
        <w:numPr>
          <w:ilvl w:val="2"/>
          <w:numId w:val="13"/>
        </w:numPr>
        <w:spacing w:after="0" w:line="276" w:lineRule="auto"/>
        <w:rPr>
          <w:color w:val="000000"/>
        </w:rPr>
      </w:pPr>
      <w:r>
        <w:rPr>
          <w:color w:val="000000"/>
        </w:rPr>
        <w:lastRenderedPageBreak/>
        <w:t>Records inspection: A sponsor, IRB, or investigator, or any other person acting on behalf of such a person with respect to an investigation, must permit authorized FDA employees, at reasonable times and in a reasonable manner, to inspect and copy all records relating to an investigation.</w:t>
      </w:r>
    </w:p>
    <w:p w14:paraId="66B7FC57" w14:textId="77777777" w:rsidR="004521D0" w:rsidRPr="002F3966" w:rsidRDefault="004B5D1B" w:rsidP="008E1F98">
      <w:pPr>
        <w:numPr>
          <w:ilvl w:val="2"/>
          <w:numId w:val="13"/>
        </w:numPr>
        <w:spacing w:after="0" w:line="276" w:lineRule="auto"/>
        <w:rPr>
          <w:color w:val="000000"/>
        </w:rPr>
      </w:pPr>
      <w:r>
        <w:rPr>
          <w:color w:val="000000"/>
        </w:rPr>
        <w:t>Records identifying subjects: An investigator must permit authorized FDA employees to inspect and copy records that identify subjects, upon notice that FDA has reason to suspect that adequate informed consent was not obtained, or that reports required to be submitted by the investigator to the sponsor or IRB have not been submitted or are incomplete, inaccurate, false, or misleading.</w:t>
      </w:r>
    </w:p>
    <w:p w14:paraId="3B589534" w14:textId="77777777" w:rsidR="004521D0" w:rsidRPr="002F3966" w:rsidRDefault="004B5D1B" w:rsidP="008E1F98">
      <w:pPr>
        <w:numPr>
          <w:ilvl w:val="1"/>
          <w:numId w:val="13"/>
        </w:numPr>
        <w:spacing w:after="0" w:line="276" w:lineRule="auto"/>
        <w:rPr>
          <w:color w:val="000000"/>
        </w:rPr>
      </w:pPr>
      <w:r>
        <w:rPr>
          <w:color w:val="000000"/>
        </w:rPr>
        <w:t>Prepare and submit the following complete, accurate, and timely reports</w:t>
      </w:r>
      <w:r>
        <w:rPr>
          <w:rStyle w:val="EndnoteReference"/>
          <w:kern w:val="32"/>
        </w:rPr>
        <w:endnoteReference w:id="16"/>
      </w:r>
    </w:p>
    <w:p w14:paraId="5060CAE6" w14:textId="77777777" w:rsidR="004521D0" w:rsidRPr="002F3966" w:rsidRDefault="004B5D1B" w:rsidP="008E1F98">
      <w:pPr>
        <w:numPr>
          <w:ilvl w:val="2"/>
          <w:numId w:val="13"/>
        </w:numPr>
        <w:spacing w:after="0" w:line="276" w:lineRule="auto"/>
        <w:rPr>
          <w:color w:val="000000"/>
        </w:rPr>
      </w:pPr>
      <w:r>
        <w:rPr>
          <w:color w:val="000000"/>
        </w:rPr>
        <w:t>Unanticipated adverse device effects. An investigator must submit to the sponsor and to the reviewing IRB a report of any unanticipated adverse device effect occurring during an investigation as soon as possible, but in no event later than 10 working days after the investigator first learns of the effect.</w:t>
      </w:r>
    </w:p>
    <w:p w14:paraId="2C54BFAF" w14:textId="77777777" w:rsidR="004521D0" w:rsidRPr="002F3966" w:rsidRDefault="004B5D1B" w:rsidP="008E1F98">
      <w:pPr>
        <w:numPr>
          <w:ilvl w:val="2"/>
          <w:numId w:val="13"/>
        </w:numPr>
        <w:spacing w:after="0" w:line="276" w:lineRule="auto"/>
        <w:rPr>
          <w:color w:val="000000"/>
        </w:rPr>
      </w:pPr>
      <w:r>
        <w:rPr>
          <w:color w:val="000000"/>
        </w:rPr>
        <w:t>Withdrawal of IRB approval. An investigator must report to the sponsor, within 5 working days, a withdrawal of approval by the reviewing IRB of the investigator's part of an investigation.</w:t>
      </w:r>
    </w:p>
    <w:p w14:paraId="4A4A6627" w14:textId="77777777" w:rsidR="004521D0" w:rsidRPr="002F3966" w:rsidRDefault="004B5D1B" w:rsidP="008E1F98">
      <w:pPr>
        <w:numPr>
          <w:ilvl w:val="2"/>
          <w:numId w:val="13"/>
        </w:numPr>
        <w:spacing w:after="0" w:line="276" w:lineRule="auto"/>
        <w:rPr>
          <w:color w:val="000000"/>
        </w:rPr>
      </w:pPr>
      <w:r>
        <w:rPr>
          <w:color w:val="000000"/>
        </w:rPr>
        <w:t>Progress. An investigator must submit progress reports on the investigation to the sponsor, the monitor, and the reviewing IRB at regular intervals, but in no event less often than yearly.</w:t>
      </w:r>
    </w:p>
    <w:p w14:paraId="233DCE3F" w14:textId="77777777" w:rsidR="004521D0" w:rsidRPr="002F3966" w:rsidRDefault="004B5D1B" w:rsidP="008E1F98">
      <w:pPr>
        <w:numPr>
          <w:ilvl w:val="2"/>
          <w:numId w:val="13"/>
        </w:numPr>
        <w:spacing w:after="0" w:line="276" w:lineRule="auto"/>
        <w:rPr>
          <w:color w:val="000000"/>
        </w:rPr>
      </w:pPr>
      <w:r>
        <w:rPr>
          <w:color w:val="000000"/>
        </w:rPr>
        <w:t>Deviations from the investigational plan:</w:t>
      </w:r>
    </w:p>
    <w:p w14:paraId="151E05D4" w14:textId="77777777" w:rsidR="004521D0" w:rsidRPr="002F3966" w:rsidRDefault="004B5D1B" w:rsidP="008E1F98">
      <w:pPr>
        <w:numPr>
          <w:ilvl w:val="3"/>
          <w:numId w:val="13"/>
        </w:numPr>
        <w:spacing w:after="0" w:line="276" w:lineRule="auto"/>
        <w:rPr>
          <w:color w:val="000000"/>
        </w:rPr>
      </w:pPr>
      <w:r>
        <w:rPr>
          <w:color w:val="000000"/>
        </w:rPr>
        <w:t>An investigator must notify the sponsor and the reviewing IRB of any deviation from the investigational plan to protect the life or physical well-being of a subject in an emergency.</w:t>
      </w:r>
    </w:p>
    <w:p w14:paraId="3BD25FAC" w14:textId="77777777" w:rsidR="004521D0" w:rsidRPr="002F3966" w:rsidRDefault="004B5D1B" w:rsidP="008E1F98">
      <w:pPr>
        <w:numPr>
          <w:ilvl w:val="3"/>
          <w:numId w:val="13"/>
        </w:numPr>
        <w:spacing w:after="0" w:line="276" w:lineRule="auto"/>
        <w:rPr>
          <w:color w:val="000000"/>
        </w:rPr>
      </w:pPr>
      <w:r>
        <w:rPr>
          <w:color w:val="000000"/>
        </w:rPr>
        <w:t>Such notice must be given as soon as possible, but in no event later than 5 working days after the emergency occurred.</w:t>
      </w:r>
    </w:p>
    <w:p w14:paraId="10AD122B" w14:textId="77777777" w:rsidR="004521D0" w:rsidRPr="002F3966" w:rsidRDefault="004B5D1B" w:rsidP="008E1F98">
      <w:pPr>
        <w:numPr>
          <w:ilvl w:val="3"/>
          <w:numId w:val="13"/>
        </w:numPr>
        <w:spacing w:after="0" w:line="276" w:lineRule="auto"/>
        <w:rPr>
          <w:color w:val="000000"/>
        </w:rPr>
      </w:pPr>
      <w:r>
        <w:rPr>
          <w:color w:val="000000"/>
        </w:rPr>
        <w:t>Except in such an emergency, prior approval by the sponsor is required for changes in or deviations from a plan, and if these changes or deviations may affect the scientific soundness of the plan or the rights, safety, or welfare of human subjects, FDA and IRB also is required.</w:t>
      </w:r>
    </w:p>
    <w:p w14:paraId="5A9EB670" w14:textId="77777777" w:rsidR="004521D0" w:rsidRPr="002F3966" w:rsidRDefault="004B5D1B" w:rsidP="008E1F98">
      <w:pPr>
        <w:numPr>
          <w:ilvl w:val="2"/>
          <w:numId w:val="13"/>
        </w:numPr>
        <w:spacing w:after="0" w:line="276" w:lineRule="auto"/>
        <w:rPr>
          <w:color w:val="000000"/>
        </w:rPr>
      </w:pPr>
      <w:r>
        <w:rPr>
          <w:color w:val="000000"/>
        </w:rPr>
        <w:t>Informed consent. If an investigator uses a device without obtaining informed consent, the investigator must report such use to the sponsor and the reviewing IRB within 5 working days after the use occurs.</w:t>
      </w:r>
    </w:p>
    <w:p w14:paraId="15C9D715" w14:textId="77777777" w:rsidR="004521D0" w:rsidRPr="002F3966" w:rsidRDefault="004B5D1B" w:rsidP="008E1F98">
      <w:pPr>
        <w:numPr>
          <w:ilvl w:val="2"/>
          <w:numId w:val="13"/>
        </w:numPr>
        <w:spacing w:after="0" w:line="276" w:lineRule="auto"/>
        <w:rPr>
          <w:color w:val="000000"/>
        </w:rPr>
      </w:pPr>
      <w:r>
        <w:rPr>
          <w:color w:val="000000"/>
        </w:rPr>
        <w:t>Final report. An investigator must, within 3 months after termination or completion of the investigation or the investigator's part of the investigation, submit a final report to the sponsor and the reviewing IRB.</w:t>
      </w:r>
    </w:p>
    <w:p w14:paraId="7B4D05C9" w14:textId="77777777" w:rsidR="004521D0" w:rsidRPr="002F3966" w:rsidRDefault="004B5D1B" w:rsidP="008E1F98">
      <w:pPr>
        <w:numPr>
          <w:ilvl w:val="2"/>
          <w:numId w:val="13"/>
        </w:numPr>
        <w:spacing w:after="0" w:line="276" w:lineRule="auto"/>
        <w:rPr>
          <w:color w:val="000000"/>
        </w:rPr>
      </w:pPr>
      <w:r>
        <w:rPr>
          <w:color w:val="000000"/>
        </w:rPr>
        <w:t>Other. An investigator must, upon request by a reviewing IRB or FDA, provide accurate, complete, and current information about any aspect of the investigation.</w:t>
      </w:r>
      <w:r>
        <w:rPr>
          <w:color w:val="000000"/>
        </w:rPr>
        <w:br w:type="page"/>
      </w:r>
    </w:p>
    <w:p w14:paraId="54E3E2F5" w14:textId="77777777" w:rsidR="004521D0" w:rsidRPr="00AD33B7" w:rsidRDefault="41B41E75">
      <w:pPr>
        <w:pStyle w:val="Heading2AppendixA"/>
        <w:pageBreakBefore w:val="0"/>
        <w:spacing w:line="276" w:lineRule="auto"/>
      </w:pPr>
      <w:bookmarkStart w:id="162" w:name="_Toc122038777"/>
      <w:bookmarkStart w:id="163" w:name="_Toc212142186"/>
      <w:bookmarkStart w:id="164" w:name="_Toc225507726"/>
      <w:r>
        <w:lastRenderedPageBreak/>
        <w:t>Additional Requirements for Clinical Trials (ICH-GCP)</w:t>
      </w:r>
      <w:bookmarkEnd w:id="162"/>
      <w:bookmarkEnd w:id="163"/>
      <w:bookmarkEnd w:id="164"/>
    </w:p>
    <w:p w14:paraId="4586C36B" w14:textId="77777777" w:rsidR="00E77B8D" w:rsidRPr="002F3966" w:rsidRDefault="00345255" w:rsidP="00E77B8D">
      <w:pPr>
        <w:ind w:left="360"/>
      </w:pPr>
      <w:r>
        <w:rPr>
          <w:u w:val="single"/>
        </w:rPr>
        <w:t>International Conference on Harmonisation of Technical Requirements for the Registration of Pharmaceuticals for Human Use (ICH): Also: International Conference on Harmonisation:</w:t>
      </w:r>
      <w:r>
        <w:t xml:space="preserve"> Voluntary, international initiative to increase coordination of the requirements for developing and marketing new drugs. The ICH includes representatives from the pharmaceutical industry and regulatory authorities from the United States, Japan, Canada, Switzerland, and the European Union.</w:t>
      </w:r>
    </w:p>
    <w:p w14:paraId="5E03C7B8" w14:textId="77777777" w:rsidR="008375C6" w:rsidRPr="002F3966" w:rsidRDefault="00465E89" w:rsidP="005403AF">
      <w:pPr>
        <w:tabs>
          <w:tab w:val="num" w:pos="3456"/>
        </w:tabs>
        <w:ind w:left="360"/>
      </w:pPr>
      <w:r>
        <w:rPr>
          <w:u w:val="single"/>
        </w:rPr>
        <w:t>Good Clinical Practice (GCP)</w:t>
      </w:r>
      <w:r>
        <w:t>: A standard established by the ICH for the design, conduct, performance, monitoring, auditing, recording, analyses, and reporting of clinical trials that provides assurance that the data and reported results are credible and accurate, and that the rights, integrity, and confidentiality of trial subjects are protected. Note: In the United States, the FDA has adopted GCP as recommendations/guidance.</w:t>
      </w:r>
    </w:p>
    <w:p w14:paraId="5211D49B" w14:textId="77777777" w:rsidR="00B6489F" w:rsidRPr="002F3966" w:rsidRDefault="00793190" w:rsidP="005403AF">
      <w:pPr>
        <w:tabs>
          <w:tab w:val="num" w:pos="3456"/>
        </w:tabs>
        <w:ind w:left="360"/>
      </w:pPr>
      <w:r>
        <w:rPr>
          <w:u w:val="single"/>
        </w:rPr>
        <w:t>Clinical Trial/Study:</w:t>
      </w:r>
      <w:r>
        <w:t xml:space="preserve"> Any investigation in human subjects intended to: discover or verify clinical, pharmacological, and/or other pharmacodynamic effects of an investigational product; identify any adverse reactions to an investigational product; and/or study absorption, distribution, metabolism, and excretion of an investigational product to determine its safety and/or efficacy. </w:t>
      </w:r>
    </w:p>
    <w:p w14:paraId="11161454" w14:textId="77777777" w:rsidR="004521D0" w:rsidRPr="002F3966" w:rsidRDefault="004B5D1B" w:rsidP="008E1F98">
      <w:pPr>
        <w:pStyle w:val="ListParagraph"/>
        <w:numPr>
          <w:ilvl w:val="0"/>
          <w:numId w:val="15"/>
        </w:numPr>
      </w:pPr>
      <w:r>
        <w:t>Investigator's Qualifications and Agreements</w:t>
      </w:r>
    </w:p>
    <w:p w14:paraId="1716A213" w14:textId="77777777" w:rsidR="004521D0" w:rsidRPr="002F3966" w:rsidRDefault="004B5D1B" w:rsidP="008E1F98">
      <w:pPr>
        <w:pStyle w:val="ListParagraph"/>
        <w:numPr>
          <w:ilvl w:val="1"/>
          <w:numId w:val="15"/>
        </w:numPr>
      </w:pPr>
      <w:r>
        <w:t>The clinical trial should be conducted in accordance with the ethical principles that have their origin in the Declaration of Helsinki and that are consistent with good clinical practice and the applicable regulatory requirements.</w:t>
      </w:r>
    </w:p>
    <w:p w14:paraId="5A547849" w14:textId="77777777" w:rsidR="004521D0" w:rsidRPr="002F3966" w:rsidRDefault="004B5D1B" w:rsidP="008E1F98">
      <w:pPr>
        <w:pStyle w:val="ListParagraph"/>
        <w:numPr>
          <w:ilvl w:val="1"/>
          <w:numId w:val="15"/>
        </w:numPr>
      </w:pPr>
      <w:r>
        <w:t>The investigator should be qualified by education, training, and experience to assume responsibility for the proper conduct of the trial, should meet all the qualifications specified by the applicable regulatory requirements, and should provide evidence of such qualifications through up-to-date curriculum vitae and/or other relevant documentation requested by the sponsor, the IRB, and/or the regulatory authorities.</w:t>
      </w:r>
    </w:p>
    <w:p w14:paraId="75976A00" w14:textId="77777777" w:rsidR="004521D0" w:rsidRPr="002F3966" w:rsidRDefault="004B5D1B" w:rsidP="008E1F98">
      <w:pPr>
        <w:pStyle w:val="ListParagraph"/>
        <w:numPr>
          <w:ilvl w:val="1"/>
          <w:numId w:val="15"/>
        </w:numPr>
      </w:pPr>
      <w:r>
        <w:t>The investigator should be thoroughly familiar with the appropriate use of the investigational product, as described in the protocol, in the current Investigator's Brochure, in the product information and in other information sources provided by the sponsor.</w:t>
      </w:r>
    </w:p>
    <w:p w14:paraId="4CCA67E7" w14:textId="77777777" w:rsidR="004521D0" w:rsidRPr="002F3966" w:rsidRDefault="004B5D1B" w:rsidP="008E1F98">
      <w:pPr>
        <w:pStyle w:val="ListParagraph"/>
        <w:numPr>
          <w:ilvl w:val="1"/>
          <w:numId w:val="15"/>
        </w:numPr>
      </w:pPr>
      <w:r>
        <w:t>The investigator should be aware of, and should comply with, GCP and the applicable regulatory requirements.</w:t>
      </w:r>
    </w:p>
    <w:p w14:paraId="0C00E3F6" w14:textId="77777777" w:rsidR="004521D0" w:rsidRPr="002F3966" w:rsidRDefault="004B5D1B" w:rsidP="008E1F98">
      <w:pPr>
        <w:pStyle w:val="ListParagraph"/>
        <w:numPr>
          <w:ilvl w:val="1"/>
          <w:numId w:val="15"/>
        </w:numPr>
      </w:pPr>
      <w:r>
        <w:t>The investigator/institution should permit monitoring and auditing by the sponsor, and inspection by the appropriate regulatory authorities.</w:t>
      </w:r>
    </w:p>
    <w:p w14:paraId="1935FC15" w14:textId="77777777" w:rsidR="004521D0" w:rsidRPr="002F3966" w:rsidRDefault="004B5D1B" w:rsidP="008E1F98">
      <w:pPr>
        <w:pStyle w:val="ListParagraph"/>
        <w:numPr>
          <w:ilvl w:val="1"/>
          <w:numId w:val="15"/>
        </w:numPr>
      </w:pPr>
      <w:r>
        <w:t>The investigator should maintain a list of appropriately qualified persons to whom the investigator has delegated significant trial-related duties.</w:t>
      </w:r>
    </w:p>
    <w:p w14:paraId="47146F72" w14:textId="77777777" w:rsidR="004521D0" w:rsidRPr="002F3966" w:rsidRDefault="004B5D1B" w:rsidP="008E1F98">
      <w:pPr>
        <w:pStyle w:val="ListParagraph"/>
        <w:numPr>
          <w:ilvl w:val="0"/>
          <w:numId w:val="15"/>
        </w:numPr>
      </w:pPr>
      <w:r>
        <w:t>Adequate Resources</w:t>
      </w:r>
    </w:p>
    <w:p w14:paraId="76043CA1" w14:textId="77777777" w:rsidR="004521D0" w:rsidRPr="002F3966" w:rsidRDefault="004B5D1B" w:rsidP="008E1F98">
      <w:pPr>
        <w:pStyle w:val="ListParagraph"/>
        <w:numPr>
          <w:ilvl w:val="1"/>
          <w:numId w:val="15"/>
        </w:numPr>
      </w:pPr>
      <w:r>
        <w:t>The investigator should be able to demonstrate (e.g., based on retrospective data) a potential for recruiting the required number of suitable subjects within the agreed recruitment period.</w:t>
      </w:r>
    </w:p>
    <w:p w14:paraId="1B96F2FD" w14:textId="77777777" w:rsidR="004521D0" w:rsidRPr="002F3966" w:rsidRDefault="004B5D1B" w:rsidP="008E1F98">
      <w:pPr>
        <w:pStyle w:val="ListParagraph"/>
        <w:numPr>
          <w:ilvl w:val="1"/>
          <w:numId w:val="15"/>
        </w:numPr>
      </w:pPr>
      <w:r>
        <w:t>The investigator should have sufficient time to properly conduct and complete the trial within the agreed trial period.</w:t>
      </w:r>
    </w:p>
    <w:p w14:paraId="08F48930" w14:textId="77777777" w:rsidR="004521D0" w:rsidRPr="002F3966" w:rsidRDefault="004B5D1B" w:rsidP="008E1F98">
      <w:pPr>
        <w:pStyle w:val="ListParagraph"/>
        <w:numPr>
          <w:ilvl w:val="1"/>
          <w:numId w:val="15"/>
        </w:numPr>
      </w:pPr>
      <w:r>
        <w:lastRenderedPageBreak/>
        <w:t>The investigator should have available an adequate number of qualified staff and adequate facilities for the foreseen duration of the trial to conduct the trial properly and safely.</w:t>
      </w:r>
    </w:p>
    <w:p w14:paraId="283FAF89" w14:textId="77777777" w:rsidR="004521D0" w:rsidRPr="002F3966" w:rsidRDefault="004B5D1B" w:rsidP="008E1F98">
      <w:pPr>
        <w:pStyle w:val="ListParagraph"/>
        <w:numPr>
          <w:ilvl w:val="1"/>
          <w:numId w:val="15"/>
        </w:numPr>
      </w:pPr>
      <w:r>
        <w:t>The investigator should ensure that all persons assisting with the trial are adequately informed about the protocol, the investigational product, and their trial-related duties and functions.</w:t>
      </w:r>
    </w:p>
    <w:p w14:paraId="2E3DDDFB" w14:textId="77777777" w:rsidR="004521D0" w:rsidRPr="002F3966" w:rsidRDefault="004B5D1B" w:rsidP="008E1F98">
      <w:pPr>
        <w:pStyle w:val="ListParagraph"/>
        <w:numPr>
          <w:ilvl w:val="0"/>
          <w:numId w:val="15"/>
        </w:numPr>
      </w:pPr>
      <w:r>
        <w:t>Medical Care of Trial Subjects</w:t>
      </w:r>
    </w:p>
    <w:p w14:paraId="1679BD67" w14:textId="77777777" w:rsidR="004521D0" w:rsidRPr="002F3966" w:rsidRDefault="004B5D1B" w:rsidP="008E1F98">
      <w:pPr>
        <w:pStyle w:val="ListParagraph"/>
        <w:numPr>
          <w:ilvl w:val="1"/>
          <w:numId w:val="15"/>
        </w:numPr>
      </w:pPr>
      <w:r>
        <w:t>A qualified physician (or dentist, when appropriate), who is an investigator or a sub-investigator for the trial, should be responsible for all trial-related medical (or dental) decisions.</w:t>
      </w:r>
    </w:p>
    <w:p w14:paraId="5763DC60" w14:textId="77777777" w:rsidR="004521D0" w:rsidRPr="002F3966" w:rsidRDefault="004B5D1B" w:rsidP="008E1F98">
      <w:pPr>
        <w:pStyle w:val="ListParagraph"/>
        <w:numPr>
          <w:ilvl w:val="1"/>
          <w:numId w:val="15"/>
        </w:numPr>
      </w:pPr>
      <w:r>
        <w:t>During and following a subject's participation in a trial, the investigator/institution should ensure that adequate medical care is provided to a subject for any adverse events, including clinically significant laboratory values, related to the trial. The investigator/institution should inform a subject when medical care is needed for intercurrent illnesses of which the investigator becomes aware.</w:t>
      </w:r>
    </w:p>
    <w:p w14:paraId="2D0A456A" w14:textId="77777777" w:rsidR="004521D0" w:rsidRPr="002F3966" w:rsidRDefault="004B5D1B" w:rsidP="008E1F98">
      <w:pPr>
        <w:pStyle w:val="ListParagraph"/>
        <w:numPr>
          <w:ilvl w:val="1"/>
          <w:numId w:val="15"/>
        </w:numPr>
      </w:pPr>
      <w:r>
        <w:t>It is recommended that the investigator inform the subject's primary physician about the subject's participation in the trial if the subject has a primary physician and if the subject agrees to the primary physician being informed.</w:t>
      </w:r>
    </w:p>
    <w:p w14:paraId="7E15B49E" w14:textId="77777777" w:rsidR="004521D0" w:rsidRPr="002F3966" w:rsidRDefault="004B5D1B" w:rsidP="008E1F98">
      <w:pPr>
        <w:pStyle w:val="ListParagraph"/>
        <w:numPr>
          <w:ilvl w:val="1"/>
          <w:numId w:val="15"/>
        </w:numPr>
      </w:pPr>
      <w:r>
        <w:t>Although a subject is not obliged to give his/her reasons for withdrawing prematurely from a trial, the investigator should make a reasonable effort to ascertain the reasons, while fully respecting the subject's rights.</w:t>
      </w:r>
    </w:p>
    <w:p w14:paraId="21BF0BAF" w14:textId="77777777" w:rsidR="004521D0" w:rsidRPr="002F3966" w:rsidRDefault="004B5D1B" w:rsidP="008E1F98">
      <w:pPr>
        <w:pStyle w:val="ListParagraph"/>
        <w:numPr>
          <w:ilvl w:val="0"/>
          <w:numId w:val="15"/>
        </w:numPr>
      </w:pPr>
      <w:r>
        <w:t>Communication with IRB</w:t>
      </w:r>
    </w:p>
    <w:p w14:paraId="392FFCD6" w14:textId="77777777" w:rsidR="004521D0" w:rsidRPr="002F3966" w:rsidRDefault="004B5D1B" w:rsidP="008E1F98">
      <w:pPr>
        <w:pStyle w:val="ListParagraph"/>
        <w:numPr>
          <w:ilvl w:val="1"/>
          <w:numId w:val="15"/>
        </w:numPr>
      </w:pPr>
      <w:r>
        <w:t>Before initiating a trial, the investigator/institution should have written and dated approval opinion from the IRB for the trial protocol, written informed consent form, consent form updates, subject recruitment procedures (e.g., advertisements), and any other written information to be provided to subjects.</w:t>
      </w:r>
    </w:p>
    <w:p w14:paraId="0103636E" w14:textId="77777777" w:rsidR="004521D0" w:rsidRPr="002F3966" w:rsidRDefault="004B5D1B" w:rsidP="008E1F98">
      <w:pPr>
        <w:pStyle w:val="ListParagraph"/>
        <w:numPr>
          <w:ilvl w:val="1"/>
          <w:numId w:val="15"/>
        </w:numPr>
      </w:pPr>
      <w:r>
        <w:t xml:space="preserve">As part of the investigator's/institution’s written application to the IRB, the investigator/institution should provide the IRB with a current copy of the Investigator's Brochure. If the Investigator's Brochure is updated during the trial, the investigator/institution should maintain a copy of the updated Investigator’s Brochure.  If the revised brochure adversely affects the risk/benefit ratio of the study, or affects the rights, safety, or welfare of participants or others, or affects the integrity of the study, investigator/institution should supply a copy of the updated brochure to the IRB. </w:t>
      </w:r>
    </w:p>
    <w:p w14:paraId="7A0A2396" w14:textId="77777777" w:rsidR="004521D0" w:rsidRPr="002F3966" w:rsidRDefault="004B5D1B" w:rsidP="008E1F98">
      <w:pPr>
        <w:pStyle w:val="ListParagraph"/>
        <w:numPr>
          <w:ilvl w:val="1"/>
          <w:numId w:val="15"/>
        </w:numPr>
      </w:pPr>
      <w:r>
        <w:t>During the trial the investigator/institution should provide to the IRB all documents subject to review.</w:t>
      </w:r>
    </w:p>
    <w:p w14:paraId="72042D46" w14:textId="77777777" w:rsidR="004521D0" w:rsidRPr="002F3966" w:rsidRDefault="004B5D1B" w:rsidP="008E1F98">
      <w:pPr>
        <w:pStyle w:val="ListParagraph"/>
        <w:numPr>
          <w:ilvl w:val="0"/>
          <w:numId w:val="15"/>
        </w:numPr>
      </w:pPr>
      <w:r>
        <w:t>Compliance with Protocol</w:t>
      </w:r>
    </w:p>
    <w:p w14:paraId="2549BE82" w14:textId="77777777" w:rsidR="004521D0" w:rsidRPr="002F3966" w:rsidRDefault="004B5D1B" w:rsidP="008E1F98">
      <w:pPr>
        <w:pStyle w:val="ListParagraph"/>
        <w:numPr>
          <w:ilvl w:val="1"/>
          <w:numId w:val="15"/>
        </w:numPr>
      </w:pPr>
      <w:r>
        <w:t>The investigator/institution should conduct the trial in compliance with the protocol agreed to by the sponsor and, if required, by the regulatory authorities and which was given approval opinion by the IRB. The investigator/institution and the sponsor should sign the protocol, or an alternative contract, to confirm agreement.</w:t>
      </w:r>
    </w:p>
    <w:p w14:paraId="191E403E" w14:textId="77777777" w:rsidR="004521D0" w:rsidRPr="002F3966" w:rsidRDefault="004B5D1B" w:rsidP="008E1F98">
      <w:pPr>
        <w:pStyle w:val="ListParagraph"/>
        <w:numPr>
          <w:ilvl w:val="1"/>
          <w:numId w:val="15"/>
        </w:numPr>
      </w:pPr>
      <w:r>
        <w:t xml:space="preserve">The investigator should not implement any deviation from, or changes of the protocol without agreement by the sponsor and prior review and documented approval opinion </w:t>
      </w:r>
      <w:r>
        <w:lastRenderedPageBreak/>
        <w:t>from the IRB of an amendment, except where necessary to eliminate an immediate hazards to trial subjects, or when the changes involves only logistical or administrative aspects of the trial (e.g., change in monitors, change of telephone numbers).</w:t>
      </w:r>
    </w:p>
    <w:p w14:paraId="38935B26" w14:textId="77777777" w:rsidR="004521D0" w:rsidRPr="002F3966" w:rsidRDefault="004B5D1B" w:rsidP="008E1F98">
      <w:pPr>
        <w:pStyle w:val="ListParagraph"/>
        <w:numPr>
          <w:ilvl w:val="1"/>
          <w:numId w:val="15"/>
        </w:numPr>
      </w:pPr>
      <w:r>
        <w:t>The investigator, or person designated by the investigator, should document and explain any deviation from the approved protocol.</w:t>
      </w:r>
    </w:p>
    <w:p w14:paraId="081C855E" w14:textId="77777777" w:rsidR="004521D0" w:rsidRPr="002F3966" w:rsidRDefault="004B5D1B" w:rsidP="008E1F98">
      <w:pPr>
        <w:pStyle w:val="ListParagraph"/>
        <w:numPr>
          <w:ilvl w:val="1"/>
          <w:numId w:val="15"/>
        </w:numPr>
      </w:pPr>
      <w:r>
        <w:t>The investigator may implement a deviation from, or a change of, the protocol to eliminate an immediate hazard to trial subjects without prior IRB approval opinion. As soon as possible, the implemented deviation or change, the reasons for it, and, if appropriate, the proposed protocol amendments should be submitted: a) to the IRB for review and approval opinion, b) to the sponsor for agreement and, if required, c) to the regulatory authorities.</w:t>
      </w:r>
    </w:p>
    <w:p w14:paraId="49352257" w14:textId="77777777" w:rsidR="004521D0" w:rsidRPr="002F3966" w:rsidRDefault="004B5D1B" w:rsidP="008E1F98">
      <w:pPr>
        <w:pStyle w:val="ListParagraph"/>
        <w:numPr>
          <w:ilvl w:val="0"/>
          <w:numId w:val="15"/>
        </w:numPr>
      </w:pPr>
      <w:r>
        <w:t>Investigational Product</w:t>
      </w:r>
    </w:p>
    <w:p w14:paraId="1673507B" w14:textId="77777777" w:rsidR="004521D0" w:rsidRPr="002F3966" w:rsidRDefault="004B5D1B" w:rsidP="008E1F98">
      <w:pPr>
        <w:pStyle w:val="ListParagraph"/>
        <w:numPr>
          <w:ilvl w:val="1"/>
          <w:numId w:val="15"/>
        </w:numPr>
      </w:pPr>
      <w:r>
        <w:t>Responsibility for investigational product accountability at the trial site rests with the investigator/institution.</w:t>
      </w:r>
    </w:p>
    <w:p w14:paraId="60E32F3C" w14:textId="77777777" w:rsidR="004521D0" w:rsidRPr="002F3966" w:rsidRDefault="004B5D1B" w:rsidP="008E1F98">
      <w:pPr>
        <w:pStyle w:val="ListParagraph"/>
        <w:numPr>
          <w:ilvl w:val="1"/>
          <w:numId w:val="15"/>
        </w:numPr>
      </w:pPr>
      <w:r>
        <w:t>Where allowed/required, the investigator/institution may/should assign some or all the investigator's/institution’s duties for investigational product accountability at the trial site to an appropriate pharmacist or another appropriate individual who is under the supervision of the investigator/institution.</w:t>
      </w:r>
    </w:p>
    <w:p w14:paraId="0698059D" w14:textId="77777777" w:rsidR="004521D0" w:rsidRPr="002F3966" w:rsidRDefault="004B5D1B" w:rsidP="008E1F98">
      <w:pPr>
        <w:pStyle w:val="ListParagraph"/>
        <w:numPr>
          <w:ilvl w:val="1"/>
          <w:numId w:val="15"/>
        </w:numPr>
      </w:pPr>
      <w:r>
        <w:t>The investigator/institution and/or a pharmacist or other appropriate individual, who is designated by the investigator/institution, should maintain records of the product's delivery to the trial site, the inventory at the site, the use by each subject, and the return to the sponsor or alternative disposition of unused product. These records should include dates, quantities, batch/serial numbers, expiration dates (if applicable), and the unique code numbers assigned to the investigational product and trial subjects. Investigators should maintain records that document adequately that the subjects were provided the doses specified by the protocol and reconcile all investigational product received from the sponsor.</w:t>
      </w:r>
    </w:p>
    <w:p w14:paraId="111C1255" w14:textId="77777777" w:rsidR="004521D0" w:rsidRPr="002F3966" w:rsidRDefault="004B5D1B" w:rsidP="008E1F98">
      <w:pPr>
        <w:pStyle w:val="ListParagraph"/>
        <w:numPr>
          <w:ilvl w:val="1"/>
          <w:numId w:val="15"/>
        </w:numPr>
      </w:pPr>
      <w:r>
        <w:t>The investigational product should be stored as specified by the sponsor and in accordance with applicable regulatory requirements.</w:t>
      </w:r>
    </w:p>
    <w:p w14:paraId="7CF8067D" w14:textId="77777777" w:rsidR="004521D0" w:rsidRPr="002F3966" w:rsidRDefault="004B5D1B" w:rsidP="008E1F98">
      <w:pPr>
        <w:pStyle w:val="ListParagraph"/>
        <w:numPr>
          <w:ilvl w:val="1"/>
          <w:numId w:val="15"/>
        </w:numPr>
      </w:pPr>
      <w:r>
        <w:t>The investigator should ensure that the investigational product is used only in accordance with the approved protocol.</w:t>
      </w:r>
    </w:p>
    <w:p w14:paraId="521DF1C7" w14:textId="77777777" w:rsidR="004521D0" w:rsidRPr="002F3966" w:rsidRDefault="004B5D1B" w:rsidP="008E1F98">
      <w:pPr>
        <w:pStyle w:val="ListParagraph"/>
        <w:numPr>
          <w:ilvl w:val="1"/>
          <w:numId w:val="15"/>
        </w:numPr>
      </w:pPr>
      <w:r>
        <w:t>The investigator, or a person designated by the investigator/institution, should explain the correct use of the investigational product to each subject and should check, at intervals appropriate for the trial, that each subject is following the instructions properly.</w:t>
      </w:r>
    </w:p>
    <w:p w14:paraId="61D14F9C" w14:textId="77777777" w:rsidR="004521D0" w:rsidRPr="002F3966" w:rsidRDefault="004B5D1B" w:rsidP="008E1F98">
      <w:pPr>
        <w:pStyle w:val="ListParagraph"/>
        <w:numPr>
          <w:ilvl w:val="1"/>
          <w:numId w:val="15"/>
        </w:numPr>
      </w:pPr>
      <w:r>
        <w:t>Randomization Procedures and Unblinding: The investigator should follow the trial's randomization procedures, if any, and should ensure that the code is broken only in accordance with the protocol. If the trial is blinded, the investigator should promptly document and explain to the sponsor any premature unblinding (e.g., accidental unblinding, unblinding due to a serious adverse event) of the investigational product.</w:t>
      </w:r>
    </w:p>
    <w:p w14:paraId="35E7F83A" w14:textId="77777777" w:rsidR="004521D0" w:rsidRPr="002F3966" w:rsidRDefault="004B5D1B" w:rsidP="008E1F98">
      <w:pPr>
        <w:pStyle w:val="ListParagraph"/>
        <w:numPr>
          <w:ilvl w:val="0"/>
          <w:numId w:val="15"/>
        </w:numPr>
      </w:pPr>
      <w:r>
        <w:t>Informed Consent of Trial Subjects</w:t>
      </w:r>
    </w:p>
    <w:p w14:paraId="1F2A99C5" w14:textId="77777777" w:rsidR="004521D0" w:rsidRPr="002F3966" w:rsidRDefault="004B5D1B" w:rsidP="008E1F98">
      <w:pPr>
        <w:pStyle w:val="ListParagraph"/>
        <w:numPr>
          <w:ilvl w:val="1"/>
          <w:numId w:val="15"/>
        </w:numPr>
      </w:pPr>
      <w:r>
        <w:lastRenderedPageBreak/>
        <w:t>In obtaining and documenting informed consent, the investigator should comply with the applicable regulatory requirements and should adhere to GCP and to the ethical principles that have their origin in the Declaration of Helsinki. Prior to the beginning of the trial, the investigator should have the IRB's written approval opinion of the written informed consent form and any other written information to be provided to subjects.</w:t>
      </w:r>
    </w:p>
    <w:p w14:paraId="4059E618" w14:textId="77777777" w:rsidR="004521D0" w:rsidRPr="002F3966" w:rsidRDefault="004B5D1B" w:rsidP="008E1F98">
      <w:pPr>
        <w:pStyle w:val="ListParagraph"/>
        <w:numPr>
          <w:ilvl w:val="1"/>
          <w:numId w:val="15"/>
        </w:numPr>
      </w:pPr>
      <w:r>
        <w:t>The written informed consent form and any other written information to be provided to subjects should be revised whenever important new information becomes available that may be relevant to the subject’s consent. Any revised written informed consent form, and written information should receive the IRB's approval opinion in advance of use. The subject or the subject’s legally acceptable representative should be informed in a timely manner if new information becomes available that may be relevant to the subject’s willingness to continue participation in the trial. The communication of this information should be documented.</w:t>
      </w:r>
    </w:p>
    <w:p w14:paraId="53DD0427" w14:textId="77777777" w:rsidR="004521D0" w:rsidRPr="002F3966" w:rsidRDefault="004B5D1B" w:rsidP="008E1F98">
      <w:pPr>
        <w:pStyle w:val="ListParagraph"/>
        <w:numPr>
          <w:ilvl w:val="1"/>
          <w:numId w:val="15"/>
        </w:numPr>
      </w:pPr>
      <w:r>
        <w:t>Neither the investigator, nor the trial staff, should coerce or unduly influence a subject to participate or to continue to participate in a trial.</w:t>
      </w:r>
    </w:p>
    <w:p w14:paraId="60F53969" w14:textId="77777777" w:rsidR="004521D0" w:rsidRPr="002F3966" w:rsidRDefault="004B5D1B" w:rsidP="008E1F98">
      <w:pPr>
        <w:pStyle w:val="ListParagraph"/>
        <w:numPr>
          <w:ilvl w:val="1"/>
          <w:numId w:val="15"/>
        </w:numPr>
      </w:pPr>
      <w:r>
        <w:t>None of the oral and written information concerning the trial, including the written informed consent form, should contain any language that causes the subject or the subject's legally acceptable representative to waive or to appear to waive any legal rights, or that releases or appears to release the investigator, the institution, the sponsor, or their agents from liability for negligence.</w:t>
      </w:r>
    </w:p>
    <w:p w14:paraId="3AA86AE7" w14:textId="77777777" w:rsidR="004521D0" w:rsidRPr="002F3966" w:rsidRDefault="004B5D1B" w:rsidP="008E1F98">
      <w:pPr>
        <w:pStyle w:val="ListParagraph"/>
        <w:numPr>
          <w:ilvl w:val="1"/>
          <w:numId w:val="15"/>
        </w:numPr>
      </w:pPr>
      <w:r>
        <w:t>The investigator, or a person designated by the investigator, should fully inform the subject or, if the subject is unable to provide informed consent, the subject's legally acceptable representative, of all pertinent aspects of the trial including the written information and the approval opinion by the IRB.</w:t>
      </w:r>
    </w:p>
    <w:p w14:paraId="6A1A0020" w14:textId="77777777" w:rsidR="004521D0" w:rsidRPr="002F3966" w:rsidRDefault="004B5D1B" w:rsidP="008E1F98">
      <w:pPr>
        <w:pStyle w:val="ListParagraph"/>
        <w:numPr>
          <w:ilvl w:val="1"/>
          <w:numId w:val="15"/>
        </w:numPr>
      </w:pPr>
      <w:r>
        <w:t>The language used in the oral and written information about the trial, including the written informed consent form, should be as non-technical as practical and should be understandable to the subject or the subject's legally acceptable representative and the impartial witness, where applicable.</w:t>
      </w:r>
    </w:p>
    <w:p w14:paraId="0283AE29" w14:textId="77777777" w:rsidR="004521D0" w:rsidRPr="002F3966" w:rsidRDefault="004B5D1B" w:rsidP="008E1F98">
      <w:pPr>
        <w:pStyle w:val="ListParagraph"/>
        <w:numPr>
          <w:ilvl w:val="1"/>
          <w:numId w:val="15"/>
        </w:numPr>
      </w:pPr>
      <w:r>
        <w:t>Before informed consent may be obtained, the investigator, or a person designated by the investigator, should provide the subject or the subject's legally acceptable representative ample time and opportunity to inquire about details of the trial and to decide whether to participate in the trial. All questions about the trial should be answered to the satisfaction of the subject or the subject's legally acceptable representative.</w:t>
      </w:r>
    </w:p>
    <w:p w14:paraId="10BD08E7" w14:textId="77777777" w:rsidR="004521D0" w:rsidRPr="002F3966" w:rsidRDefault="004B5D1B" w:rsidP="008E1F98">
      <w:pPr>
        <w:pStyle w:val="ListParagraph"/>
        <w:numPr>
          <w:ilvl w:val="1"/>
          <w:numId w:val="15"/>
        </w:numPr>
      </w:pPr>
      <w:r>
        <w:t>Prior to a subject’s participation in the trial, the written informed consent form should be signed and personally dated by the subject or by the subject's legally acceptable representative, and by the person who conducted the informed consent discussion.</w:t>
      </w:r>
    </w:p>
    <w:p w14:paraId="3F0B4DA1" w14:textId="77777777" w:rsidR="004521D0" w:rsidRPr="002F3966" w:rsidRDefault="004B5D1B" w:rsidP="008E1F98">
      <w:pPr>
        <w:pStyle w:val="ListParagraph"/>
        <w:numPr>
          <w:ilvl w:val="1"/>
          <w:numId w:val="15"/>
        </w:numPr>
      </w:pPr>
      <w:r>
        <w:t xml:space="preserve">If a subject is unable to read or if a legally acceptable representative is unable to read, an impartial witness should be present during the entire informed consent discussion. After the written informed consent form and any other written information to be provided to subjects, is read and explained to the subject or the subject’s legally acceptable representative, and after the subject or the subject’s legally acceptable </w:t>
      </w:r>
      <w:r>
        <w:lastRenderedPageBreak/>
        <w:t>representative has orally consented to the subject’s participation in the trial and, if capable of doing so, has signed and personally dated the informed consent form, the witness should sign and personally date the consent form. By signing the consent form, the witness attests that the information in the consent form and any other written information was accurately explained to, and apparently understood by, the subject or the subject's legally acceptable representative, and that informed consent was freely given by the subject or the subject’s legally acceptable representative.</w:t>
      </w:r>
    </w:p>
    <w:p w14:paraId="2FADDD73" w14:textId="77777777" w:rsidR="004521D0" w:rsidRPr="002F3966" w:rsidRDefault="004B5D1B" w:rsidP="008E1F98">
      <w:pPr>
        <w:pStyle w:val="ListParagraph"/>
        <w:numPr>
          <w:ilvl w:val="1"/>
          <w:numId w:val="15"/>
        </w:numPr>
      </w:pPr>
      <w:r>
        <w:t>Both the informed consent discussion and the written informed consent form and any other written information to be provided to subjects should include explanations of the following:</w:t>
      </w:r>
    </w:p>
    <w:p w14:paraId="3C1554F4" w14:textId="77777777" w:rsidR="004521D0" w:rsidRPr="002F3966" w:rsidRDefault="004B5D1B" w:rsidP="008E1F98">
      <w:pPr>
        <w:pStyle w:val="ListParagraph"/>
        <w:numPr>
          <w:ilvl w:val="2"/>
          <w:numId w:val="15"/>
        </w:numPr>
      </w:pPr>
      <w:r>
        <w:t>That the trial involves research.</w:t>
      </w:r>
    </w:p>
    <w:p w14:paraId="1968D5C2" w14:textId="77777777" w:rsidR="004521D0" w:rsidRPr="002F3966" w:rsidRDefault="004B5D1B" w:rsidP="008E1F98">
      <w:pPr>
        <w:pStyle w:val="ListParagraph"/>
        <w:numPr>
          <w:ilvl w:val="2"/>
          <w:numId w:val="15"/>
        </w:numPr>
      </w:pPr>
      <w:r>
        <w:t>The purpose of the trial.</w:t>
      </w:r>
    </w:p>
    <w:p w14:paraId="65DD2108" w14:textId="77777777" w:rsidR="004521D0" w:rsidRPr="002F3966" w:rsidRDefault="004B5D1B" w:rsidP="008E1F98">
      <w:pPr>
        <w:pStyle w:val="ListParagraph"/>
        <w:numPr>
          <w:ilvl w:val="2"/>
          <w:numId w:val="15"/>
        </w:numPr>
      </w:pPr>
      <w:r>
        <w:t>The trial treatments and the probability for random assignment to each treatment.</w:t>
      </w:r>
    </w:p>
    <w:p w14:paraId="6F491A87" w14:textId="77777777" w:rsidR="004521D0" w:rsidRPr="002F3966" w:rsidRDefault="004B5D1B" w:rsidP="008E1F98">
      <w:pPr>
        <w:pStyle w:val="ListParagraph"/>
        <w:numPr>
          <w:ilvl w:val="2"/>
          <w:numId w:val="15"/>
        </w:numPr>
      </w:pPr>
      <w:r>
        <w:t>The trial procedures to be followed, including all invasive procedures.</w:t>
      </w:r>
    </w:p>
    <w:p w14:paraId="628B9916" w14:textId="77777777" w:rsidR="004521D0" w:rsidRPr="002F3966" w:rsidRDefault="004B5D1B" w:rsidP="008E1F98">
      <w:pPr>
        <w:pStyle w:val="ListParagraph"/>
        <w:numPr>
          <w:ilvl w:val="2"/>
          <w:numId w:val="15"/>
        </w:numPr>
      </w:pPr>
      <w:r>
        <w:t>The subject's responsibilities.</w:t>
      </w:r>
    </w:p>
    <w:p w14:paraId="207CDE80" w14:textId="77777777" w:rsidR="004521D0" w:rsidRPr="002F3966" w:rsidRDefault="004B5D1B" w:rsidP="008E1F98">
      <w:pPr>
        <w:pStyle w:val="ListParagraph"/>
        <w:numPr>
          <w:ilvl w:val="2"/>
          <w:numId w:val="15"/>
        </w:numPr>
      </w:pPr>
      <w:r>
        <w:t>Those aspects of the trial that are experimental.</w:t>
      </w:r>
    </w:p>
    <w:p w14:paraId="7170917D" w14:textId="77777777" w:rsidR="004521D0" w:rsidRPr="002F3966" w:rsidRDefault="004B5D1B" w:rsidP="008E1F98">
      <w:pPr>
        <w:pStyle w:val="ListParagraph"/>
        <w:numPr>
          <w:ilvl w:val="2"/>
          <w:numId w:val="15"/>
        </w:numPr>
      </w:pPr>
      <w:r>
        <w:t>The reasonably foreseeable risks or inconveniences to the subject and, when applicable, to an embryo, fetus, or nursing infant.</w:t>
      </w:r>
    </w:p>
    <w:p w14:paraId="068A6312" w14:textId="77777777" w:rsidR="004521D0" w:rsidRPr="002F3966" w:rsidRDefault="004B5D1B" w:rsidP="008E1F98">
      <w:pPr>
        <w:pStyle w:val="ListParagraph"/>
        <w:numPr>
          <w:ilvl w:val="2"/>
          <w:numId w:val="15"/>
        </w:numPr>
      </w:pPr>
      <w:r>
        <w:t>The reasonably expected benefits. When there is no intended clinical benefit to the subject, the subject should be made aware of this.</w:t>
      </w:r>
    </w:p>
    <w:p w14:paraId="06076A5B" w14:textId="77777777" w:rsidR="004521D0" w:rsidRPr="002F3966" w:rsidRDefault="004B5D1B" w:rsidP="008E1F98">
      <w:pPr>
        <w:pStyle w:val="ListParagraph"/>
        <w:numPr>
          <w:ilvl w:val="2"/>
          <w:numId w:val="15"/>
        </w:numPr>
      </w:pPr>
      <w:r>
        <w:t>The alternative procedures or courses of treatment that may be available to the subject, and their important potential benefits and risks.</w:t>
      </w:r>
    </w:p>
    <w:p w14:paraId="6587DD1A" w14:textId="77777777" w:rsidR="004521D0" w:rsidRPr="002F3966" w:rsidRDefault="004B5D1B" w:rsidP="008E1F98">
      <w:pPr>
        <w:pStyle w:val="ListParagraph"/>
        <w:numPr>
          <w:ilvl w:val="2"/>
          <w:numId w:val="15"/>
        </w:numPr>
      </w:pPr>
      <w:r>
        <w:t>The compensation and/or treatment available to the subject in the event of trial related injury.</w:t>
      </w:r>
    </w:p>
    <w:p w14:paraId="283A298E" w14:textId="77777777" w:rsidR="004521D0" w:rsidRPr="002F3966" w:rsidRDefault="004B5D1B" w:rsidP="008E1F98">
      <w:pPr>
        <w:pStyle w:val="ListParagraph"/>
        <w:numPr>
          <w:ilvl w:val="2"/>
          <w:numId w:val="15"/>
        </w:numPr>
      </w:pPr>
      <w:r>
        <w:t>The anticipated prorated payment, if any, to the subject for participating in the trial.</w:t>
      </w:r>
    </w:p>
    <w:p w14:paraId="5A58F0C5" w14:textId="77777777" w:rsidR="004521D0" w:rsidRPr="002F3966" w:rsidRDefault="004B5D1B" w:rsidP="008E1F98">
      <w:pPr>
        <w:pStyle w:val="ListParagraph"/>
        <w:numPr>
          <w:ilvl w:val="2"/>
          <w:numId w:val="15"/>
        </w:numPr>
      </w:pPr>
      <w:r>
        <w:t>The anticipated expenses, if any, to the subject for participating in the trial.</w:t>
      </w:r>
    </w:p>
    <w:p w14:paraId="21199AA6" w14:textId="77777777" w:rsidR="004521D0" w:rsidRPr="002F3966" w:rsidRDefault="004B5D1B" w:rsidP="008E1F98">
      <w:pPr>
        <w:pStyle w:val="ListParagraph"/>
        <w:numPr>
          <w:ilvl w:val="2"/>
          <w:numId w:val="15"/>
        </w:numPr>
      </w:pPr>
      <w:r>
        <w:t>That the subject's participation in the trial is voluntary and that the subject may refuse to participate or withdraw from the trial, at any time, without penalty or loss of benefits to which the subject is otherwise entitled.</w:t>
      </w:r>
    </w:p>
    <w:p w14:paraId="6E4E870D" w14:textId="77777777" w:rsidR="004521D0" w:rsidRPr="002F3966" w:rsidRDefault="004B5D1B" w:rsidP="008E1F98">
      <w:pPr>
        <w:pStyle w:val="ListParagraph"/>
        <w:numPr>
          <w:ilvl w:val="2"/>
          <w:numId w:val="15"/>
        </w:numPr>
      </w:pPr>
      <w:r>
        <w:t>That the monitors, the auditors, the IRB, and the regulatory authorities will be granted direct access to the subject's original medical records for verification of clinical trial procedures and/or data, without violating the confidentiality of the subject, to the extent permitted by the applicable laws and regulations and that, by signing a written informed consent form, the subject or the subject's legally acceptable representative is authorizing such access.</w:t>
      </w:r>
    </w:p>
    <w:p w14:paraId="559FF921" w14:textId="77777777" w:rsidR="004521D0" w:rsidRPr="002F3966" w:rsidRDefault="004B5D1B" w:rsidP="008E1F98">
      <w:pPr>
        <w:pStyle w:val="ListParagraph"/>
        <w:numPr>
          <w:ilvl w:val="2"/>
          <w:numId w:val="15"/>
        </w:numPr>
      </w:pPr>
      <w:r>
        <w:t>That records identifying the subject will be kept confidential and, to the extent permitted by the applicable laws and/or regulations, will not be made publicly available. If the results of the trial are published, the subject’s identity will remain confidential.</w:t>
      </w:r>
    </w:p>
    <w:p w14:paraId="7525471E" w14:textId="77777777" w:rsidR="004521D0" w:rsidRPr="002F3966" w:rsidRDefault="004B5D1B" w:rsidP="008E1F98">
      <w:pPr>
        <w:pStyle w:val="ListParagraph"/>
        <w:numPr>
          <w:ilvl w:val="2"/>
          <w:numId w:val="15"/>
        </w:numPr>
      </w:pPr>
      <w:r>
        <w:lastRenderedPageBreak/>
        <w:t>That the subject or the subject's legally acceptable representative will be informed in a timely manner if information becomes available that may be relevant to the subject's willingness to continue participation in the trial.</w:t>
      </w:r>
    </w:p>
    <w:p w14:paraId="32264BD3" w14:textId="77777777" w:rsidR="004521D0" w:rsidRPr="002F3966" w:rsidRDefault="004B5D1B" w:rsidP="008E1F98">
      <w:pPr>
        <w:pStyle w:val="ListParagraph"/>
        <w:numPr>
          <w:ilvl w:val="2"/>
          <w:numId w:val="15"/>
        </w:numPr>
      </w:pPr>
      <w:r>
        <w:t>The persons to contact for further information regarding the trial and the rights of trial subjects, and whom to contact in the event of trial-related injury.</w:t>
      </w:r>
    </w:p>
    <w:p w14:paraId="0237B64C" w14:textId="77777777" w:rsidR="004521D0" w:rsidRPr="002F3966" w:rsidRDefault="004B5D1B" w:rsidP="008E1F98">
      <w:pPr>
        <w:pStyle w:val="ListParagraph"/>
        <w:numPr>
          <w:ilvl w:val="2"/>
          <w:numId w:val="15"/>
        </w:numPr>
      </w:pPr>
      <w:r>
        <w:t>The foreseeable circumstances and/or reasons under which the subject's participation in the trial may be terminated.</w:t>
      </w:r>
    </w:p>
    <w:p w14:paraId="2E593084" w14:textId="77777777" w:rsidR="004521D0" w:rsidRPr="002F3966" w:rsidRDefault="004B5D1B" w:rsidP="008E1F98">
      <w:pPr>
        <w:pStyle w:val="ListParagraph"/>
        <w:numPr>
          <w:ilvl w:val="2"/>
          <w:numId w:val="15"/>
        </w:numPr>
      </w:pPr>
      <w:r>
        <w:t>The expected duration of the subject's participation in the trial.</w:t>
      </w:r>
    </w:p>
    <w:p w14:paraId="2EA7068E" w14:textId="77777777" w:rsidR="004521D0" w:rsidRPr="002F3966" w:rsidRDefault="004B5D1B" w:rsidP="008E1F98">
      <w:pPr>
        <w:pStyle w:val="ListParagraph"/>
        <w:numPr>
          <w:ilvl w:val="2"/>
          <w:numId w:val="15"/>
        </w:numPr>
      </w:pPr>
      <w:r>
        <w:t>The approximate number of subjects involved in the trial.</w:t>
      </w:r>
    </w:p>
    <w:p w14:paraId="58B354D2" w14:textId="77777777" w:rsidR="004521D0" w:rsidRPr="002F3966" w:rsidRDefault="004B5D1B" w:rsidP="008E1F98">
      <w:pPr>
        <w:pStyle w:val="ListParagraph"/>
        <w:numPr>
          <w:ilvl w:val="1"/>
          <w:numId w:val="15"/>
        </w:numPr>
      </w:pPr>
      <w:r>
        <w:t>Prior to participation in the trial, the subject or the subject's legally acceptable representative should receive a copy of the signed and dated written informed consent form and any other written information provided to the subjects. During a subject’s participation in the trial, the subject or the subject’s legally acceptable representative should receive a copy of the signed and dated consent form updates and a copy of any amendments to the written information provided to subjects.</w:t>
      </w:r>
    </w:p>
    <w:p w14:paraId="72C9D0F5" w14:textId="77777777" w:rsidR="004521D0" w:rsidRPr="002F3966" w:rsidRDefault="004B5D1B" w:rsidP="008E1F98">
      <w:pPr>
        <w:pStyle w:val="ListParagraph"/>
        <w:numPr>
          <w:ilvl w:val="1"/>
          <w:numId w:val="15"/>
        </w:numPr>
      </w:pPr>
      <w:r>
        <w:t>When a clinical trial (therapeutic or non-therapeutic) includes subjects who can only be enrolled in the trial with the consent of the subject’s legally acceptable representative (e.g., minors, patients with severe dementia, or impaired decision-making capacity), the subject should be informed about the trial to the extent compatible with the subject’s understanding and, if capable, the subject should sign and personally date the written informed consent.</w:t>
      </w:r>
    </w:p>
    <w:p w14:paraId="43622A95" w14:textId="77777777" w:rsidR="004521D0" w:rsidRPr="002F3966" w:rsidRDefault="004B5D1B" w:rsidP="008E1F98">
      <w:pPr>
        <w:pStyle w:val="ListParagraph"/>
        <w:numPr>
          <w:ilvl w:val="1"/>
          <w:numId w:val="15"/>
        </w:numPr>
      </w:pPr>
      <w:r>
        <w:t>Except as described above, a non-therapeutic trial (i.e. a trial in which there is no anticipated direct clinical benefit to the subject), should be conducted in subjects who personally give consent and who sign and date the written informed consent form.</w:t>
      </w:r>
    </w:p>
    <w:p w14:paraId="28087F68" w14:textId="77777777" w:rsidR="004521D0" w:rsidRPr="002F3966" w:rsidRDefault="004B5D1B" w:rsidP="008E1F98">
      <w:pPr>
        <w:pStyle w:val="ListParagraph"/>
        <w:numPr>
          <w:ilvl w:val="1"/>
          <w:numId w:val="15"/>
        </w:numPr>
      </w:pPr>
      <w:r>
        <w:t>Non-therapeutic trials may be conducted in subjects with consent of a legally acceptable representative provided the following conditions are fulfilled: a) The objectives of the trial cannot be met by means of a trial in subjects who can give informed consent personally. b) The foreseeable risks to the subjects are low. c) The negative impact on the subject’s well-being is minimized and low. d) The trial is not prohibited by law. e) The approval opinion of the IRB is expressly sought on the inclusion of such subjects, and the written approval opinion covers this aspect. Such trials, unless an exception is justified, should be conducted in patients having a disease or condition for which the investigational product is intended. Subjects in these trials should be particularly closely monitored and should be withdrawn if they appear to be unduly distressed.</w:t>
      </w:r>
    </w:p>
    <w:p w14:paraId="690C741F" w14:textId="77777777" w:rsidR="004521D0" w:rsidRPr="002F3966" w:rsidRDefault="004B5D1B" w:rsidP="008E1F98">
      <w:pPr>
        <w:pStyle w:val="ListParagraph"/>
        <w:numPr>
          <w:ilvl w:val="1"/>
          <w:numId w:val="15"/>
        </w:numPr>
      </w:pPr>
      <w:r>
        <w:t xml:space="preserve">In emergency situations, when prior consent of the subject is not possible, the consent of the subject's legally acceptable representative, if present, should be requested. When prior consent of the subject is not possible, and the subject’s legally acceptable representative is not available, enrolment of the subject should require measures described in the protocol and/or elsewhere, with documented approval opinion by the IRB, to protect the rights, safety and well-being of the subject and to ensure compliance with applicable regulatory requirements. The subject or the subject's legally acceptable </w:t>
      </w:r>
      <w:r>
        <w:lastRenderedPageBreak/>
        <w:t>representative should be informed about the trial as soon as possible and consent to continue and other consent as appropriate should be requested.</w:t>
      </w:r>
    </w:p>
    <w:p w14:paraId="1DCFC412" w14:textId="77777777" w:rsidR="004521D0" w:rsidRPr="002F3966" w:rsidRDefault="004B5D1B" w:rsidP="008E1F98">
      <w:pPr>
        <w:pStyle w:val="ListParagraph"/>
        <w:numPr>
          <w:ilvl w:val="0"/>
          <w:numId w:val="15"/>
        </w:numPr>
      </w:pPr>
      <w:r>
        <w:t>Records and Reports</w:t>
      </w:r>
    </w:p>
    <w:p w14:paraId="46A1B537" w14:textId="77777777" w:rsidR="004521D0" w:rsidRPr="002F3966" w:rsidRDefault="004B5D1B" w:rsidP="008E1F98">
      <w:pPr>
        <w:pStyle w:val="ListParagraph"/>
        <w:numPr>
          <w:ilvl w:val="1"/>
          <w:numId w:val="15"/>
        </w:numPr>
      </w:pPr>
      <w:r>
        <w:t>The investigator should ensure the accuracy, completeness, legibility, and timeliness of the data reported to the sponsor in the case report forms (CRFs) and in all required reports.</w:t>
      </w:r>
    </w:p>
    <w:p w14:paraId="44B1CE2E" w14:textId="77777777" w:rsidR="004521D0" w:rsidRPr="002F3966" w:rsidRDefault="004B5D1B" w:rsidP="008E1F98">
      <w:pPr>
        <w:pStyle w:val="ListParagraph"/>
        <w:numPr>
          <w:ilvl w:val="1"/>
          <w:numId w:val="15"/>
        </w:numPr>
      </w:pPr>
      <w:r>
        <w:t>Data reported on the CRF, that are derived from source documents, should be consistent with the source documents or the discrepancies should be explained.</w:t>
      </w:r>
    </w:p>
    <w:p w14:paraId="743F9453" w14:textId="77777777" w:rsidR="004521D0" w:rsidRPr="002F3966" w:rsidRDefault="004B5D1B" w:rsidP="008E1F98">
      <w:pPr>
        <w:pStyle w:val="ListParagraph"/>
        <w:numPr>
          <w:ilvl w:val="1"/>
          <w:numId w:val="15"/>
        </w:numPr>
      </w:pPr>
      <w:r>
        <w:t>Any change or correction to a CRF should be dated, initialed, and explained (if necessary) and should not obscure the original entry (i.e. an audit trail should be maintained); this applies to both written and electronic changes or corrections. Sponsors should provide guidance to investigators and/or the investigators' designated representatives on making such corrections. Sponsors should have written procedures to assure that changes or corrections in CRFs made by sponsor's designated representatives are documented, are necessary, and are endorsed by the investigator. The investigator should retain records of the changes and corrections.</w:t>
      </w:r>
    </w:p>
    <w:p w14:paraId="462A1748" w14:textId="77777777" w:rsidR="004521D0" w:rsidRPr="002F3966" w:rsidRDefault="004B5D1B" w:rsidP="008E1F98">
      <w:pPr>
        <w:pStyle w:val="ListParagraph"/>
        <w:numPr>
          <w:ilvl w:val="1"/>
          <w:numId w:val="15"/>
        </w:numPr>
      </w:pPr>
      <w:r>
        <w:t>The investigator/institution should maintain the trial documents as specified in Essential Documents for the Conduct of a Clinical Trial and as required by the applicable regulatory requirements. The investigator/institution should take measures to prevent accidental or premature destruction of these documents.</w:t>
      </w:r>
    </w:p>
    <w:p w14:paraId="57CC0AFC" w14:textId="77777777" w:rsidR="004521D0" w:rsidRPr="002F3966" w:rsidRDefault="004B5D1B" w:rsidP="008E1F98">
      <w:pPr>
        <w:pStyle w:val="ListParagraph"/>
        <w:numPr>
          <w:ilvl w:val="1"/>
          <w:numId w:val="15"/>
        </w:numPr>
      </w:pPr>
      <w:r>
        <w:t>Essential documents should be retained until at least 2 years after the last approval of a marketing application in an ICH region and until there are no pending or contemplated marketing applications in an ICH region or at least 2 years have elapsed since the formal discontinuation of clinical development of the investigational product. These documents should be retained for a longer period however if required by the applicable regulatory requirements or by an agreement with the sponsor. It is the responsibility of the sponsor to inform the investigator/institution as to when these documents no longer need to be retained.</w:t>
      </w:r>
    </w:p>
    <w:p w14:paraId="49CE399E" w14:textId="77777777" w:rsidR="004521D0" w:rsidRPr="002F3966" w:rsidRDefault="004B5D1B" w:rsidP="008E1F98">
      <w:pPr>
        <w:pStyle w:val="ListParagraph"/>
        <w:numPr>
          <w:ilvl w:val="1"/>
          <w:numId w:val="15"/>
        </w:numPr>
      </w:pPr>
      <w:r>
        <w:t>The financial aspects of the trial should be documented in an agreement between the sponsor and the investigator/institution.</w:t>
      </w:r>
    </w:p>
    <w:p w14:paraId="07853499" w14:textId="77777777" w:rsidR="004521D0" w:rsidRPr="002F3966" w:rsidRDefault="004B5D1B" w:rsidP="008E1F98">
      <w:pPr>
        <w:pStyle w:val="ListParagraph"/>
        <w:numPr>
          <w:ilvl w:val="1"/>
          <w:numId w:val="15"/>
        </w:numPr>
      </w:pPr>
      <w:r>
        <w:t>Upon request of the monitor, auditor, IRB, or regulatory authority, the investigator/institution should make available for direct access all requested trial-related records.</w:t>
      </w:r>
    </w:p>
    <w:p w14:paraId="1C3F8F07" w14:textId="77777777" w:rsidR="004521D0" w:rsidRPr="002F3966" w:rsidRDefault="004B5D1B" w:rsidP="008E1F98">
      <w:pPr>
        <w:pStyle w:val="ListParagraph"/>
        <w:numPr>
          <w:ilvl w:val="0"/>
          <w:numId w:val="15"/>
        </w:numPr>
      </w:pPr>
      <w:r>
        <w:t>Progress Reports</w:t>
      </w:r>
    </w:p>
    <w:p w14:paraId="4D5EB0EC" w14:textId="77777777" w:rsidR="004521D0" w:rsidRPr="002F3966" w:rsidRDefault="004B5D1B" w:rsidP="008E1F98">
      <w:pPr>
        <w:pStyle w:val="ListParagraph"/>
        <w:numPr>
          <w:ilvl w:val="1"/>
          <w:numId w:val="15"/>
        </w:numPr>
      </w:pPr>
      <w:r>
        <w:t>The investigator should submit written summaries of the trial status to the IRB annually, or more frequently, if requested by the IRB.</w:t>
      </w:r>
    </w:p>
    <w:p w14:paraId="44B61C1C" w14:textId="77777777" w:rsidR="004521D0" w:rsidRPr="002F3966" w:rsidRDefault="004B5D1B" w:rsidP="008E1F98">
      <w:pPr>
        <w:pStyle w:val="ListParagraph"/>
        <w:numPr>
          <w:ilvl w:val="1"/>
          <w:numId w:val="15"/>
        </w:numPr>
      </w:pPr>
      <w:r>
        <w:t>The investigator should promptly provide written reports to the sponsor, the IRB and, where applicable, the institution on any changes significantly affecting the conduct of the trial, and/or increasing the risk to subjects.</w:t>
      </w:r>
    </w:p>
    <w:p w14:paraId="196137DD" w14:textId="77777777" w:rsidR="004521D0" w:rsidRPr="002F3966" w:rsidRDefault="004B5D1B" w:rsidP="008E1F98">
      <w:pPr>
        <w:pStyle w:val="ListParagraph"/>
        <w:numPr>
          <w:ilvl w:val="0"/>
          <w:numId w:val="15"/>
        </w:numPr>
      </w:pPr>
      <w:r>
        <w:t>Safety Reporting</w:t>
      </w:r>
    </w:p>
    <w:p w14:paraId="41A8DD05" w14:textId="77777777" w:rsidR="004521D0" w:rsidRPr="002F3966" w:rsidRDefault="004B5D1B" w:rsidP="008E1F98">
      <w:pPr>
        <w:pStyle w:val="ListParagraph"/>
        <w:numPr>
          <w:ilvl w:val="1"/>
          <w:numId w:val="15"/>
        </w:numPr>
      </w:pPr>
      <w:r>
        <w:t xml:space="preserve">All serious adverse events (SAEs) should be reported immediately to the sponsor except for those SAEs that the protocol or other document (e.g., Investigator's Brochure) </w:t>
      </w:r>
      <w:r>
        <w:lastRenderedPageBreak/>
        <w:t>identifies as not needing immediate reporting. The immediate reports should be followed promptly by detailed, written reports. The immediate and follow-up reports should identify subjects by unique code numbers assigned to the trial subjects rather than by the subjects' names, personal identification numbers, and/or addresses. The investigator should also comply with the applicable regulatory requirements related to the reporting of unexpected serious adverse drug reactions to the regulatory authorities and the IRB.</w:t>
      </w:r>
    </w:p>
    <w:p w14:paraId="0633EA74" w14:textId="77777777" w:rsidR="004521D0" w:rsidRPr="002F3966" w:rsidRDefault="004B5D1B" w:rsidP="008E1F98">
      <w:pPr>
        <w:pStyle w:val="ListParagraph"/>
        <w:numPr>
          <w:ilvl w:val="1"/>
          <w:numId w:val="15"/>
        </w:numPr>
      </w:pPr>
      <w:r>
        <w:t>Adverse events and/or laboratory abnormalities identified in the protocol as critical to safety evaluations should be reported to the sponsor according to the reporting requirements and within the time periods specified by the sponsor in the protocol.</w:t>
      </w:r>
    </w:p>
    <w:p w14:paraId="10B60B42" w14:textId="77777777" w:rsidR="004521D0" w:rsidRPr="002F3966" w:rsidRDefault="004B5D1B" w:rsidP="008E1F98">
      <w:pPr>
        <w:pStyle w:val="ListParagraph"/>
        <w:numPr>
          <w:ilvl w:val="1"/>
          <w:numId w:val="15"/>
        </w:numPr>
      </w:pPr>
      <w:r>
        <w:t>For reported deaths, the investigator should supply the sponsor and the IRB with any additional requested information (e.g., autopsy reports and terminal medical reports).</w:t>
      </w:r>
    </w:p>
    <w:p w14:paraId="32DA8F69" w14:textId="77777777" w:rsidR="004521D0" w:rsidRPr="002F3966" w:rsidRDefault="004B5D1B" w:rsidP="008E1F98">
      <w:pPr>
        <w:pStyle w:val="ListParagraph"/>
        <w:numPr>
          <w:ilvl w:val="1"/>
          <w:numId w:val="15"/>
        </w:numPr>
      </w:pPr>
      <w:r>
        <w:t>Premature Termination or Suspension of a Trial If the trial is prematurely terminated or suspended for any reason, the investigator/institution should promptly inform the trial subjects, should assure appropriate therapy and follow-up for the subjects, and, where required by the applicable regulatory requirements, should inform the regulatory authorities. In addition:</w:t>
      </w:r>
    </w:p>
    <w:p w14:paraId="05BC7DF9" w14:textId="77777777" w:rsidR="004521D0" w:rsidRPr="002F3966" w:rsidRDefault="004B5D1B" w:rsidP="008E1F98">
      <w:pPr>
        <w:pStyle w:val="ListParagraph"/>
        <w:numPr>
          <w:ilvl w:val="2"/>
          <w:numId w:val="15"/>
        </w:numPr>
      </w:pPr>
      <w:r>
        <w:t>If the investigator terminates or suspends a trial without prior agreement of the sponsor, the investigator should inform the institution where applicable, and the investigator/institution should promptly inform the sponsor and the IRB and should provide the sponsor and the IRB a detailed written explanation of the termination or suspension.</w:t>
      </w:r>
    </w:p>
    <w:p w14:paraId="2B39703B" w14:textId="77777777" w:rsidR="004521D0" w:rsidRPr="002F3966" w:rsidRDefault="004B5D1B" w:rsidP="008E1F98">
      <w:pPr>
        <w:pStyle w:val="ListParagraph"/>
        <w:numPr>
          <w:ilvl w:val="2"/>
          <w:numId w:val="15"/>
        </w:numPr>
      </w:pPr>
      <w:r>
        <w:t>If the sponsor terminates or suspends a trial, the investigator should promptly inform the institution where applicable and the investigator/institution should promptly inform the IRB and provide the IRB a detailed written explanation of the termination or suspension.</w:t>
      </w:r>
    </w:p>
    <w:p w14:paraId="559358CE" w14:textId="77777777" w:rsidR="004521D0" w:rsidRPr="002F3966" w:rsidRDefault="004B5D1B" w:rsidP="008E1F98">
      <w:pPr>
        <w:pStyle w:val="ListParagraph"/>
        <w:numPr>
          <w:ilvl w:val="2"/>
          <w:numId w:val="15"/>
        </w:numPr>
      </w:pPr>
      <w:r>
        <w:t>If the IRB terminates or suspends its approval opinion of a trial, the investigator should inform the institution where applicable and the investigator/institution should promptly notify the sponsor and provide the sponsor with a detailed written explanation of the termination or suspension.</w:t>
      </w:r>
    </w:p>
    <w:p w14:paraId="10C2BAB8" w14:textId="77777777" w:rsidR="004521D0" w:rsidRPr="002F3966" w:rsidRDefault="004B5D1B" w:rsidP="008E1F98">
      <w:pPr>
        <w:pStyle w:val="ListParagraph"/>
        <w:numPr>
          <w:ilvl w:val="0"/>
          <w:numId w:val="15"/>
        </w:numPr>
      </w:pPr>
      <w:r>
        <w:t>Final Reports by Investigator: Upon completion of the trial, the investigator, where applicable, should inform the institution; the investigator/institution should provide the IRB with a summary of the trial’s outcome, and the regulatory authorities with any reports required.</w:t>
      </w:r>
      <w:bookmarkStart w:id="165" w:name="_Toc262078733"/>
    </w:p>
    <w:p w14:paraId="1981DD31" w14:textId="77777777" w:rsidR="004521D0" w:rsidRPr="00AD33B7" w:rsidRDefault="41B41E75">
      <w:pPr>
        <w:pStyle w:val="Heading2AppendixA"/>
        <w:pageBreakBefore w:val="0"/>
        <w:spacing w:line="276" w:lineRule="auto"/>
      </w:pPr>
      <w:bookmarkStart w:id="166" w:name="_Toc488175158"/>
      <w:bookmarkStart w:id="167" w:name="_Toc212142187"/>
      <w:bookmarkStart w:id="168" w:name="_Toc225507727"/>
      <w:r>
        <w:t>Additional Requirements for Department of Defense (DOD) research</w:t>
      </w:r>
      <w:bookmarkEnd w:id="165"/>
      <w:bookmarkEnd w:id="166"/>
      <w:bookmarkEnd w:id="167"/>
      <w:bookmarkEnd w:id="168"/>
    </w:p>
    <w:p w14:paraId="260F6B0E" w14:textId="77777777" w:rsidR="004521D0" w:rsidRPr="00AD33B7" w:rsidRDefault="004B5D1B" w:rsidP="008E1F98">
      <w:pPr>
        <w:numPr>
          <w:ilvl w:val="0"/>
          <w:numId w:val="9"/>
        </w:numPr>
        <w:spacing w:after="0" w:line="276" w:lineRule="auto"/>
        <w:rPr>
          <w:color w:val="005E00"/>
        </w:rPr>
      </w:pPr>
      <w:r>
        <w:rPr>
          <w:color w:val="005E00"/>
        </w:rPr>
        <w:t>When appropriate, research protocols must be reviewed and approved by the IRB prior to the Department of Defense approval. The Human Research Protection Official (HRPO) is designated by a Department of Defense component to conduct administrative review of DoD-supported research to ensure compliance with DoD human subjects research requirements. Consult with the Department of Defense funding component to see whether this is a requirement.</w:t>
      </w:r>
    </w:p>
    <w:p w14:paraId="388AD227" w14:textId="77777777" w:rsidR="004521D0" w:rsidRPr="00AD33B7" w:rsidRDefault="004B5D1B" w:rsidP="008E1F98">
      <w:pPr>
        <w:numPr>
          <w:ilvl w:val="0"/>
          <w:numId w:val="9"/>
        </w:numPr>
        <w:spacing w:after="0" w:line="276" w:lineRule="auto"/>
        <w:rPr>
          <w:color w:val="005E00"/>
        </w:rPr>
      </w:pPr>
      <w:r>
        <w:rPr>
          <w:color w:val="005E00"/>
        </w:rPr>
        <w:lastRenderedPageBreak/>
        <w:t>Civilian researchers attempting to access military volunteers should seek collaboration with a military researcher familiar with service-specific requirements.</w:t>
      </w:r>
    </w:p>
    <w:p w14:paraId="40ACE262" w14:textId="77777777" w:rsidR="004521D0" w:rsidRPr="00AD33B7" w:rsidRDefault="004B5D1B" w:rsidP="008E1F98">
      <w:pPr>
        <w:numPr>
          <w:ilvl w:val="0"/>
          <w:numId w:val="9"/>
        </w:numPr>
        <w:spacing w:after="0" w:line="276" w:lineRule="auto"/>
        <w:rPr>
          <w:color w:val="005E00"/>
        </w:rPr>
      </w:pPr>
      <w:r>
        <w:rPr>
          <w:color w:val="005E00"/>
        </w:rPr>
        <w:t>Employees of the Department of Defense (including temporary, part-time, and intermittent appointments) may not be able to legally accept payments to participate in research and should check with their supervisor before accepting such payments. Employees of the Department of Defense cannot be paid for conducting research while on active duty.</w:t>
      </w:r>
    </w:p>
    <w:p w14:paraId="437596A1" w14:textId="77777777" w:rsidR="004521D0" w:rsidRPr="00AD33B7" w:rsidRDefault="004B5D1B" w:rsidP="008E1F98">
      <w:pPr>
        <w:numPr>
          <w:ilvl w:val="0"/>
          <w:numId w:val="9"/>
        </w:numPr>
        <w:spacing w:after="0" w:line="276" w:lineRule="auto"/>
        <w:rPr>
          <w:color w:val="005E00"/>
        </w:rPr>
      </w:pPr>
      <w:r>
        <w:rPr>
          <w:color w:val="005E00"/>
        </w:rPr>
        <w:t xml:space="preserve">Service members must follow their command policies regarding the requirement to obtain command permission to participate in research involving human subjects while on-duty or off-duty. </w:t>
      </w:r>
    </w:p>
    <w:p w14:paraId="11206DD7" w14:textId="77777777" w:rsidR="004521D0" w:rsidRPr="00AD33B7" w:rsidRDefault="004B5D1B" w:rsidP="008E1F98">
      <w:pPr>
        <w:numPr>
          <w:ilvl w:val="0"/>
          <w:numId w:val="9"/>
        </w:numPr>
        <w:spacing w:after="0" w:line="276" w:lineRule="auto"/>
        <w:rPr>
          <w:color w:val="005E00"/>
        </w:rPr>
      </w:pPr>
      <w:r>
        <w:rPr>
          <w:color w:val="005E00"/>
        </w:rPr>
        <w:t>Components of the Department of Defense might have stricter requirements for research-related injury than the DHHS regulations.</w:t>
      </w:r>
    </w:p>
    <w:p w14:paraId="2422924C" w14:textId="77777777" w:rsidR="004521D0" w:rsidRPr="00AD33B7" w:rsidRDefault="004B5D1B" w:rsidP="008E1F98">
      <w:pPr>
        <w:numPr>
          <w:ilvl w:val="0"/>
          <w:numId w:val="9"/>
        </w:numPr>
        <w:spacing w:after="0" w:line="276" w:lineRule="auto"/>
        <w:rPr>
          <w:color w:val="005E00"/>
        </w:rPr>
      </w:pPr>
      <w:r>
        <w:rPr>
          <w:color w:val="005E00"/>
        </w:rPr>
        <w:t>There may be specific educational requirements or certification required.</w:t>
      </w:r>
    </w:p>
    <w:p w14:paraId="5D532222" w14:textId="77777777" w:rsidR="004521D0" w:rsidRPr="00AD33B7" w:rsidRDefault="004B5D1B" w:rsidP="008E1F98">
      <w:pPr>
        <w:numPr>
          <w:ilvl w:val="0"/>
          <w:numId w:val="9"/>
        </w:numPr>
        <w:spacing w:after="0" w:line="276" w:lineRule="auto"/>
        <w:rPr>
          <w:color w:val="005E00"/>
        </w:rPr>
      </w:pPr>
      <w:r>
        <w:rPr>
          <w:color w:val="005E00"/>
        </w:rPr>
        <w:t>When assessing whether to support or collaborate with this institution for research involving human subjects, the Department of Defense may evaluate this institution’s education and training policies to ensure the personnel are qualified to perform the research.</w:t>
      </w:r>
    </w:p>
    <w:p w14:paraId="595158DA" w14:textId="77777777" w:rsidR="004521D0" w:rsidRPr="00AD33B7" w:rsidRDefault="004B5D1B" w:rsidP="008E1F98">
      <w:pPr>
        <w:numPr>
          <w:ilvl w:val="0"/>
          <w:numId w:val="9"/>
        </w:numPr>
        <w:spacing w:after="0" w:line="276" w:lineRule="auto"/>
        <w:rPr>
          <w:color w:val="005E00"/>
        </w:rPr>
      </w:pPr>
      <w:bookmarkStart w:id="169" w:name="_Toc262078734"/>
      <w:r>
        <w:rPr>
          <w:color w:val="005E00"/>
        </w:rPr>
        <w:t>When research involves U.S. military personnel, policies and procedures require limitations on dual compensation:</w:t>
      </w:r>
    </w:p>
    <w:p w14:paraId="20CA8F9E" w14:textId="77777777" w:rsidR="004521D0" w:rsidRPr="00AD33B7" w:rsidRDefault="004B5D1B" w:rsidP="008E1F98">
      <w:pPr>
        <w:numPr>
          <w:ilvl w:val="1"/>
          <w:numId w:val="9"/>
        </w:numPr>
        <w:spacing w:after="0" w:line="276" w:lineRule="auto"/>
        <w:rPr>
          <w:color w:val="005E00"/>
        </w:rPr>
      </w:pPr>
      <w:r>
        <w:rPr>
          <w:color w:val="005E00"/>
        </w:rPr>
        <w:t>Prohibit an individual from receiving pay of compensation for research during duty hours.</w:t>
      </w:r>
    </w:p>
    <w:p w14:paraId="15F473DF" w14:textId="77777777" w:rsidR="004521D0" w:rsidRPr="00AD33B7" w:rsidRDefault="004B5D1B" w:rsidP="008E1F98">
      <w:pPr>
        <w:numPr>
          <w:ilvl w:val="1"/>
          <w:numId w:val="9"/>
        </w:numPr>
        <w:spacing w:after="0" w:line="276" w:lineRule="auto"/>
        <w:rPr>
          <w:color w:val="005E00"/>
        </w:rPr>
      </w:pPr>
      <w:r>
        <w:rPr>
          <w:color w:val="005E00"/>
        </w:rPr>
        <w:t>An individual may be compensated for research if the participant is involved in the research when not on duty.</w:t>
      </w:r>
    </w:p>
    <w:p w14:paraId="5E0DF2D3" w14:textId="77777777" w:rsidR="004521D0" w:rsidRPr="00AD33B7" w:rsidRDefault="004B5D1B" w:rsidP="008E1F98">
      <w:pPr>
        <w:numPr>
          <w:ilvl w:val="1"/>
          <w:numId w:val="9"/>
        </w:numPr>
        <w:spacing w:after="0" w:line="276" w:lineRule="auto"/>
        <w:rPr>
          <w:color w:val="005E00"/>
        </w:rPr>
      </w:pPr>
      <w:r>
        <w:rPr>
          <w:color w:val="005E00"/>
        </w:rPr>
        <w:t>Federal employees while on duty and non-Federal persons may be compensated for blood draws for research up to $50 for each blood draw.</w:t>
      </w:r>
    </w:p>
    <w:p w14:paraId="58296710" w14:textId="77777777" w:rsidR="004521D0" w:rsidRPr="00AD33B7" w:rsidRDefault="004B5D1B" w:rsidP="008E1F98">
      <w:pPr>
        <w:numPr>
          <w:ilvl w:val="1"/>
          <w:numId w:val="9"/>
        </w:numPr>
        <w:spacing w:after="0" w:line="276" w:lineRule="auto"/>
        <w:rPr>
          <w:color w:val="005E00"/>
        </w:rPr>
      </w:pPr>
      <w:r>
        <w:rPr>
          <w:color w:val="005E00"/>
        </w:rPr>
        <w:t>Non-Federal persons may be compensated for research participating other than blood draws in a reasonable amount as approved by the IRB according to local prevailing rates and the nature of the research.</w:t>
      </w:r>
    </w:p>
    <w:p w14:paraId="4763A58E" w14:textId="77777777" w:rsidR="004521D0" w:rsidRPr="00AD33B7" w:rsidRDefault="00724B7B" w:rsidP="008E1F98">
      <w:pPr>
        <w:numPr>
          <w:ilvl w:val="0"/>
          <w:numId w:val="9"/>
        </w:numPr>
        <w:spacing w:after="0" w:line="276" w:lineRule="auto"/>
        <w:rPr>
          <w:color w:val="005E00"/>
        </w:rPr>
      </w:pPr>
      <w:r>
        <w:rPr>
          <w:color w:val="005E00"/>
        </w:rPr>
        <w:t>Research involving surveys, focus groups, or interviews performed on DOD personnel (military or civilian) or their families must be submitted, reviewed, and approved by the DOD Information Management Control Officer (IMCO) after the research protocol is reviewed and approved by the IRB. When a survey crosses DOD components, additional review is required. Consult the Department of Defense funding component to coordinate this review.</w:t>
      </w:r>
    </w:p>
    <w:p w14:paraId="54D32322" w14:textId="77777777" w:rsidR="004521D0" w:rsidRPr="00AD33B7" w:rsidRDefault="004B5D1B" w:rsidP="008E1F98">
      <w:pPr>
        <w:numPr>
          <w:ilvl w:val="0"/>
          <w:numId w:val="9"/>
        </w:numPr>
        <w:spacing w:after="0" w:line="276" w:lineRule="auto"/>
        <w:rPr>
          <w:color w:val="005E00"/>
        </w:rPr>
      </w:pPr>
      <w:r>
        <w:rPr>
          <w:color w:val="005E00"/>
        </w:rPr>
        <w:t>When research involves large scale genomic data (LSGD) collected on DOD-affiliated personnel, additional protections are required:</w:t>
      </w:r>
    </w:p>
    <w:p w14:paraId="42F7B46E" w14:textId="77777777" w:rsidR="004521D0" w:rsidRPr="00AD33B7" w:rsidRDefault="004B5D1B" w:rsidP="008E1F98">
      <w:pPr>
        <w:numPr>
          <w:ilvl w:val="1"/>
          <w:numId w:val="9"/>
        </w:numPr>
        <w:spacing w:after="0" w:line="276" w:lineRule="auto"/>
        <w:rPr>
          <w:color w:val="005E00"/>
        </w:rPr>
      </w:pPr>
      <w:r>
        <w:rPr>
          <w:color w:val="005E00"/>
        </w:rPr>
        <w:t>Additional administrative, technical, and physical safeguards to prevent disclosure of DoD-affiliated personnel’s genomic data commensurate with risk (including secondary use or sharing of de-identified data or specimens)</w:t>
      </w:r>
    </w:p>
    <w:p w14:paraId="33D1BB13" w14:textId="77777777" w:rsidR="004521D0" w:rsidRPr="00AD33B7" w:rsidRDefault="004B5D1B" w:rsidP="008E1F98">
      <w:pPr>
        <w:numPr>
          <w:ilvl w:val="1"/>
          <w:numId w:val="9"/>
        </w:numPr>
        <w:spacing w:after="0" w:line="276" w:lineRule="auto"/>
        <w:rPr>
          <w:color w:val="005E00"/>
        </w:rPr>
      </w:pPr>
      <w:r>
        <w:rPr>
          <w:color w:val="005E00"/>
        </w:rPr>
        <w:t>Research will apply an HHS Certificate of Confidentiality</w:t>
      </w:r>
    </w:p>
    <w:p w14:paraId="10029CF3" w14:textId="77777777" w:rsidR="004521D0" w:rsidRPr="00AD33B7" w:rsidRDefault="004B5D1B" w:rsidP="008E1F98">
      <w:pPr>
        <w:numPr>
          <w:ilvl w:val="1"/>
          <w:numId w:val="9"/>
        </w:numPr>
        <w:spacing w:after="0" w:line="276" w:lineRule="auto"/>
        <w:rPr>
          <w:color w:val="005E00"/>
        </w:rPr>
      </w:pPr>
      <w:r>
        <w:rPr>
          <w:color w:val="005E00"/>
        </w:rPr>
        <w:t>DoD Component security review</w:t>
      </w:r>
    </w:p>
    <w:p w14:paraId="4F4BCFF9" w14:textId="77777777" w:rsidR="004521D0" w:rsidRPr="00AD33B7" w:rsidRDefault="004B5D1B" w:rsidP="008E1F98">
      <w:pPr>
        <w:numPr>
          <w:ilvl w:val="0"/>
          <w:numId w:val="9"/>
        </w:numPr>
        <w:spacing w:after="0" w:line="276" w:lineRule="auto"/>
        <w:rPr>
          <w:color w:val="005E00"/>
        </w:rPr>
      </w:pPr>
      <w:r>
        <w:rPr>
          <w:color w:val="005E00"/>
        </w:rPr>
        <w:t>Data or information sent to a DOD component under a pledge of confidentiality for exclusively statistical purposes must be used exclusively for statistical purposes and may not be disclosed in identifiable form for any other purpose, except with the informed consent of the respondent.</w:t>
      </w:r>
    </w:p>
    <w:p w14:paraId="2A76580D" w14:textId="77777777" w:rsidR="004521D0" w:rsidRPr="00AD33B7" w:rsidRDefault="004B5D1B" w:rsidP="008E1F98">
      <w:pPr>
        <w:numPr>
          <w:ilvl w:val="0"/>
          <w:numId w:val="9"/>
        </w:numPr>
        <w:spacing w:after="0" w:line="276" w:lineRule="auto"/>
        <w:rPr>
          <w:color w:val="005E00"/>
        </w:rPr>
      </w:pPr>
      <w:r>
        <w:rPr>
          <w:color w:val="005E00"/>
        </w:rPr>
        <w:lastRenderedPageBreak/>
        <w:t>When conducting multi-site research, a formal agreement between institutions is required to specify the roles and responsibilities of each party.</w:t>
      </w:r>
    </w:p>
    <w:p w14:paraId="191CC756" w14:textId="77777777" w:rsidR="004521D0" w:rsidRPr="00AD33B7" w:rsidRDefault="004B5D1B" w:rsidP="008E1F98">
      <w:pPr>
        <w:numPr>
          <w:ilvl w:val="0"/>
          <w:numId w:val="9"/>
        </w:numPr>
        <w:spacing w:after="0" w:line="276" w:lineRule="auto"/>
        <w:rPr>
          <w:color w:val="005E00"/>
        </w:rPr>
      </w:pPr>
      <w:r>
        <w:rPr>
          <w:color w:val="005E00"/>
        </w:rPr>
        <w:t>The following must be reported to the applicable DOD Component Office of Human Research Protections within 30 days:</w:t>
      </w:r>
    </w:p>
    <w:p w14:paraId="0017F534" w14:textId="77777777" w:rsidR="004521D0" w:rsidRPr="00AD33B7" w:rsidRDefault="004B5D1B" w:rsidP="008E1F98">
      <w:pPr>
        <w:numPr>
          <w:ilvl w:val="1"/>
          <w:numId w:val="9"/>
        </w:numPr>
        <w:spacing w:after="0" w:line="276" w:lineRule="auto"/>
        <w:rPr>
          <w:color w:val="005E00"/>
        </w:rPr>
      </w:pPr>
      <w:r>
        <w:rPr>
          <w:color w:val="005E00"/>
        </w:rPr>
        <w:t>When significant changes to the research protocol are approved by the IRB or EC:</w:t>
      </w:r>
    </w:p>
    <w:p w14:paraId="32267FE4" w14:textId="77777777" w:rsidR="004521D0" w:rsidRPr="00AD33B7" w:rsidRDefault="004B5D1B" w:rsidP="008E1F98">
      <w:pPr>
        <w:numPr>
          <w:ilvl w:val="2"/>
          <w:numId w:val="9"/>
        </w:numPr>
        <w:spacing w:after="0" w:line="276" w:lineRule="auto"/>
        <w:rPr>
          <w:color w:val="005E00"/>
        </w:rPr>
      </w:pPr>
      <w:r>
        <w:rPr>
          <w:color w:val="005E00"/>
        </w:rPr>
        <w:t>Changes to key investigators or institutions.</w:t>
      </w:r>
    </w:p>
    <w:p w14:paraId="0A0529EC" w14:textId="77777777" w:rsidR="004521D0" w:rsidRPr="00AD33B7" w:rsidRDefault="004B5D1B" w:rsidP="008E1F98">
      <w:pPr>
        <w:numPr>
          <w:ilvl w:val="2"/>
          <w:numId w:val="9"/>
        </w:numPr>
        <w:spacing w:after="0" w:line="276" w:lineRule="auto"/>
        <w:rPr>
          <w:color w:val="005E00"/>
        </w:rPr>
      </w:pPr>
      <w:r>
        <w:rPr>
          <w:color w:val="005E00"/>
        </w:rPr>
        <w:t>Decreased benefit or increased risk to participants in greater than minimal risk research.</w:t>
      </w:r>
    </w:p>
    <w:p w14:paraId="0325E68E" w14:textId="77777777" w:rsidR="004521D0" w:rsidRPr="00AD33B7" w:rsidRDefault="004B5D1B" w:rsidP="008E1F98">
      <w:pPr>
        <w:numPr>
          <w:ilvl w:val="2"/>
          <w:numId w:val="9"/>
        </w:numPr>
        <w:spacing w:after="0" w:line="276" w:lineRule="auto"/>
        <w:rPr>
          <w:color w:val="005E00"/>
        </w:rPr>
      </w:pPr>
      <w:r>
        <w:rPr>
          <w:color w:val="005E00"/>
        </w:rPr>
        <w:t>Addition of vulnerable populations as participants.</w:t>
      </w:r>
    </w:p>
    <w:p w14:paraId="600A8251" w14:textId="77777777" w:rsidR="004521D0" w:rsidRPr="00AD33B7" w:rsidRDefault="004B5D1B" w:rsidP="008E1F98">
      <w:pPr>
        <w:numPr>
          <w:ilvl w:val="2"/>
          <w:numId w:val="9"/>
        </w:numPr>
        <w:spacing w:after="0" w:line="276" w:lineRule="auto"/>
        <w:rPr>
          <w:color w:val="005E00"/>
        </w:rPr>
      </w:pPr>
      <w:r>
        <w:rPr>
          <w:color w:val="005E00"/>
        </w:rPr>
        <w:t>Addition of DOD-affiliated personnel as participants.</w:t>
      </w:r>
    </w:p>
    <w:p w14:paraId="0E364821" w14:textId="77777777" w:rsidR="004521D0" w:rsidRPr="00AD33B7" w:rsidRDefault="004B5D1B" w:rsidP="008E1F98">
      <w:pPr>
        <w:numPr>
          <w:ilvl w:val="2"/>
          <w:numId w:val="9"/>
        </w:numPr>
        <w:spacing w:after="0" w:line="276" w:lineRule="auto"/>
        <w:rPr>
          <w:color w:val="005E00"/>
        </w:rPr>
      </w:pPr>
      <w:r>
        <w:rPr>
          <w:color w:val="005E00"/>
        </w:rPr>
        <w:t>Change of reviewing IRB.</w:t>
      </w:r>
    </w:p>
    <w:p w14:paraId="5379D747" w14:textId="77777777" w:rsidR="004521D0" w:rsidRPr="00AD33B7" w:rsidRDefault="004B5D1B" w:rsidP="008E1F98">
      <w:pPr>
        <w:numPr>
          <w:ilvl w:val="1"/>
          <w:numId w:val="9"/>
        </w:numPr>
        <w:spacing w:after="0" w:line="276" w:lineRule="auto"/>
        <w:rPr>
          <w:color w:val="005E00"/>
        </w:rPr>
      </w:pPr>
      <w:r>
        <w:rPr>
          <w:color w:val="005E00"/>
        </w:rPr>
        <w:t>When the organization is notified by any federal body, state agency, official governing body of a Native American or Alaskan native tribe, other entity, or foreign government that any part of an HRPP is under investigation for cause involving a DOD-supported research protocol.</w:t>
      </w:r>
    </w:p>
    <w:p w14:paraId="0444AEF7" w14:textId="77777777" w:rsidR="004521D0" w:rsidRPr="00AD33B7" w:rsidRDefault="004B5D1B" w:rsidP="008E1F98">
      <w:pPr>
        <w:numPr>
          <w:ilvl w:val="1"/>
          <w:numId w:val="9"/>
        </w:numPr>
        <w:spacing w:after="0" w:line="276" w:lineRule="auto"/>
        <w:rPr>
          <w:color w:val="005E00"/>
        </w:rPr>
      </w:pPr>
      <w:r>
        <w:rPr>
          <w:color w:val="005E00"/>
        </w:rPr>
        <w:t>Any problems involving risks to participants or others, suspension or termination of IRB approval, or any serious or continuing noncompliance pertaining to DOD-supported human participant research.</w:t>
      </w:r>
    </w:p>
    <w:p w14:paraId="59F8E9FC" w14:textId="77777777" w:rsidR="004521D0" w:rsidRPr="00AD33B7" w:rsidRDefault="004B5D1B" w:rsidP="008E1F98">
      <w:pPr>
        <w:numPr>
          <w:ilvl w:val="1"/>
          <w:numId w:val="9"/>
        </w:numPr>
        <w:spacing w:after="0" w:line="276" w:lineRule="auto"/>
        <w:rPr>
          <w:color w:val="005E00"/>
        </w:rPr>
      </w:pPr>
      <w:r>
        <w:rPr>
          <w:color w:val="005E00"/>
        </w:rPr>
        <w:t>The results of the IRB’s continuing review, if required.</w:t>
      </w:r>
    </w:p>
    <w:p w14:paraId="3D35417D" w14:textId="77777777" w:rsidR="004521D0" w:rsidRPr="00AD33B7" w:rsidRDefault="004B5D1B" w:rsidP="008E1F98">
      <w:pPr>
        <w:numPr>
          <w:ilvl w:val="1"/>
          <w:numId w:val="9"/>
        </w:numPr>
        <w:spacing w:after="0" w:line="276" w:lineRule="auto"/>
        <w:rPr>
          <w:color w:val="005E00"/>
        </w:rPr>
      </w:pPr>
      <w:r>
        <w:rPr>
          <w:color w:val="005E00"/>
        </w:rPr>
        <w:t>Change in status when a previously enrolled participant becomes pregnant, or when the researcher learns that a previously enrolled participant is pregnant, and the protocol was not reviewed and approved by the IRB in accordance with 45 CFR 46, Subpart B.</w:t>
      </w:r>
    </w:p>
    <w:p w14:paraId="3F1E2330" w14:textId="77777777" w:rsidR="004521D0" w:rsidRPr="00AD33B7" w:rsidRDefault="004B5D1B" w:rsidP="008E1F98">
      <w:pPr>
        <w:numPr>
          <w:ilvl w:val="1"/>
          <w:numId w:val="9"/>
        </w:numPr>
        <w:spacing w:after="0" w:line="276" w:lineRule="auto"/>
        <w:rPr>
          <w:color w:val="005E00"/>
        </w:rPr>
      </w:pPr>
      <w:r>
        <w:rPr>
          <w:color w:val="005E00"/>
        </w:rPr>
        <w:t>Change in status when a previously enrolled participant becomes a prisoner, and the protocol was not reviewed and approved by the IRB in accordance with 32 CFR 219, Subpart C.</w:t>
      </w:r>
    </w:p>
    <w:p w14:paraId="0238CCEC" w14:textId="77777777" w:rsidR="004521D0" w:rsidRPr="00AD33B7" w:rsidRDefault="004B5D1B" w:rsidP="008E1F98">
      <w:pPr>
        <w:numPr>
          <w:ilvl w:val="1"/>
          <w:numId w:val="9"/>
        </w:numPr>
        <w:spacing w:after="0" w:line="276" w:lineRule="auto"/>
        <w:rPr>
          <w:color w:val="005E00"/>
        </w:rPr>
      </w:pPr>
      <w:r>
        <w:rPr>
          <w:color w:val="005E00"/>
        </w:rPr>
        <w:t>Closure of a DOD-supported study.</w:t>
      </w:r>
    </w:p>
    <w:p w14:paraId="581A1D19" w14:textId="77777777" w:rsidR="004521D0" w:rsidRPr="00AD33B7" w:rsidRDefault="004B5D1B" w:rsidP="008E1F98">
      <w:pPr>
        <w:numPr>
          <w:ilvl w:val="0"/>
          <w:numId w:val="9"/>
        </w:numPr>
        <w:spacing w:after="0" w:line="276" w:lineRule="auto"/>
        <w:rPr>
          <w:color w:val="005E00"/>
        </w:rPr>
      </w:pPr>
      <w:r>
        <w:rPr>
          <w:color w:val="005E00"/>
        </w:rPr>
        <w:t>For human participant research that would not otherwise be approved but presents an opportunity to understand, prevent, or alleviate a serious problem affecting the health or welfare of pregnant women, fetuses, or neonates, written approval from the DOD Office for Human Research Protections must be obtained through the DOD Component Office of Human Research Protections prior to research starting.</w:t>
      </w:r>
    </w:p>
    <w:p w14:paraId="7CDB3E18" w14:textId="77777777" w:rsidR="004521D0" w:rsidRPr="00AD33B7" w:rsidRDefault="004B5D1B" w:rsidP="008E1F98">
      <w:pPr>
        <w:numPr>
          <w:ilvl w:val="0"/>
          <w:numId w:val="9"/>
        </w:numPr>
        <w:spacing w:after="0" w:line="276" w:lineRule="auto"/>
        <w:rPr>
          <w:color w:val="005E00"/>
        </w:rPr>
      </w:pPr>
      <w:r>
        <w:rPr>
          <w:color w:val="005E00"/>
        </w:rPr>
        <w:t>Other specific requirements of the Department of Defense research be found in the “Additional Requirements for Department of Defense (DOD) Research” section in the IRB’s HRP-318 - WORKSHEET - Additional Federal Agency Criteria.</w:t>
      </w:r>
    </w:p>
    <w:p w14:paraId="01EA12C9" w14:textId="77777777" w:rsidR="004521D0" w:rsidRPr="00AD33B7" w:rsidRDefault="004B5D1B">
      <w:pPr>
        <w:pStyle w:val="HotDocsvariable"/>
        <w:rPr>
          <w:color w:val="8064A2"/>
        </w:rPr>
      </w:pPr>
      <w:bookmarkStart w:id="170" w:name="_Hlk56717395"/>
      <w:bookmarkEnd w:id="169"/>
      <w:r>
        <w:rPr>
          <w:color w:val="8064A2"/>
        </w:rPr>
        <w:br w:type="page"/>
      </w:r>
    </w:p>
    <w:p w14:paraId="0BDF6A6F" w14:textId="77777777" w:rsidR="004521D0" w:rsidRPr="00AD33B7" w:rsidRDefault="41B41E75">
      <w:pPr>
        <w:pStyle w:val="Heading2AppendixA"/>
        <w:pageBreakBefore w:val="0"/>
        <w:spacing w:line="276" w:lineRule="auto"/>
      </w:pPr>
      <w:bookmarkStart w:id="171" w:name="_Toc155985509"/>
      <w:bookmarkStart w:id="172" w:name="_Toc212142188"/>
      <w:bookmarkStart w:id="173" w:name="_Toc225507728"/>
      <w:r>
        <w:lastRenderedPageBreak/>
        <w:t>Additional Requirements for Department of Energy (DOE) Research</w:t>
      </w:r>
      <w:bookmarkEnd w:id="171"/>
      <w:bookmarkEnd w:id="172"/>
      <w:bookmarkEnd w:id="173"/>
    </w:p>
    <w:p w14:paraId="1502EDC2" w14:textId="77777777" w:rsidR="004521D0" w:rsidRPr="00AD33B7" w:rsidRDefault="004B5D1B">
      <w:pPr>
        <w:spacing w:line="276" w:lineRule="auto"/>
        <w:ind w:left="360"/>
        <w:rPr>
          <w:color w:val="8064A2"/>
        </w:rPr>
      </w:pPr>
      <w:r>
        <w:rPr>
          <w:color w:val="8064A2"/>
        </w:rPr>
        <w:t>(See DOE Order 443.1C)</w:t>
      </w:r>
    </w:p>
    <w:p w14:paraId="2C67F63F" w14:textId="77777777" w:rsidR="004521D0" w:rsidRPr="00AD33B7" w:rsidRDefault="004B5D1B" w:rsidP="008E1F98">
      <w:pPr>
        <w:numPr>
          <w:ilvl w:val="0"/>
          <w:numId w:val="10"/>
        </w:numPr>
        <w:spacing w:after="0" w:line="276" w:lineRule="auto"/>
        <w:rPr>
          <w:color w:val="8064A2"/>
        </w:rPr>
      </w:pPr>
      <w:r>
        <w:rPr>
          <w:color w:val="8064A2"/>
        </w:rPr>
        <w:t>Research that involves one or more of the following must be submitted to the appropriate IRB for human subjects research review and determination:</w:t>
      </w:r>
    </w:p>
    <w:p w14:paraId="2B5EA41F" w14:textId="77777777" w:rsidR="004521D0" w:rsidRPr="00AD33B7" w:rsidRDefault="004B5D1B" w:rsidP="008E1F98">
      <w:pPr>
        <w:numPr>
          <w:ilvl w:val="1"/>
          <w:numId w:val="10"/>
        </w:numPr>
        <w:spacing w:after="0" w:line="276" w:lineRule="auto"/>
        <w:rPr>
          <w:color w:val="8064A2"/>
        </w:rPr>
      </w:pPr>
      <w:r>
        <w:rPr>
          <w:color w:val="8064A2"/>
        </w:rPr>
        <w:t>Study of humans in a systematically modified environment. These studies include but are not limited to intentional modification of the human environment:</w:t>
      </w:r>
    </w:p>
    <w:p w14:paraId="68CAF132" w14:textId="77777777" w:rsidR="004521D0" w:rsidRPr="00AD33B7" w:rsidRDefault="004B5D1B" w:rsidP="008E1F98">
      <w:pPr>
        <w:numPr>
          <w:ilvl w:val="2"/>
          <w:numId w:val="10"/>
        </w:numPr>
        <w:spacing w:after="0" w:line="276" w:lineRule="auto"/>
        <w:rPr>
          <w:color w:val="8064A2"/>
        </w:rPr>
      </w:pPr>
      <w:r>
        <w:rPr>
          <w:color w:val="8064A2"/>
        </w:rPr>
        <w:t>Study of human environments that use tracer chemicals, particles or other materials to characterize airflow.</w:t>
      </w:r>
    </w:p>
    <w:p w14:paraId="4C93E8A3" w14:textId="77777777" w:rsidR="004521D0" w:rsidRPr="00AD33B7" w:rsidRDefault="004B5D1B" w:rsidP="008E1F98">
      <w:pPr>
        <w:numPr>
          <w:ilvl w:val="2"/>
          <w:numId w:val="10"/>
        </w:numPr>
        <w:spacing w:after="0" w:line="276" w:lineRule="auto"/>
        <w:rPr>
          <w:color w:val="8064A2"/>
        </w:rPr>
      </w:pPr>
      <w:r>
        <w:rPr>
          <w:color w:val="8064A2"/>
        </w:rPr>
        <w:t>Study in occupied homes or offices that:</w:t>
      </w:r>
    </w:p>
    <w:p w14:paraId="615092B9" w14:textId="77777777" w:rsidR="004521D0" w:rsidRPr="00AD33B7" w:rsidRDefault="004B5D1B" w:rsidP="008E1F98">
      <w:pPr>
        <w:numPr>
          <w:ilvl w:val="3"/>
          <w:numId w:val="10"/>
        </w:numPr>
        <w:spacing w:after="0" w:line="276" w:lineRule="auto"/>
        <w:rPr>
          <w:color w:val="8064A2"/>
        </w:rPr>
      </w:pPr>
      <w:r>
        <w:rPr>
          <w:color w:val="8064A2"/>
        </w:rPr>
        <w:t>Manipulate the environment to achieve research aims.</w:t>
      </w:r>
    </w:p>
    <w:p w14:paraId="6B19B76B" w14:textId="77777777" w:rsidR="004521D0" w:rsidRPr="00AD33B7" w:rsidRDefault="004B5D1B" w:rsidP="008E1F98">
      <w:pPr>
        <w:numPr>
          <w:ilvl w:val="3"/>
          <w:numId w:val="10"/>
        </w:numPr>
        <w:spacing w:after="0" w:line="276" w:lineRule="auto"/>
        <w:rPr>
          <w:color w:val="8064A2"/>
        </w:rPr>
      </w:pPr>
      <w:r>
        <w:rPr>
          <w:color w:val="8064A2"/>
        </w:rPr>
        <w:t>Test new materials.</w:t>
      </w:r>
    </w:p>
    <w:p w14:paraId="549E7982" w14:textId="77777777" w:rsidR="004521D0" w:rsidRPr="00AD33B7" w:rsidRDefault="004B5D1B" w:rsidP="008E1F98">
      <w:pPr>
        <w:numPr>
          <w:ilvl w:val="3"/>
          <w:numId w:val="10"/>
        </w:numPr>
        <w:spacing w:after="0" w:line="276" w:lineRule="auto"/>
        <w:rPr>
          <w:color w:val="8064A2"/>
        </w:rPr>
      </w:pPr>
      <w:r>
        <w:rPr>
          <w:color w:val="8064A2"/>
        </w:rPr>
        <w:t>Involve collecting information on occupants’ views of appliances, materials, or devices installed in their homes or their energy-saving behaviors through surveys and focus groups.</w:t>
      </w:r>
    </w:p>
    <w:p w14:paraId="5EA850F5" w14:textId="77777777" w:rsidR="004521D0" w:rsidRPr="00AD33B7" w:rsidRDefault="004B5D1B" w:rsidP="008E1F98">
      <w:pPr>
        <w:numPr>
          <w:ilvl w:val="1"/>
          <w:numId w:val="10"/>
        </w:numPr>
        <w:spacing w:after="0" w:line="276" w:lineRule="auto"/>
        <w:rPr>
          <w:color w:val="8064A2"/>
        </w:rPr>
      </w:pPr>
      <w:r>
        <w:rPr>
          <w:color w:val="8064A2"/>
        </w:rPr>
        <w:t>Use of social media data.</w:t>
      </w:r>
    </w:p>
    <w:p w14:paraId="7A36B3F2" w14:textId="77777777" w:rsidR="004521D0" w:rsidRPr="00AD33B7" w:rsidRDefault="004B5D1B" w:rsidP="008E1F98">
      <w:pPr>
        <w:numPr>
          <w:ilvl w:val="1"/>
          <w:numId w:val="10"/>
        </w:numPr>
        <w:spacing w:after="0" w:line="276" w:lineRule="auto"/>
        <w:rPr>
          <w:color w:val="8064A2"/>
        </w:rPr>
      </w:pPr>
      <w:r>
        <w:rPr>
          <w:color w:val="8064A2"/>
        </w:rPr>
        <w:t>Human Terrain Mapping (HTM).</w:t>
      </w:r>
    </w:p>
    <w:p w14:paraId="1FA24F2A" w14:textId="77777777" w:rsidR="004521D0" w:rsidRPr="00AD33B7" w:rsidRDefault="004B5D1B" w:rsidP="008E1F98">
      <w:pPr>
        <w:numPr>
          <w:ilvl w:val="1"/>
          <w:numId w:val="10"/>
        </w:numPr>
        <w:spacing w:after="0" w:line="276" w:lineRule="auto"/>
        <w:rPr>
          <w:color w:val="8064A2"/>
        </w:rPr>
      </w:pPr>
      <w:r>
        <w:rPr>
          <w:color w:val="8064A2"/>
        </w:rPr>
        <w:t xml:space="preserve">All exempt HSR determinations must be made by the appropriate IRB and/or IRB office. </w:t>
      </w:r>
    </w:p>
    <w:p w14:paraId="30C3C8AA" w14:textId="77777777" w:rsidR="004521D0" w:rsidRPr="00AD33B7" w:rsidRDefault="004B5D1B" w:rsidP="008E1F98">
      <w:pPr>
        <w:numPr>
          <w:ilvl w:val="0"/>
          <w:numId w:val="10"/>
        </w:numPr>
        <w:spacing w:after="0" w:line="276" w:lineRule="auto"/>
        <w:rPr>
          <w:color w:val="8064A2"/>
        </w:rPr>
      </w:pPr>
      <w:r>
        <w:rPr>
          <w:color w:val="8064A2"/>
        </w:rPr>
        <w:t>Personally identifiable information collected and/or used during HSR projects must be protected in accordance with the requirements of DOE Order 206.1, Department of Energy Privacy Program, current version. The Central DOE IRBs require submission of DOE’s HRP- 490-CHECKLIST-Reviewing Protocols that use Personally Identifiable Information (PII) if your research includes PII.</w:t>
      </w:r>
    </w:p>
    <w:p w14:paraId="61F5E365" w14:textId="77777777" w:rsidR="004521D0" w:rsidRPr="00AD33B7" w:rsidRDefault="004B5D1B" w:rsidP="008E1F98">
      <w:pPr>
        <w:pStyle w:val="ListParagraph"/>
        <w:numPr>
          <w:ilvl w:val="0"/>
          <w:numId w:val="10"/>
        </w:numPr>
        <w:rPr>
          <w:color w:val="8064A2"/>
        </w:rPr>
      </w:pPr>
      <w:r>
        <w:rPr>
          <w:color w:val="8064A2"/>
        </w:rPr>
        <w:t xml:space="preserve">You must report the following to the DOE human subjects research Program Manager (and, when a National Nuclear Security Administration (NNSA) element is involved, the NNSA HSP Program Manager) prior to initiation of any new human subjects research project, even if it meets the regulatory definition of exempt human subjects research as outlined in 10 CFR Part 745.104, involving: </w:t>
      </w:r>
    </w:p>
    <w:p w14:paraId="31217807" w14:textId="77777777" w:rsidR="004521D0" w:rsidRPr="00AD33B7" w:rsidRDefault="004B5D1B" w:rsidP="008E1F98">
      <w:pPr>
        <w:pStyle w:val="ListParagraph"/>
        <w:numPr>
          <w:ilvl w:val="1"/>
          <w:numId w:val="10"/>
        </w:numPr>
        <w:rPr>
          <w:color w:val="8064A2"/>
        </w:rPr>
      </w:pPr>
      <w:r>
        <w:rPr>
          <w:color w:val="8064A2"/>
        </w:rPr>
        <w:t xml:space="preserve">An institution without an established Institutional Review Board (IRB); </w:t>
      </w:r>
    </w:p>
    <w:p w14:paraId="6C067251" w14:textId="77777777" w:rsidR="004521D0" w:rsidRPr="00AD33B7" w:rsidRDefault="004B5D1B" w:rsidP="008E1F98">
      <w:pPr>
        <w:pStyle w:val="ListParagraph"/>
        <w:numPr>
          <w:ilvl w:val="1"/>
          <w:numId w:val="10"/>
        </w:numPr>
        <w:rPr>
          <w:color w:val="8064A2"/>
        </w:rPr>
      </w:pPr>
      <w:r>
        <w:rPr>
          <w:color w:val="8064A2"/>
        </w:rPr>
        <w:t xml:space="preserve">A foreign country; </w:t>
      </w:r>
    </w:p>
    <w:p w14:paraId="4E5C7C18" w14:textId="77777777" w:rsidR="004521D0" w:rsidRPr="00AD33B7" w:rsidRDefault="004B5D1B" w:rsidP="008E1F98">
      <w:pPr>
        <w:pStyle w:val="ListParagraph"/>
        <w:numPr>
          <w:ilvl w:val="1"/>
          <w:numId w:val="10"/>
        </w:numPr>
        <w:rPr>
          <w:color w:val="8064A2"/>
        </w:rPr>
      </w:pPr>
      <w:r>
        <w:rPr>
          <w:color w:val="8064A2"/>
        </w:rPr>
        <w:t>The potential for significant controversy (e.g., negative press or reaction from stakeholder or oversight groups);</w:t>
      </w:r>
    </w:p>
    <w:p w14:paraId="4D11897F" w14:textId="77777777" w:rsidR="004521D0" w:rsidRPr="00AD33B7" w:rsidRDefault="004B5D1B" w:rsidP="008E1F98">
      <w:pPr>
        <w:pStyle w:val="ListParagraph"/>
        <w:numPr>
          <w:ilvl w:val="1"/>
          <w:numId w:val="10"/>
        </w:numPr>
        <w:rPr>
          <w:color w:val="8064A2"/>
        </w:rPr>
      </w:pPr>
      <w:r>
        <w:rPr>
          <w:color w:val="8064A2"/>
        </w:rPr>
        <w:t xml:space="preserve">Research subjects in a protected class (prisoners, children, individuals with impaired decision-making capacity, or DOE/NNSA federal or DOE/NNSA contractor employees as human subjects, who may be more vulnerable to coercion and undue influence to participate) that is outside of the reviewing IRB’s typical range/scope; or </w:t>
      </w:r>
    </w:p>
    <w:p w14:paraId="34D4B2BE" w14:textId="77777777" w:rsidR="004521D0" w:rsidRPr="00AD33B7" w:rsidRDefault="004B5D1B" w:rsidP="008E1F98">
      <w:pPr>
        <w:pStyle w:val="ListParagraph"/>
        <w:numPr>
          <w:ilvl w:val="1"/>
          <w:numId w:val="10"/>
        </w:numPr>
        <w:spacing w:after="0"/>
        <w:rPr>
          <w:color w:val="8064A2"/>
        </w:rPr>
      </w:pPr>
      <w:r>
        <w:rPr>
          <w:color w:val="8064A2"/>
        </w:rPr>
        <w:t>The generation or use of classified information.</w:t>
      </w:r>
    </w:p>
    <w:p w14:paraId="5ED9E230" w14:textId="77777777" w:rsidR="004521D0" w:rsidRPr="00AD33B7" w:rsidRDefault="004B5D1B" w:rsidP="008E1F98">
      <w:pPr>
        <w:numPr>
          <w:ilvl w:val="0"/>
          <w:numId w:val="10"/>
        </w:numPr>
        <w:spacing w:after="0" w:line="276" w:lineRule="auto"/>
        <w:rPr>
          <w:color w:val="8064A2"/>
        </w:rPr>
      </w:pPr>
      <w:r>
        <w:rPr>
          <w:color w:val="8064A2"/>
        </w:rPr>
        <w:t>The IRB must be notified immediately and the DOE HSP Program Manager (and, when an NNSA element is involved, the NNSA HSP Program Manager) must be notified within 48 hours and consulted regarding planned corrective actions if any of the following occur:</w:t>
      </w:r>
    </w:p>
    <w:p w14:paraId="67C729FF" w14:textId="77777777" w:rsidR="004521D0" w:rsidRPr="00AD33B7" w:rsidRDefault="004B5D1B" w:rsidP="008E1F98">
      <w:pPr>
        <w:pStyle w:val="ListParagraph"/>
        <w:numPr>
          <w:ilvl w:val="1"/>
          <w:numId w:val="10"/>
        </w:numPr>
        <w:spacing w:after="0"/>
        <w:rPr>
          <w:color w:val="8064A2"/>
        </w:rPr>
      </w:pPr>
      <w:r>
        <w:rPr>
          <w:color w:val="8064A2"/>
        </w:rPr>
        <w:lastRenderedPageBreak/>
        <w:t xml:space="preserve">Adverse events. Notify the IRB for all adverse events and the DOE/NNSA HSP Program Manager if the IRB determines them to be significant, as defined in DOE Order 443.1C.  </w:t>
      </w:r>
    </w:p>
    <w:p w14:paraId="5EA2FE51" w14:textId="77777777" w:rsidR="004521D0" w:rsidRPr="00AD33B7" w:rsidRDefault="004B5D1B" w:rsidP="008E1F98">
      <w:pPr>
        <w:numPr>
          <w:ilvl w:val="1"/>
          <w:numId w:val="10"/>
        </w:numPr>
        <w:spacing w:after="0" w:line="276" w:lineRule="auto"/>
        <w:rPr>
          <w:color w:val="8064A2"/>
        </w:rPr>
      </w:pPr>
      <w:r>
        <w:rPr>
          <w:color w:val="8064A2"/>
        </w:rPr>
        <w:t>Unanticipated problems and complaints about the research.</w:t>
      </w:r>
    </w:p>
    <w:p w14:paraId="2E034BBC" w14:textId="77777777" w:rsidR="004521D0" w:rsidRPr="00AD33B7" w:rsidRDefault="004B5D1B" w:rsidP="008E1F98">
      <w:pPr>
        <w:numPr>
          <w:ilvl w:val="1"/>
          <w:numId w:val="10"/>
        </w:numPr>
        <w:spacing w:after="0" w:line="276" w:lineRule="auto"/>
        <w:rPr>
          <w:color w:val="8064A2"/>
        </w:rPr>
      </w:pPr>
      <w:r>
        <w:rPr>
          <w:color w:val="8064A2"/>
        </w:rPr>
        <w:t>Any suspension or termination of IRB approval of research.</w:t>
      </w:r>
    </w:p>
    <w:p w14:paraId="4F7D2AC3" w14:textId="77777777" w:rsidR="004521D0" w:rsidRPr="00AD33B7" w:rsidRDefault="004B5D1B" w:rsidP="008E1F98">
      <w:pPr>
        <w:numPr>
          <w:ilvl w:val="1"/>
          <w:numId w:val="10"/>
        </w:numPr>
        <w:spacing w:after="0" w:line="276" w:lineRule="auto"/>
        <w:rPr>
          <w:color w:val="8064A2"/>
        </w:rPr>
      </w:pPr>
      <w:r>
        <w:rPr>
          <w:color w:val="8064A2"/>
        </w:rPr>
        <w:t>Any significant non-compliance with HSP Program procedures or other requirements.</w:t>
      </w:r>
    </w:p>
    <w:p w14:paraId="0FDE4EEA" w14:textId="77777777" w:rsidR="004521D0" w:rsidRPr="00AD33B7" w:rsidRDefault="004B5D1B" w:rsidP="008E1F98">
      <w:pPr>
        <w:numPr>
          <w:ilvl w:val="1"/>
          <w:numId w:val="10"/>
        </w:numPr>
        <w:spacing w:after="0" w:line="276" w:lineRule="auto"/>
        <w:rPr>
          <w:color w:val="8064A2"/>
        </w:rPr>
      </w:pPr>
      <w:r>
        <w:rPr>
          <w:color w:val="8064A2"/>
        </w:rPr>
        <w:t xml:space="preserve">Any finding of a suspected or confirmed data breach involving PII in printed or electronic form.  Report immediately to the IRB, the DOE/NNSA HSP Program Manager(s), and the DOE-Cyber Incident Response Capability, in accordance with the requirements of the CRD associated with DOE O 206.1. </w:t>
      </w:r>
    </w:p>
    <w:p w14:paraId="5E8612D7" w14:textId="77777777" w:rsidR="004521D0" w:rsidRPr="00AD33B7" w:rsidRDefault="004B5D1B" w:rsidP="008E1F98">
      <w:pPr>
        <w:numPr>
          <w:ilvl w:val="1"/>
          <w:numId w:val="10"/>
        </w:numPr>
        <w:spacing w:after="0" w:line="276" w:lineRule="auto"/>
        <w:rPr>
          <w:color w:val="8064A2"/>
        </w:rPr>
      </w:pPr>
      <w:r>
        <w:rPr>
          <w:color w:val="8064A2"/>
        </w:rPr>
        <w:t>Serious adverse events and corrective actions taken must be reported immediately to the IRB and the DOE/NNSA HSP Program Manager(s). The time frame for “immediately” is defined as upon discovery.</w:t>
      </w:r>
    </w:p>
    <w:p w14:paraId="588DA5E9" w14:textId="77777777" w:rsidR="004521D0" w:rsidRPr="00AD33B7" w:rsidRDefault="004B5D1B" w:rsidP="008E1F98">
      <w:pPr>
        <w:numPr>
          <w:ilvl w:val="0"/>
          <w:numId w:val="10"/>
        </w:numPr>
        <w:spacing w:after="0" w:line="276" w:lineRule="auto"/>
        <w:rPr>
          <w:color w:val="8064A2"/>
        </w:rPr>
      </w:pPr>
      <w:r>
        <w:rPr>
          <w:color w:val="8064A2"/>
        </w:rPr>
        <w:t>Requirements for human participant protections for classified research apply to all classified research conducted or supported by the DOE and its national laboratories, including contracts, and including Human Terrain Mapping research.</w:t>
      </w:r>
    </w:p>
    <w:p w14:paraId="4D22B363" w14:textId="77777777" w:rsidR="004521D0" w:rsidRPr="00AD33B7" w:rsidRDefault="004B5D1B" w:rsidP="008E1F98">
      <w:pPr>
        <w:numPr>
          <w:ilvl w:val="0"/>
          <w:numId w:val="10"/>
        </w:numPr>
        <w:spacing w:after="0" w:line="276" w:lineRule="auto"/>
        <w:rPr>
          <w:color w:val="8064A2"/>
        </w:rPr>
      </w:pPr>
      <w:r>
        <w:rPr>
          <w:color w:val="8064A2"/>
        </w:rPr>
        <w:t>Researchers conducting human subjects research in any other country or on citizens or other individuals residing in that country must be cognizant of country-specific human subjects research requirements and consult the IRB regarding applicability of such requirements.</w:t>
      </w:r>
    </w:p>
    <w:p w14:paraId="4748AB57" w14:textId="77777777" w:rsidR="004521D0" w:rsidRPr="00AD33B7" w:rsidRDefault="004B5D1B" w:rsidP="008E1F98">
      <w:pPr>
        <w:numPr>
          <w:ilvl w:val="0"/>
          <w:numId w:val="10"/>
        </w:numPr>
        <w:spacing w:after="0" w:line="276" w:lineRule="auto"/>
        <w:rPr>
          <w:color w:val="8064A2"/>
        </w:rPr>
      </w:pPr>
      <w:r>
        <w:rPr>
          <w:color w:val="8064A2"/>
        </w:rPr>
        <w:t>No human subjects research conducted with DOE funding, at DOE institutions (regardless of funding source), or by DOE or DOE contractor personnel (regardless of funding source or location conducted), whether done domestically or in an international environment, including classified and proprietary research, may be initiated without both a Federalwide Assurance (FWA) or comparable assurance (e.g., Department of Defense assurance) of compliance and approval by the cognizant Institutional Review Board (IRB) in accordance with 10 CFR §745.103. Human subjects research involving multiple DOE sites (e.g., members of the research team from more than one DOE site and/or data or human subjects from more than one DOE site) must be reviewed and approved by one of the Central DOE IRBs prior to initiation, or if authorized by the DOE and/or NNSA HSP Program Manager, other appropriate IRB of record. In all cases, an IRB Authorization Agreement (IAA) or Memorandum of Understanding (MOU) must be in place between the organization(s) conducting the HSR and the organization responsible for IRB review.</w:t>
      </w:r>
    </w:p>
    <w:p w14:paraId="49E2024B" w14:textId="77777777" w:rsidR="004521D0" w:rsidRPr="00AD33B7" w:rsidRDefault="004B5D1B" w:rsidP="008E1F98">
      <w:pPr>
        <w:numPr>
          <w:ilvl w:val="0"/>
          <w:numId w:val="10"/>
        </w:numPr>
        <w:spacing w:after="0" w:line="276" w:lineRule="auto"/>
        <w:rPr>
          <w:color w:val="8064A2"/>
        </w:rPr>
      </w:pPr>
      <w:r>
        <w:rPr>
          <w:color w:val="8064A2"/>
        </w:rPr>
        <w:t>Human subjects research that involves DOE Federal and/or contractor employees must first be reviewed and approved by the appropriate DOE IRB (the DOE site IRB or one of the Central DOE IRBs), or if deemed more fitting by the Federally assured DOE site or Headquarters, other appropriate IRB of record, in accordance with an IAA or MOU negotiated between the DOE site or Headquarters and the organization responsible for IRB review.</w:t>
      </w:r>
    </w:p>
    <w:p w14:paraId="7E7EE157" w14:textId="77777777" w:rsidR="004521D0" w:rsidRPr="00AD33B7" w:rsidRDefault="004B5D1B" w:rsidP="008E1F98">
      <w:pPr>
        <w:numPr>
          <w:ilvl w:val="0"/>
          <w:numId w:val="10"/>
        </w:numPr>
        <w:spacing w:after="0" w:line="276" w:lineRule="auto"/>
        <w:rPr>
          <w:color w:val="8064A2"/>
        </w:rPr>
      </w:pPr>
      <w:r>
        <w:rPr>
          <w:color w:val="8064A2"/>
        </w:rPr>
        <w:t>Classified and unclassified human subjects research that is funded through the Strategic Intelligence Partnership Program (SIPP) must be reviewed and approved by the Central DOE IRB-Classified.</w:t>
      </w:r>
    </w:p>
    <w:p w14:paraId="6497CE99" w14:textId="77777777" w:rsidR="004521D0" w:rsidRPr="00AD33B7" w:rsidRDefault="004B5D1B" w:rsidP="008E1F98">
      <w:pPr>
        <w:numPr>
          <w:ilvl w:val="0"/>
          <w:numId w:val="10"/>
        </w:numPr>
        <w:spacing w:after="0" w:line="276" w:lineRule="auto"/>
        <w:rPr>
          <w:color w:val="8064A2"/>
        </w:rPr>
      </w:pPr>
      <w:r>
        <w:rPr>
          <w:color w:val="8064A2"/>
        </w:rPr>
        <w:t>If applicable, federally funded HSR must comply with the requirements of the Paperwork Reduction Act.</w:t>
      </w:r>
    </w:p>
    <w:p w14:paraId="2EDDB77F" w14:textId="77777777" w:rsidR="004521D0" w:rsidRPr="00AD33B7" w:rsidRDefault="004B5D1B" w:rsidP="008E1F98">
      <w:pPr>
        <w:numPr>
          <w:ilvl w:val="0"/>
          <w:numId w:val="10"/>
        </w:numPr>
        <w:spacing w:after="0" w:line="276" w:lineRule="auto"/>
        <w:rPr>
          <w:color w:val="8064A2"/>
        </w:rPr>
      </w:pPr>
      <w:r>
        <w:rPr>
          <w:color w:val="8064A2"/>
        </w:rPr>
        <w:lastRenderedPageBreak/>
        <w:t>Other specific requirements of the DOE research can be found in the “Additional Requirements for Department of Energy (DOE) Research” section in the IRB’s HRP-318 - WORKSHEET - Additional Federal Agency Criteria.</w:t>
      </w:r>
    </w:p>
    <w:bookmarkEnd w:id="170"/>
    <w:p w14:paraId="0AD55CE8" w14:textId="77777777" w:rsidR="004521D0" w:rsidRPr="00AD33B7" w:rsidRDefault="004521D0">
      <w:pPr>
        <w:spacing w:line="276" w:lineRule="auto"/>
        <w:rPr>
          <w:color w:val="8064A2"/>
        </w:rPr>
      </w:pPr>
    </w:p>
    <w:p w14:paraId="3659D49F" w14:textId="77777777" w:rsidR="004521D0" w:rsidRPr="00AD33B7" w:rsidRDefault="004B5D1B">
      <w:pPr>
        <w:pStyle w:val="HotDocsvariable"/>
        <w:rPr>
          <w:color w:val="F79646"/>
        </w:rPr>
      </w:pPr>
      <w:r>
        <w:rPr>
          <w:color w:val="F79646"/>
        </w:rPr>
        <w:br w:type="page"/>
      </w:r>
    </w:p>
    <w:p w14:paraId="2F3EB546" w14:textId="77777777" w:rsidR="004521D0" w:rsidRPr="00AD33B7" w:rsidRDefault="41B41E75">
      <w:pPr>
        <w:pStyle w:val="Heading2AppendixA"/>
        <w:pageBreakBefore w:val="0"/>
        <w:spacing w:line="276" w:lineRule="auto"/>
      </w:pPr>
      <w:bookmarkStart w:id="174" w:name="_Toc2117061784"/>
      <w:bookmarkStart w:id="175" w:name="_Toc212142189"/>
      <w:bookmarkStart w:id="176" w:name="_Toc225507729"/>
      <w:r>
        <w:lastRenderedPageBreak/>
        <w:t>Additional Requirements for Department of Justice (DOJ) Research</w:t>
      </w:r>
      <w:bookmarkEnd w:id="174"/>
      <w:bookmarkEnd w:id="175"/>
      <w:bookmarkEnd w:id="176"/>
    </w:p>
    <w:p w14:paraId="13BD0C49" w14:textId="77777777" w:rsidR="004521D0" w:rsidRPr="001F749B" w:rsidRDefault="41B41E75">
      <w:pPr>
        <w:pStyle w:val="Heading3"/>
        <w:spacing w:line="276" w:lineRule="auto"/>
      </w:pPr>
      <w:bookmarkStart w:id="177" w:name="_Toc89730254"/>
      <w:bookmarkStart w:id="178" w:name="_Toc1904716556"/>
      <w:bookmarkStart w:id="179" w:name="_Toc212142190"/>
      <w:bookmarkStart w:id="180" w:name="_Toc225507730"/>
      <w:r>
        <w:t>Additional Requirements for DOJ Research conducted in the Federal Bureau of Prisons</w:t>
      </w:r>
      <w:bookmarkEnd w:id="177"/>
      <w:bookmarkEnd w:id="178"/>
      <w:bookmarkEnd w:id="179"/>
      <w:bookmarkEnd w:id="180"/>
    </w:p>
    <w:p w14:paraId="568CF56E" w14:textId="77777777" w:rsidR="004521D0" w:rsidRPr="002F3966" w:rsidRDefault="004B5D1B" w:rsidP="008E1F98">
      <w:pPr>
        <w:numPr>
          <w:ilvl w:val="0"/>
          <w:numId w:val="16"/>
        </w:numPr>
        <w:spacing w:after="0" w:line="276" w:lineRule="auto"/>
        <w:rPr>
          <w:color w:val="953000"/>
        </w:rPr>
      </w:pPr>
      <w:r>
        <w:rPr>
          <w:color w:val="953000"/>
        </w:rPr>
        <w:t>Implementation of Bureau programmatic or operational initiatives made through pilot projects is not considered to be research.</w:t>
      </w:r>
    </w:p>
    <w:p w14:paraId="78B05D8A" w14:textId="77777777" w:rsidR="004521D0" w:rsidRPr="002F3966" w:rsidRDefault="004B5D1B" w:rsidP="008E1F98">
      <w:pPr>
        <w:numPr>
          <w:ilvl w:val="0"/>
          <w:numId w:val="16"/>
        </w:numPr>
        <w:spacing w:after="0" w:line="276" w:lineRule="auto"/>
        <w:rPr>
          <w:color w:val="953000"/>
        </w:rPr>
      </w:pPr>
      <w:r>
        <w:rPr>
          <w:color w:val="953000"/>
        </w:rPr>
        <w:t>The project must not involve medical experimentation, cosmetic research, or pharmaceutical testing.</w:t>
      </w:r>
    </w:p>
    <w:p w14:paraId="21017C82" w14:textId="77777777" w:rsidR="004521D0" w:rsidRPr="002F3966" w:rsidRDefault="004B5D1B" w:rsidP="008E1F98">
      <w:pPr>
        <w:numPr>
          <w:ilvl w:val="0"/>
          <w:numId w:val="16"/>
        </w:numPr>
        <w:spacing w:after="0" w:line="276" w:lineRule="auto"/>
        <w:rPr>
          <w:color w:val="953000"/>
        </w:rPr>
      </w:pPr>
      <w:r>
        <w:rPr>
          <w:color w:val="953000"/>
        </w:rPr>
        <w:t>The research design must be compatible with both the operation of prison facilities and protection of human subjects.</w:t>
      </w:r>
    </w:p>
    <w:p w14:paraId="511246FD" w14:textId="77777777" w:rsidR="004521D0" w:rsidRPr="002F3966" w:rsidRDefault="004B5D1B" w:rsidP="008E1F98">
      <w:pPr>
        <w:numPr>
          <w:ilvl w:val="0"/>
          <w:numId w:val="16"/>
        </w:numPr>
        <w:spacing w:after="0" w:line="276" w:lineRule="auto"/>
        <w:rPr>
          <w:color w:val="953000"/>
        </w:rPr>
      </w:pPr>
      <w:r>
        <w:rPr>
          <w:color w:val="953000"/>
        </w:rPr>
        <w:t>Investigators must observe the rules of the institution or office in which the research is conducted.</w:t>
      </w:r>
    </w:p>
    <w:p w14:paraId="453A47DA" w14:textId="77777777" w:rsidR="004521D0" w:rsidRPr="002F3966" w:rsidRDefault="004B5D1B" w:rsidP="008E1F98">
      <w:pPr>
        <w:numPr>
          <w:ilvl w:val="0"/>
          <w:numId w:val="16"/>
        </w:numPr>
        <w:spacing w:after="0" w:line="276" w:lineRule="auto"/>
        <w:rPr>
          <w:color w:val="953000"/>
        </w:rPr>
      </w:pPr>
      <w:r>
        <w:rPr>
          <w:color w:val="953000"/>
        </w:rPr>
        <w:t>Any investigator who is a non-employee of the Bureau of Prisoners must sign a statement in which the investigator agrees to adhere to the requirements of 28 CFR §512.</w:t>
      </w:r>
    </w:p>
    <w:p w14:paraId="67E35E45" w14:textId="77777777" w:rsidR="004521D0" w:rsidRPr="002F3966" w:rsidRDefault="004B5D1B" w:rsidP="008E1F98">
      <w:pPr>
        <w:numPr>
          <w:ilvl w:val="0"/>
          <w:numId w:val="16"/>
        </w:numPr>
        <w:spacing w:after="0" w:line="276" w:lineRule="auto"/>
        <w:rPr>
          <w:color w:val="953000"/>
        </w:rPr>
      </w:pPr>
      <w:r>
        <w:rPr>
          <w:color w:val="953000"/>
        </w:rPr>
        <w:t>The research must be reviewed and approved by the Bureau Research Review Board.</w:t>
      </w:r>
    </w:p>
    <w:p w14:paraId="18A4625F" w14:textId="77777777" w:rsidR="004521D0" w:rsidRPr="002F3966" w:rsidRDefault="004B5D1B" w:rsidP="008E1F98">
      <w:pPr>
        <w:numPr>
          <w:ilvl w:val="0"/>
          <w:numId w:val="16"/>
        </w:numPr>
        <w:spacing w:after="0" w:line="276" w:lineRule="auto"/>
        <w:rPr>
          <w:color w:val="953000"/>
        </w:rPr>
      </w:pPr>
      <w:r>
        <w:rPr>
          <w:color w:val="953000"/>
        </w:rPr>
        <w:t>Incentives cannot be offered to help persuade inmate subjects to participate. However, soft drinks and snacks to be consumed at the test setting may be offered. Reasonable accommodations such as nominal monetary recompense for time and effort may be offered to non-confined research subjects who are both: 1) No longer in Bureau of Prisons custody, and 2) Participating in authorized research being conducted by Bureau employees or contractors.</w:t>
      </w:r>
    </w:p>
    <w:p w14:paraId="755EA02A" w14:textId="77777777" w:rsidR="004521D0" w:rsidRPr="002F3966" w:rsidRDefault="004B5D1B" w:rsidP="008E1F98">
      <w:pPr>
        <w:numPr>
          <w:ilvl w:val="0"/>
          <w:numId w:val="16"/>
        </w:numPr>
        <w:spacing w:after="0" w:line="276" w:lineRule="auto"/>
        <w:rPr>
          <w:color w:val="953000"/>
        </w:rPr>
      </w:pPr>
      <w:r>
        <w:rPr>
          <w:color w:val="953000"/>
        </w:rPr>
        <w:t>A non-employee of the Bureau may receive records in a form not individually identifiable when advance adequate written assurance that the record will be used solely as statistical research or reporting record is provided to the agency.</w:t>
      </w:r>
    </w:p>
    <w:p w14:paraId="4A335A4D" w14:textId="77777777" w:rsidR="004521D0" w:rsidRPr="002F3966" w:rsidRDefault="004B5D1B" w:rsidP="008E1F98">
      <w:pPr>
        <w:numPr>
          <w:ilvl w:val="0"/>
          <w:numId w:val="16"/>
        </w:numPr>
        <w:spacing w:after="0" w:line="276" w:lineRule="auto"/>
        <w:rPr>
          <w:color w:val="953000"/>
        </w:rPr>
      </w:pPr>
      <w:r>
        <w:rPr>
          <w:color w:val="953000"/>
        </w:rPr>
        <w:t>Except as noted in the consent statement to the subject, you must not provide research information that identifies a subject to any person without that subject’s prior written consent to release the information. For example, research information identifiable to a particular individual cannot be admitted as evidence or used for any purpose in any action, suit, or other judicial, administrative, or legislative proceeding without the written consent of the individual to whom the data pertain.</w:t>
      </w:r>
    </w:p>
    <w:p w14:paraId="2F1C1D4E" w14:textId="77777777" w:rsidR="004521D0" w:rsidRPr="002F3966" w:rsidRDefault="004B5D1B" w:rsidP="008E1F98">
      <w:pPr>
        <w:numPr>
          <w:ilvl w:val="0"/>
          <w:numId w:val="16"/>
        </w:numPr>
        <w:spacing w:after="0" w:line="276" w:lineRule="auto"/>
        <w:rPr>
          <w:color w:val="953000"/>
        </w:rPr>
      </w:pPr>
      <w:r>
        <w:rPr>
          <w:color w:val="953000"/>
        </w:rPr>
        <w:t>Except for computerized data records maintained at an official Department of Justice site, records that contain non-disclosable information directly traceable to a specific person may not be stored in, or introduced into, an electronic retrieval system.</w:t>
      </w:r>
    </w:p>
    <w:p w14:paraId="649D114D" w14:textId="77777777" w:rsidR="004521D0" w:rsidRPr="002F3966" w:rsidRDefault="004B5D1B" w:rsidP="008E1F98">
      <w:pPr>
        <w:numPr>
          <w:ilvl w:val="0"/>
          <w:numId w:val="16"/>
        </w:numPr>
        <w:spacing w:after="0" w:line="276" w:lineRule="auto"/>
        <w:rPr>
          <w:color w:val="953000"/>
        </w:rPr>
      </w:pPr>
      <w:r>
        <w:rPr>
          <w:color w:val="953000"/>
        </w:rPr>
        <w:t>If you are conducting a study of special interest to the Office of Research and Evaluation but the study is not a joint project involving Office of Research and Evaluation, you may be asked to provide Office of Research and Evaluation with the computerized research data, not identifiable to individual subjects, accompanied by detailed documentation. These arrangements must be negotiated prior to the beginning of the data collection phase of the project.</w:t>
      </w:r>
    </w:p>
    <w:p w14:paraId="78AD9A40" w14:textId="77777777" w:rsidR="004521D0" w:rsidRPr="002F3966" w:rsidRDefault="004B5D1B" w:rsidP="008E1F98">
      <w:pPr>
        <w:numPr>
          <w:ilvl w:val="0"/>
          <w:numId w:val="16"/>
        </w:numPr>
        <w:spacing w:after="0" w:line="276" w:lineRule="auto"/>
        <w:rPr>
          <w:color w:val="953000"/>
        </w:rPr>
      </w:pPr>
      <w:r>
        <w:rPr>
          <w:color w:val="953000"/>
        </w:rPr>
        <w:t>Required elements of disclosure additionally include:</w:t>
      </w:r>
    </w:p>
    <w:p w14:paraId="37037CF1" w14:textId="77777777" w:rsidR="004521D0" w:rsidRPr="002F3966" w:rsidRDefault="004B5D1B" w:rsidP="008E1F98">
      <w:pPr>
        <w:numPr>
          <w:ilvl w:val="1"/>
          <w:numId w:val="16"/>
        </w:numPr>
        <w:spacing w:after="0" w:line="276" w:lineRule="auto"/>
        <w:rPr>
          <w:color w:val="953000"/>
        </w:rPr>
      </w:pPr>
      <w:r>
        <w:rPr>
          <w:color w:val="953000"/>
        </w:rPr>
        <w:t>Identification of the investigators.</w:t>
      </w:r>
    </w:p>
    <w:p w14:paraId="1BDCEE6A" w14:textId="77777777" w:rsidR="004521D0" w:rsidRPr="002F3966" w:rsidRDefault="004B5D1B" w:rsidP="008E1F98">
      <w:pPr>
        <w:numPr>
          <w:ilvl w:val="1"/>
          <w:numId w:val="16"/>
        </w:numPr>
        <w:spacing w:after="0" w:line="276" w:lineRule="auto"/>
        <w:rPr>
          <w:color w:val="953000"/>
        </w:rPr>
      </w:pPr>
      <w:r>
        <w:rPr>
          <w:color w:val="953000"/>
        </w:rPr>
        <w:t>Anticipated uses of the results of the research.</w:t>
      </w:r>
    </w:p>
    <w:p w14:paraId="05B30937" w14:textId="77777777" w:rsidR="004521D0" w:rsidRPr="002F3966" w:rsidRDefault="004B5D1B" w:rsidP="008E1F98">
      <w:pPr>
        <w:numPr>
          <w:ilvl w:val="1"/>
          <w:numId w:val="16"/>
        </w:numPr>
        <w:spacing w:after="0" w:line="276" w:lineRule="auto"/>
        <w:rPr>
          <w:color w:val="953000"/>
        </w:rPr>
      </w:pPr>
      <w:r>
        <w:rPr>
          <w:color w:val="953000"/>
        </w:rPr>
        <w:lastRenderedPageBreak/>
        <w:t>A statement that participation is completely voluntary and that the subject may withdraw consent and end participation in the project at any time without penalty or prejudice (the inmate will be returned to regular assignment or activity by staff as soon as practicable).</w:t>
      </w:r>
    </w:p>
    <w:p w14:paraId="40753901" w14:textId="77777777" w:rsidR="004521D0" w:rsidRPr="002F3966" w:rsidRDefault="004B5D1B" w:rsidP="008E1F98">
      <w:pPr>
        <w:numPr>
          <w:ilvl w:val="1"/>
          <w:numId w:val="16"/>
        </w:numPr>
        <w:spacing w:after="0" w:line="276" w:lineRule="auto"/>
        <w:rPr>
          <w:color w:val="953000"/>
        </w:rPr>
      </w:pPr>
      <w:r>
        <w:rPr>
          <w:color w:val="953000"/>
        </w:rPr>
        <w:t>A statement regarding the confidentiality of the research information and exceptions to any guarantees of confidentiality required by federal or state law. For example, an investigator may not guarantee confidentiality when the subject indicates intent to commit future criminal conduct or harm himself or herself or someone else, or, if the subject is an inmate, indicates intent to leave the facility without authorization.</w:t>
      </w:r>
    </w:p>
    <w:p w14:paraId="6C18B3C7" w14:textId="77777777" w:rsidR="004521D0" w:rsidRPr="002F3966" w:rsidRDefault="004B5D1B" w:rsidP="008E1F98">
      <w:pPr>
        <w:numPr>
          <w:ilvl w:val="1"/>
          <w:numId w:val="16"/>
        </w:numPr>
        <w:spacing w:after="0" w:line="276" w:lineRule="auto"/>
        <w:rPr>
          <w:color w:val="953000"/>
        </w:rPr>
      </w:pPr>
      <w:r>
        <w:rPr>
          <w:color w:val="953000"/>
        </w:rPr>
        <w:t>A statement that participation in the research project will have no effect on the inmate subject's release date or parole eligibility.</w:t>
      </w:r>
    </w:p>
    <w:p w14:paraId="0AB5C006" w14:textId="77777777" w:rsidR="004521D0" w:rsidRPr="002F3966" w:rsidRDefault="004B5D1B" w:rsidP="008E1F98">
      <w:pPr>
        <w:numPr>
          <w:ilvl w:val="0"/>
          <w:numId w:val="16"/>
        </w:numPr>
        <w:spacing w:after="0" w:line="276" w:lineRule="auto"/>
        <w:rPr>
          <w:color w:val="953000"/>
        </w:rPr>
      </w:pPr>
      <w:r>
        <w:rPr>
          <w:color w:val="953000"/>
        </w:rPr>
        <w:t>You must have academic preparation or experience in the area of study of the proposed research.</w:t>
      </w:r>
    </w:p>
    <w:p w14:paraId="79945ADA" w14:textId="77777777" w:rsidR="004521D0" w:rsidRPr="002F3966" w:rsidRDefault="004B5D1B" w:rsidP="008E1F98">
      <w:pPr>
        <w:numPr>
          <w:ilvl w:val="0"/>
          <w:numId w:val="16"/>
        </w:numPr>
        <w:spacing w:after="0" w:line="276" w:lineRule="auto"/>
        <w:rPr>
          <w:color w:val="953000"/>
        </w:rPr>
      </w:pPr>
      <w:r>
        <w:rPr>
          <w:color w:val="953000"/>
        </w:rPr>
        <w:t>The IRB application must include a summary statement, which includes:</w:t>
      </w:r>
    </w:p>
    <w:p w14:paraId="4B6E51A2" w14:textId="77777777" w:rsidR="004521D0" w:rsidRPr="002F3966" w:rsidRDefault="004B5D1B" w:rsidP="008E1F98">
      <w:pPr>
        <w:numPr>
          <w:ilvl w:val="1"/>
          <w:numId w:val="16"/>
        </w:numPr>
        <w:spacing w:after="0" w:line="276" w:lineRule="auto"/>
        <w:rPr>
          <w:color w:val="953000"/>
        </w:rPr>
      </w:pPr>
      <w:r>
        <w:rPr>
          <w:color w:val="953000"/>
        </w:rPr>
        <w:t>Names and current affiliations of the investigators.</w:t>
      </w:r>
    </w:p>
    <w:p w14:paraId="623E982E" w14:textId="77777777" w:rsidR="004521D0" w:rsidRPr="002F3966" w:rsidRDefault="004B5D1B" w:rsidP="008E1F98">
      <w:pPr>
        <w:numPr>
          <w:ilvl w:val="1"/>
          <w:numId w:val="16"/>
        </w:numPr>
        <w:spacing w:after="0" w:line="276" w:lineRule="auto"/>
        <w:rPr>
          <w:color w:val="953000"/>
        </w:rPr>
      </w:pPr>
      <w:r>
        <w:rPr>
          <w:color w:val="953000"/>
        </w:rPr>
        <w:t>Title of the study.</w:t>
      </w:r>
    </w:p>
    <w:p w14:paraId="1660FEDF" w14:textId="77777777" w:rsidR="004521D0" w:rsidRPr="002F3966" w:rsidRDefault="004B5D1B" w:rsidP="008E1F98">
      <w:pPr>
        <w:numPr>
          <w:ilvl w:val="1"/>
          <w:numId w:val="16"/>
        </w:numPr>
        <w:spacing w:after="0" w:line="276" w:lineRule="auto"/>
        <w:rPr>
          <w:color w:val="953000"/>
        </w:rPr>
      </w:pPr>
      <w:r>
        <w:rPr>
          <w:color w:val="953000"/>
        </w:rPr>
        <w:t>Purpose of the study.</w:t>
      </w:r>
    </w:p>
    <w:p w14:paraId="221E628B" w14:textId="77777777" w:rsidR="004521D0" w:rsidRPr="002F3966" w:rsidRDefault="004B5D1B" w:rsidP="008E1F98">
      <w:pPr>
        <w:numPr>
          <w:ilvl w:val="1"/>
          <w:numId w:val="16"/>
        </w:numPr>
        <w:spacing w:after="0" w:line="276" w:lineRule="auto"/>
        <w:rPr>
          <w:color w:val="953000"/>
        </w:rPr>
      </w:pPr>
      <w:r>
        <w:rPr>
          <w:color w:val="953000"/>
        </w:rPr>
        <w:t>Location of the study.</w:t>
      </w:r>
    </w:p>
    <w:p w14:paraId="02B72473" w14:textId="77777777" w:rsidR="004521D0" w:rsidRPr="002F3966" w:rsidRDefault="004B5D1B" w:rsidP="008E1F98">
      <w:pPr>
        <w:numPr>
          <w:ilvl w:val="1"/>
          <w:numId w:val="16"/>
        </w:numPr>
        <w:spacing w:after="0" w:line="276" w:lineRule="auto"/>
        <w:rPr>
          <w:color w:val="953000"/>
        </w:rPr>
      </w:pPr>
      <w:r>
        <w:rPr>
          <w:color w:val="953000"/>
        </w:rPr>
        <w:t>Methods to be employed.</w:t>
      </w:r>
    </w:p>
    <w:p w14:paraId="46FDFADC" w14:textId="77777777" w:rsidR="004521D0" w:rsidRPr="002F3966" w:rsidRDefault="004B5D1B" w:rsidP="008E1F98">
      <w:pPr>
        <w:numPr>
          <w:ilvl w:val="1"/>
          <w:numId w:val="16"/>
        </w:numPr>
        <w:spacing w:after="0" w:line="276" w:lineRule="auto"/>
        <w:rPr>
          <w:color w:val="953000"/>
        </w:rPr>
      </w:pPr>
      <w:r>
        <w:rPr>
          <w:color w:val="953000"/>
        </w:rPr>
        <w:t>Anticipated results.</w:t>
      </w:r>
    </w:p>
    <w:p w14:paraId="188DB4C6" w14:textId="77777777" w:rsidR="004521D0" w:rsidRPr="002F3966" w:rsidRDefault="004B5D1B" w:rsidP="008E1F98">
      <w:pPr>
        <w:numPr>
          <w:ilvl w:val="1"/>
          <w:numId w:val="16"/>
        </w:numPr>
        <w:spacing w:after="0" w:line="276" w:lineRule="auto"/>
        <w:rPr>
          <w:color w:val="953000"/>
        </w:rPr>
      </w:pPr>
      <w:r>
        <w:rPr>
          <w:color w:val="953000"/>
        </w:rPr>
        <w:t>Duration of the study.</w:t>
      </w:r>
    </w:p>
    <w:p w14:paraId="0F5CDB29" w14:textId="77777777" w:rsidR="004521D0" w:rsidRPr="002F3966" w:rsidRDefault="004B5D1B" w:rsidP="008E1F98">
      <w:pPr>
        <w:numPr>
          <w:ilvl w:val="1"/>
          <w:numId w:val="16"/>
        </w:numPr>
        <w:spacing w:after="0" w:line="276" w:lineRule="auto"/>
        <w:rPr>
          <w:color w:val="953000"/>
        </w:rPr>
      </w:pPr>
      <w:r>
        <w:rPr>
          <w:color w:val="953000"/>
        </w:rPr>
        <w:t>Number of subjects (staff or inmates) required, and amount of time required from each.</w:t>
      </w:r>
    </w:p>
    <w:p w14:paraId="78507574" w14:textId="77777777" w:rsidR="004521D0" w:rsidRPr="002F3966" w:rsidRDefault="004B5D1B" w:rsidP="008E1F98">
      <w:pPr>
        <w:numPr>
          <w:ilvl w:val="1"/>
          <w:numId w:val="16"/>
        </w:numPr>
        <w:spacing w:after="0" w:line="276" w:lineRule="auto"/>
        <w:rPr>
          <w:color w:val="953000"/>
        </w:rPr>
      </w:pPr>
      <w:r>
        <w:rPr>
          <w:color w:val="953000"/>
        </w:rPr>
        <w:t>Indication of risk or discomfort involved as a result of participation.</w:t>
      </w:r>
    </w:p>
    <w:p w14:paraId="41B6E0DF" w14:textId="77777777" w:rsidR="004521D0" w:rsidRPr="002F3966" w:rsidRDefault="004B5D1B" w:rsidP="008E1F98">
      <w:pPr>
        <w:numPr>
          <w:ilvl w:val="0"/>
          <w:numId w:val="16"/>
        </w:numPr>
        <w:spacing w:after="0" w:line="276" w:lineRule="auto"/>
        <w:rPr>
          <w:color w:val="953000"/>
        </w:rPr>
      </w:pPr>
      <w:r>
        <w:rPr>
          <w:color w:val="953000"/>
        </w:rPr>
        <w:t>The IRB application must include a comprehensive statement, which includes:</w:t>
      </w:r>
    </w:p>
    <w:p w14:paraId="1FDD9D0F" w14:textId="77777777" w:rsidR="004521D0" w:rsidRPr="002F3966" w:rsidRDefault="004B5D1B" w:rsidP="008E1F98">
      <w:pPr>
        <w:numPr>
          <w:ilvl w:val="1"/>
          <w:numId w:val="16"/>
        </w:numPr>
        <w:spacing w:after="0" w:line="276" w:lineRule="auto"/>
        <w:rPr>
          <w:color w:val="953000"/>
        </w:rPr>
      </w:pPr>
      <w:r>
        <w:rPr>
          <w:color w:val="953000"/>
        </w:rPr>
        <w:t>Review of related literature.</w:t>
      </w:r>
    </w:p>
    <w:p w14:paraId="13DF1E52" w14:textId="77777777" w:rsidR="004521D0" w:rsidRPr="002F3966" w:rsidRDefault="004B5D1B" w:rsidP="008E1F98">
      <w:pPr>
        <w:numPr>
          <w:ilvl w:val="1"/>
          <w:numId w:val="16"/>
        </w:numPr>
        <w:spacing w:after="0" w:line="276" w:lineRule="auto"/>
        <w:rPr>
          <w:color w:val="953000"/>
        </w:rPr>
      </w:pPr>
      <w:r>
        <w:rPr>
          <w:color w:val="953000"/>
        </w:rPr>
        <w:t>Detailed description of the research method.</w:t>
      </w:r>
    </w:p>
    <w:p w14:paraId="719AE968" w14:textId="77777777" w:rsidR="004521D0" w:rsidRPr="002F3966" w:rsidRDefault="004B5D1B" w:rsidP="008E1F98">
      <w:pPr>
        <w:numPr>
          <w:ilvl w:val="1"/>
          <w:numId w:val="16"/>
        </w:numPr>
        <w:spacing w:after="0" w:line="276" w:lineRule="auto"/>
        <w:rPr>
          <w:color w:val="953000"/>
        </w:rPr>
      </w:pPr>
      <w:r>
        <w:rPr>
          <w:color w:val="953000"/>
        </w:rPr>
        <w:t>Significance of anticipated results and their contribution to the advancement of knowledge.</w:t>
      </w:r>
    </w:p>
    <w:p w14:paraId="5EF92EC5" w14:textId="77777777" w:rsidR="004521D0" w:rsidRPr="002F3966" w:rsidRDefault="004B5D1B" w:rsidP="008E1F98">
      <w:pPr>
        <w:numPr>
          <w:ilvl w:val="1"/>
          <w:numId w:val="16"/>
        </w:numPr>
        <w:spacing w:after="0" w:line="276" w:lineRule="auto"/>
        <w:rPr>
          <w:color w:val="953000"/>
        </w:rPr>
      </w:pPr>
      <w:r>
        <w:rPr>
          <w:color w:val="953000"/>
        </w:rPr>
        <w:t>Specific resources required from the Bureau of Prisons.</w:t>
      </w:r>
    </w:p>
    <w:p w14:paraId="18841C4D" w14:textId="77777777" w:rsidR="004521D0" w:rsidRPr="002F3966" w:rsidRDefault="004B5D1B" w:rsidP="008E1F98">
      <w:pPr>
        <w:numPr>
          <w:ilvl w:val="1"/>
          <w:numId w:val="16"/>
        </w:numPr>
        <w:spacing w:after="0" w:line="276" w:lineRule="auto"/>
        <w:rPr>
          <w:color w:val="953000"/>
        </w:rPr>
      </w:pPr>
      <w:r>
        <w:rPr>
          <w:color w:val="953000"/>
        </w:rPr>
        <w:t>Description of all possible risks, discomforts, and benefits to individual subjects or a class of subjects, and a discussion of the likelihood that the risks and discomforts will actually occur.</w:t>
      </w:r>
    </w:p>
    <w:p w14:paraId="1F3E7C8F" w14:textId="77777777" w:rsidR="004521D0" w:rsidRPr="002F3966" w:rsidRDefault="004B5D1B" w:rsidP="008E1F98">
      <w:pPr>
        <w:numPr>
          <w:ilvl w:val="1"/>
          <w:numId w:val="16"/>
        </w:numPr>
        <w:spacing w:after="0" w:line="276" w:lineRule="auto"/>
        <w:rPr>
          <w:color w:val="953000"/>
        </w:rPr>
      </w:pPr>
      <w:r>
        <w:rPr>
          <w:color w:val="953000"/>
        </w:rPr>
        <w:t>Description of steps taken to minimize any risks.</w:t>
      </w:r>
    </w:p>
    <w:p w14:paraId="3B3D3179" w14:textId="77777777" w:rsidR="004521D0" w:rsidRPr="002F3966" w:rsidRDefault="004B5D1B" w:rsidP="008E1F98">
      <w:pPr>
        <w:numPr>
          <w:ilvl w:val="1"/>
          <w:numId w:val="16"/>
        </w:numPr>
        <w:spacing w:after="0" w:line="276" w:lineRule="auto"/>
        <w:rPr>
          <w:color w:val="953000"/>
        </w:rPr>
      </w:pPr>
      <w:r>
        <w:rPr>
          <w:color w:val="953000"/>
        </w:rPr>
        <w:t>Description of physical or administrative procedures to be followed to: Ensure the security of any individually identifiable data that are being collected for the study.</w:t>
      </w:r>
    </w:p>
    <w:p w14:paraId="359FB949" w14:textId="77777777" w:rsidR="004521D0" w:rsidRPr="002F3966" w:rsidRDefault="004B5D1B" w:rsidP="008E1F98">
      <w:pPr>
        <w:numPr>
          <w:ilvl w:val="1"/>
          <w:numId w:val="16"/>
        </w:numPr>
        <w:spacing w:after="0" w:line="276" w:lineRule="auto"/>
        <w:rPr>
          <w:color w:val="953000"/>
        </w:rPr>
      </w:pPr>
      <w:r>
        <w:rPr>
          <w:color w:val="953000"/>
        </w:rPr>
        <w:t>Destroy research records or remove individual identifiers from those records when the research has been completed.</w:t>
      </w:r>
    </w:p>
    <w:p w14:paraId="4B94068D" w14:textId="77777777" w:rsidR="004521D0" w:rsidRPr="002F3966" w:rsidRDefault="004B5D1B" w:rsidP="008E1F98">
      <w:pPr>
        <w:numPr>
          <w:ilvl w:val="1"/>
          <w:numId w:val="16"/>
        </w:numPr>
        <w:spacing w:after="0" w:line="276" w:lineRule="auto"/>
        <w:rPr>
          <w:color w:val="953000"/>
        </w:rPr>
      </w:pPr>
      <w:r>
        <w:rPr>
          <w:color w:val="953000"/>
        </w:rPr>
        <w:t>Description of any anticipated effects of the research study on institutional programs and operations.</w:t>
      </w:r>
    </w:p>
    <w:p w14:paraId="08CC31AF" w14:textId="77777777" w:rsidR="004521D0" w:rsidRPr="002F3966" w:rsidRDefault="004B5D1B" w:rsidP="008E1F98">
      <w:pPr>
        <w:numPr>
          <w:ilvl w:val="1"/>
          <w:numId w:val="16"/>
        </w:numPr>
        <w:spacing w:after="0" w:line="276" w:lineRule="auto"/>
        <w:rPr>
          <w:color w:val="953000"/>
        </w:rPr>
      </w:pPr>
      <w:r>
        <w:rPr>
          <w:color w:val="953000"/>
        </w:rPr>
        <w:t>Relevant research materials such as vitae, endorsements, sample consent statements, questionnaires, and interview schedules.</w:t>
      </w:r>
    </w:p>
    <w:p w14:paraId="1C9AAD9D" w14:textId="77777777" w:rsidR="004521D0" w:rsidRPr="002F3966" w:rsidRDefault="004B5D1B" w:rsidP="008E1F98">
      <w:pPr>
        <w:numPr>
          <w:ilvl w:val="0"/>
          <w:numId w:val="16"/>
        </w:numPr>
        <w:spacing w:after="0" w:line="276" w:lineRule="auto"/>
        <w:rPr>
          <w:color w:val="953000"/>
        </w:rPr>
      </w:pPr>
      <w:r>
        <w:rPr>
          <w:color w:val="953000"/>
        </w:rPr>
        <w:lastRenderedPageBreak/>
        <w:t>The IRB application must include a statement regarding assurances and certification required by federal regulations, if applicable.</w:t>
      </w:r>
    </w:p>
    <w:p w14:paraId="75032BDC" w14:textId="77777777" w:rsidR="004521D0" w:rsidRPr="002F3966" w:rsidRDefault="004B5D1B" w:rsidP="008E1F98">
      <w:pPr>
        <w:numPr>
          <w:ilvl w:val="0"/>
          <w:numId w:val="16"/>
        </w:numPr>
        <w:spacing w:after="0" w:line="276" w:lineRule="auto"/>
        <w:rPr>
          <w:color w:val="953000"/>
        </w:rPr>
      </w:pPr>
      <w:r>
        <w:rPr>
          <w:color w:val="953000"/>
        </w:rPr>
        <w:t>You must assume responsibility for actions of any person engaged to participate in the research project as an associate, assistant, or subcontractor.</w:t>
      </w:r>
    </w:p>
    <w:p w14:paraId="15B6903C" w14:textId="77777777" w:rsidR="004521D0" w:rsidRPr="002F3966" w:rsidRDefault="004B5D1B" w:rsidP="008E1F98">
      <w:pPr>
        <w:numPr>
          <w:ilvl w:val="0"/>
          <w:numId w:val="16"/>
        </w:numPr>
        <w:spacing w:after="0" w:line="276" w:lineRule="auto"/>
        <w:rPr>
          <w:color w:val="953000"/>
        </w:rPr>
      </w:pPr>
      <w:r>
        <w:rPr>
          <w:color w:val="953000"/>
        </w:rPr>
        <w:t>At least once a year, you must provide the Chief, Office of Research and Evaluation, with a report on the progress of the research.</w:t>
      </w:r>
    </w:p>
    <w:p w14:paraId="17C80446" w14:textId="77777777" w:rsidR="004521D0" w:rsidRPr="002F3966" w:rsidRDefault="004B5D1B" w:rsidP="008E1F98">
      <w:pPr>
        <w:numPr>
          <w:ilvl w:val="0"/>
          <w:numId w:val="16"/>
        </w:numPr>
        <w:spacing w:after="0" w:line="276" w:lineRule="auto"/>
        <w:rPr>
          <w:color w:val="953000"/>
        </w:rPr>
      </w:pPr>
      <w:r>
        <w:rPr>
          <w:color w:val="953000"/>
        </w:rPr>
        <w:t>At least 12 working days before any report of findings is to be released, you must distribute one copy of the report to each of the following: the chairperson of the Bureau Research Review Board, the regional director, and the warden of each institution that provided data or assistance.</w:t>
      </w:r>
    </w:p>
    <w:p w14:paraId="6F58A6ED" w14:textId="77777777" w:rsidR="004521D0" w:rsidRPr="002F3966" w:rsidRDefault="004B5D1B" w:rsidP="008E1F98">
      <w:pPr>
        <w:numPr>
          <w:ilvl w:val="0"/>
          <w:numId w:val="16"/>
        </w:numPr>
        <w:spacing w:after="0" w:line="276" w:lineRule="auto"/>
        <w:rPr>
          <w:color w:val="953000"/>
        </w:rPr>
      </w:pPr>
      <w:r>
        <w:rPr>
          <w:color w:val="953000"/>
        </w:rPr>
        <w:t>You must include an abstract in the report of findings.</w:t>
      </w:r>
    </w:p>
    <w:p w14:paraId="3708C676" w14:textId="77777777" w:rsidR="004521D0" w:rsidRPr="002F3966" w:rsidRDefault="004B5D1B" w:rsidP="008E1F98">
      <w:pPr>
        <w:numPr>
          <w:ilvl w:val="0"/>
          <w:numId w:val="16"/>
        </w:numPr>
        <w:spacing w:after="0" w:line="276" w:lineRule="auto"/>
        <w:rPr>
          <w:color w:val="953000"/>
        </w:rPr>
      </w:pPr>
      <w:r>
        <w:rPr>
          <w:color w:val="953000"/>
        </w:rPr>
        <w:t>In any publication of results, you must acknowledge the Bureau's participation in the research project.</w:t>
      </w:r>
    </w:p>
    <w:p w14:paraId="66B27A27" w14:textId="77777777" w:rsidR="004521D0" w:rsidRPr="002F3966" w:rsidRDefault="004B5D1B" w:rsidP="008E1F98">
      <w:pPr>
        <w:numPr>
          <w:ilvl w:val="0"/>
          <w:numId w:val="16"/>
        </w:numPr>
        <w:spacing w:after="0" w:line="276" w:lineRule="auto"/>
        <w:rPr>
          <w:color w:val="953000"/>
        </w:rPr>
      </w:pPr>
      <w:r>
        <w:rPr>
          <w:color w:val="953000"/>
        </w:rPr>
        <w:t>You must expressly disclaim approval or endorsement of the published material as an expression of the policies or views of the Bureau.</w:t>
      </w:r>
    </w:p>
    <w:p w14:paraId="6805097A" w14:textId="77777777" w:rsidR="004521D0" w:rsidRPr="002F3966" w:rsidRDefault="004B5D1B" w:rsidP="008E1F98">
      <w:pPr>
        <w:numPr>
          <w:ilvl w:val="0"/>
          <w:numId w:val="16"/>
        </w:numPr>
        <w:spacing w:after="0" w:line="276" w:lineRule="auto"/>
        <w:rPr>
          <w:color w:val="953000"/>
        </w:rPr>
      </w:pPr>
      <w:r>
        <w:rPr>
          <w:color w:val="953000"/>
        </w:rPr>
        <w:t>Prior to submitting for publication, the results of a research project conducted under this subpart, you must provide two copies of the material, for informational purposes only, to the Chief, Office of Research and Evaluation, Central Office, Bureau of Prisons.</w:t>
      </w:r>
    </w:p>
    <w:p w14:paraId="244968F6" w14:textId="77777777" w:rsidR="004521D0" w:rsidRPr="002F3966" w:rsidRDefault="004B5D1B" w:rsidP="008E1F98">
      <w:pPr>
        <w:numPr>
          <w:ilvl w:val="0"/>
          <w:numId w:val="16"/>
        </w:numPr>
        <w:spacing w:after="0" w:line="276" w:lineRule="auto"/>
        <w:rPr>
          <w:color w:val="953000"/>
        </w:rPr>
      </w:pPr>
      <w:r>
        <w:rPr>
          <w:color w:val="953000"/>
        </w:rPr>
        <w:t>Other specific requirements of the Department of Justice (DOJ) Research Conducted within the Federal Bureau of Prisons (BOP) can be found in the “Additional Requirements for Department of Justice (DOJ) Research Conducted within the Federal Bureau of Prisons (BOP)” section in the IRB’s HRP-318 - WORKSHEET - Additional Federal Agency Criteria.</w:t>
      </w:r>
    </w:p>
    <w:p w14:paraId="2F4C5E77" w14:textId="77777777" w:rsidR="004521D0" w:rsidRPr="00AD33B7" w:rsidRDefault="41B41E75">
      <w:pPr>
        <w:pStyle w:val="Heading3"/>
        <w:spacing w:line="276" w:lineRule="auto"/>
      </w:pPr>
      <w:bookmarkStart w:id="181" w:name="_Toc89730255"/>
      <w:bookmarkStart w:id="182" w:name="_Toc1922745658"/>
      <w:bookmarkStart w:id="183" w:name="_Toc212142191"/>
      <w:bookmarkStart w:id="184" w:name="_Toc225507731"/>
      <w:r>
        <w:t>Additional Requirements for DOJ Research Funded by the National Institute of Justice</w:t>
      </w:r>
      <w:bookmarkEnd w:id="181"/>
      <w:bookmarkEnd w:id="182"/>
      <w:bookmarkEnd w:id="183"/>
      <w:bookmarkEnd w:id="184"/>
    </w:p>
    <w:p w14:paraId="1FD0BE72" w14:textId="77777777" w:rsidR="004521D0" w:rsidRPr="00AD33B7" w:rsidRDefault="004B5D1B" w:rsidP="008E1F98">
      <w:pPr>
        <w:numPr>
          <w:ilvl w:val="0"/>
          <w:numId w:val="17"/>
        </w:numPr>
        <w:spacing w:after="0" w:line="276" w:lineRule="auto"/>
        <w:rPr>
          <w:color w:val="953000"/>
        </w:rPr>
      </w:pPr>
      <w:r>
        <w:rPr>
          <w:color w:val="953000"/>
        </w:rPr>
        <w:t>The project must have a privacy certificate approved by the National Institute of Justice Human Subjects Protection Officer.</w:t>
      </w:r>
    </w:p>
    <w:p w14:paraId="2626CC45" w14:textId="77777777" w:rsidR="004521D0" w:rsidRPr="00AD33B7" w:rsidRDefault="004B5D1B" w:rsidP="008E1F98">
      <w:pPr>
        <w:numPr>
          <w:ilvl w:val="0"/>
          <w:numId w:val="17"/>
        </w:numPr>
        <w:spacing w:after="0" w:line="276" w:lineRule="auto"/>
        <w:rPr>
          <w:color w:val="953000"/>
        </w:rPr>
      </w:pPr>
      <w:r>
        <w:rPr>
          <w:color w:val="953000"/>
        </w:rPr>
        <w:t>All investigators and research staff are required to sign employee confidentiality statements, which are maintained by the responsible investigator.</w:t>
      </w:r>
    </w:p>
    <w:p w14:paraId="39773707" w14:textId="77777777" w:rsidR="004521D0" w:rsidRPr="00AD33B7" w:rsidRDefault="004B5D1B" w:rsidP="008E1F98">
      <w:pPr>
        <w:numPr>
          <w:ilvl w:val="0"/>
          <w:numId w:val="17"/>
        </w:numPr>
        <w:spacing w:after="0" w:line="276" w:lineRule="auto"/>
        <w:rPr>
          <w:color w:val="953000"/>
        </w:rPr>
      </w:pPr>
      <w:r>
        <w:rPr>
          <w:color w:val="953000"/>
        </w:rPr>
        <w:t>The confidentiality statement on the consent document must state that confidentiality can only be broken if the subject reports immediate harm to subjects or others.</w:t>
      </w:r>
    </w:p>
    <w:p w14:paraId="2D86D7B8" w14:textId="77777777" w:rsidR="004521D0" w:rsidRPr="00AD33B7" w:rsidRDefault="004B5D1B" w:rsidP="008E1F98">
      <w:pPr>
        <w:numPr>
          <w:ilvl w:val="0"/>
          <w:numId w:val="17"/>
        </w:numPr>
        <w:spacing w:after="0" w:line="276" w:lineRule="auto"/>
        <w:rPr>
          <w:color w:val="953000"/>
        </w:rPr>
      </w:pPr>
      <w:r>
        <w:rPr>
          <w:color w:val="953000"/>
        </w:rPr>
        <w:t>Under a privacy certificate, investigators and research staff do not have to report child abuse unless the subject signs another consent document to allow child abuse reporting.</w:t>
      </w:r>
    </w:p>
    <w:p w14:paraId="290E6EF5" w14:textId="77777777" w:rsidR="004521D0" w:rsidRPr="00AD33B7" w:rsidRDefault="004B5D1B" w:rsidP="008E1F98">
      <w:pPr>
        <w:numPr>
          <w:ilvl w:val="0"/>
          <w:numId w:val="17"/>
        </w:numPr>
        <w:spacing w:after="0" w:line="276" w:lineRule="auto"/>
        <w:rPr>
          <w:color w:val="953000"/>
        </w:rPr>
      </w:pPr>
      <w:r>
        <w:rPr>
          <w:color w:val="953000"/>
        </w:rPr>
        <w:t>A copy of all data must be de-identified and sent to the National Archive of Criminal Justice Data, including copies of the informed consent document, data collection instruments, surveys, or other relevant research materials. Note: Data sets must be submitted 90 days before the end of the project period.</w:t>
      </w:r>
    </w:p>
    <w:p w14:paraId="29C380ED" w14:textId="77777777" w:rsidR="004521D0" w:rsidRPr="00AD33B7" w:rsidRDefault="004B5D1B" w:rsidP="008E1F98">
      <w:pPr>
        <w:numPr>
          <w:ilvl w:val="1"/>
          <w:numId w:val="17"/>
        </w:numPr>
        <w:spacing w:after="0" w:line="276" w:lineRule="auto"/>
        <w:rPr>
          <w:color w:val="953000"/>
        </w:rPr>
      </w:pPr>
      <w:r>
        <w:rPr>
          <w:color w:val="953000"/>
        </w:rPr>
        <w:t>At least once a year, the researcher shall provide the Chief, Office of Research and Evaluation, with a report of the progress of the research.</w:t>
      </w:r>
    </w:p>
    <w:p w14:paraId="4C35C85B" w14:textId="77777777" w:rsidR="004521D0" w:rsidRPr="00AD33B7" w:rsidRDefault="004B5D1B" w:rsidP="008E1F98">
      <w:pPr>
        <w:numPr>
          <w:ilvl w:val="1"/>
          <w:numId w:val="17"/>
        </w:numPr>
        <w:spacing w:after="0" w:line="276" w:lineRule="auto"/>
        <w:rPr>
          <w:color w:val="953000"/>
        </w:rPr>
      </w:pPr>
      <w:r>
        <w:rPr>
          <w:color w:val="953000"/>
        </w:rPr>
        <w:t xml:space="preserve">At least 12 working days before any report of findings is to be released, the researcher shall distribute one copy of the report to each of the following: the chairperson of the Bureau Research Review Board, the regional director, and the warden of each </w:t>
      </w:r>
      <w:r>
        <w:rPr>
          <w:color w:val="953000"/>
        </w:rPr>
        <w:lastRenderedPageBreak/>
        <w:t>institution that provided data or assistance. The researcher shall include an abstract in the report of findings.</w:t>
      </w:r>
    </w:p>
    <w:p w14:paraId="4654371B" w14:textId="77777777" w:rsidR="004521D0" w:rsidRPr="00AD33B7" w:rsidRDefault="004B5D1B" w:rsidP="008E1F98">
      <w:pPr>
        <w:numPr>
          <w:ilvl w:val="1"/>
          <w:numId w:val="17"/>
        </w:numPr>
        <w:spacing w:after="0" w:line="276" w:lineRule="auto"/>
        <w:rPr>
          <w:color w:val="953000"/>
        </w:rPr>
      </w:pPr>
      <w:r>
        <w:rPr>
          <w:color w:val="953000"/>
        </w:rPr>
        <w:t>In any publication of results, the researcher shall acknowledge the Bureau's participation in the research project.</w:t>
      </w:r>
    </w:p>
    <w:p w14:paraId="27D2DDCD" w14:textId="77777777" w:rsidR="004521D0" w:rsidRPr="00AD33B7" w:rsidRDefault="004B5D1B" w:rsidP="008E1F98">
      <w:pPr>
        <w:numPr>
          <w:ilvl w:val="1"/>
          <w:numId w:val="17"/>
        </w:numPr>
        <w:spacing w:after="0" w:line="276" w:lineRule="auto"/>
        <w:rPr>
          <w:color w:val="953000"/>
        </w:rPr>
      </w:pPr>
      <w:r>
        <w:rPr>
          <w:color w:val="953000"/>
        </w:rPr>
        <w:t>The research shall expressly disclaim approval or endorsement of the published material as an expression of the policies or views of the Bureau.</w:t>
      </w:r>
    </w:p>
    <w:p w14:paraId="5F93D6E4" w14:textId="77777777" w:rsidR="004521D0" w:rsidRPr="00AD33B7" w:rsidRDefault="004B5D1B" w:rsidP="008E1F98">
      <w:pPr>
        <w:numPr>
          <w:ilvl w:val="1"/>
          <w:numId w:val="17"/>
        </w:numPr>
        <w:spacing w:after="0" w:line="276" w:lineRule="auto"/>
        <w:rPr>
          <w:color w:val="953000"/>
        </w:rPr>
      </w:pPr>
      <w:r>
        <w:rPr>
          <w:color w:val="953000"/>
        </w:rPr>
        <w:t>Prior to submitting for publication, the results of a research project conducted under this subpart, the researcher shall provide two copies of the material, for informational purposes only, to the Chief, Office of Research and Evaluation, Central Office, Bureau of Prisons</w:t>
      </w:r>
    </w:p>
    <w:p w14:paraId="45A7C55D" w14:textId="77777777" w:rsidR="004521D0" w:rsidRPr="00AD33B7" w:rsidRDefault="004B5D1B" w:rsidP="008E1F98">
      <w:pPr>
        <w:numPr>
          <w:ilvl w:val="0"/>
          <w:numId w:val="17"/>
        </w:numPr>
        <w:spacing w:after="0" w:line="276" w:lineRule="auto"/>
        <w:rPr>
          <w:color w:val="953000"/>
        </w:rPr>
      </w:pPr>
      <w:r>
        <w:rPr>
          <w:color w:val="953000"/>
        </w:rPr>
        <w:t>Other specific requirements of the Department of Justice (DOJ) Research Funded by the National Institute of Justice can be found in the “Additional Requirements for Department of Justice (DOJ) Research” section in the IRB’s HRP-318 - WORKSHEET - Additional Federal Agency Criteria.</w:t>
      </w:r>
    </w:p>
    <w:p w14:paraId="504B6723" w14:textId="77777777" w:rsidR="004521D0" w:rsidRPr="00AD33B7" w:rsidRDefault="004B5D1B">
      <w:pPr>
        <w:pStyle w:val="HotDocsvariable"/>
        <w:rPr>
          <w:color w:val="0070C0"/>
        </w:rPr>
      </w:pPr>
      <w:r>
        <w:rPr>
          <w:color w:val="0070C0"/>
        </w:rPr>
        <w:br w:type="page"/>
      </w:r>
    </w:p>
    <w:p w14:paraId="77C08832" w14:textId="77777777" w:rsidR="004521D0" w:rsidRPr="00AD33B7" w:rsidRDefault="41B41E75">
      <w:pPr>
        <w:pStyle w:val="Heading2AppendixA"/>
        <w:pageBreakBefore w:val="0"/>
        <w:spacing w:line="276" w:lineRule="auto"/>
      </w:pPr>
      <w:bookmarkStart w:id="185" w:name="_Toc1284599168"/>
      <w:bookmarkStart w:id="186" w:name="_Toc212142192"/>
      <w:bookmarkStart w:id="187" w:name="_Toc225507732"/>
      <w:r>
        <w:lastRenderedPageBreak/>
        <w:t>Additional Requirements for Department of Education (ED) Research</w:t>
      </w:r>
      <w:bookmarkEnd w:id="185"/>
      <w:bookmarkEnd w:id="186"/>
      <w:bookmarkEnd w:id="187"/>
    </w:p>
    <w:p w14:paraId="3035E83E" w14:textId="77777777" w:rsidR="00CC6136" w:rsidRPr="00AD33B7" w:rsidRDefault="00CC6136" w:rsidP="008E1F98">
      <w:pPr>
        <w:numPr>
          <w:ilvl w:val="0"/>
          <w:numId w:val="11"/>
        </w:numPr>
        <w:spacing w:after="0" w:line="276" w:lineRule="auto"/>
        <w:rPr>
          <w:color w:val="0070C0"/>
        </w:rPr>
      </w:pPr>
      <w:r>
        <w:rPr>
          <w:color w:val="0070C0"/>
          <w:u w:val="single"/>
        </w:rPr>
        <w:t>Child/Children:</w:t>
      </w:r>
      <w:r>
        <w:rPr>
          <w:color w:val="0070C0"/>
        </w:rPr>
        <w:t xml:space="preserve"> Individual(s) enrolled in research, not above the elementary or</w:t>
      </w:r>
    </w:p>
    <w:p w14:paraId="1F1B5297" w14:textId="77777777" w:rsidR="00E6043F" w:rsidRPr="00AD33B7" w:rsidRDefault="00CC6136" w:rsidP="00FF1B36">
      <w:pPr>
        <w:spacing w:after="0" w:line="276" w:lineRule="auto"/>
        <w:ind w:left="720"/>
        <w:rPr>
          <w:color w:val="0070C0"/>
        </w:rPr>
      </w:pPr>
      <w:r>
        <w:rPr>
          <w:color w:val="0070C0"/>
        </w:rPr>
        <w:t>secondary education level, who has not reached the age of majority as determined under state law. For purposes of HRPP policy, individuals under 18 years of age are considered children in Ohio unless they meet the definition of emancipated minors.</w:t>
      </w:r>
    </w:p>
    <w:p w14:paraId="763C29F1" w14:textId="77777777" w:rsidR="00FF1B36" w:rsidRPr="00AD33B7" w:rsidRDefault="00F755D6" w:rsidP="008E1F98">
      <w:pPr>
        <w:pStyle w:val="ListParagraph"/>
        <w:numPr>
          <w:ilvl w:val="0"/>
          <w:numId w:val="11"/>
        </w:numPr>
        <w:spacing w:after="0"/>
        <w:rPr>
          <w:color w:val="0070C0"/>
        </w:rPr>
      </w:pPr>
      <w:r>
        <w:rPr>
          <w:color w:val="0070C0"/>
          <w:u w:val="single"/>
        </w:rPr>
        <w:t>Prior Consent</w:t>
      </w:r>
      <w:r>
        <w:rPr>
          <w:color w:val="0070C0"/>
        </w:rPr>
        <w:t>: Prior consent of the student, if the student is an adult or emancipated minor, or prior written consent of the parent or guardian if the student is not an emancipated minor.</w:t>
      </w:r>
    </w:p>
    <w:p w14:paraId="7D220080" w14:textId="77777777" w:rsidR="00A10EA2" w:rsidRPr="00AD33B7" w:rsidRDefault="00A10EA2" w:rsidP="008E1F98">
      <w:pPr>
        <w:numPr>
          <w:ilvl w:val="0"/>
          <w:numId w:val="11"/>
        </w:numPr>
        <w:spacing w:after="0" w:line="276" w:lineRule="auto"/>
        <w:rPr>
          <w:color w:val="0070C0"/>
        </w:rPr>
      </w:pPr>
      <w:r>
        <w:rPr>
          <w:color w:val="0070C0"/>
          <w:u w:val="single"/>
        </w:rPr>
        <w:t>Research or Experimentation Program or Project</w:t>
      </w:r>
      <w:r>
        <w:rPr>
          <w:color w:val="0070C0"/>
        </w:rPr>
        <w:t>: Any research program or project that is designed to explore or develop new or unproven teaching methods or techniques.</w:t>
      </w:r>
    </w:p>
    <w:p w14:paraId="1C7A3BBE" w14:textId="77777777" w:rsidR="004521D0" w:rsidRPr="00AD33B7" w:rsidRDefault="004B5D1B" w:rsidP="008E1F98">
      <w:pPr>
        <w:numPr>
          <w:ilvl w:val="0"/>
          <w:numId w:val="11"/>
        </w:numPr>
        <w:spacing w:after="0" w:line="276" w:lineRule="auto"/>
        <w:rPr>
          <w:color w:val="0070C0"/>
        </w:rPr>
      </w:pPr>
      <w:r>
        <w:rPr>
          <w:color w:val="0070C0"/>
        </w:rPr>
        <w:t>Each school at which the research is conducted must provide an assurance that they comply with the Family Educational Rights and Privacy Act (FERPA) and the Protection of Pupil Rights Amendment (PPRA).</w:t>
      </w:r>
    </w:p>
    <w:p w14:paraId="1852AAA3" w14:textId="77777777" w:rsidR="004521D0" w:rsidRPr="00AD33B7" w:rsidRDefault="004B5D1B" w:rsidP="008E1F98">
      <w:pPr>
        <w:numPr>
          <w:ilvl w:val="0"/>
          <w:numId w:val="11"/>
        </w:numPr>
        <w:spacing w:after="0" w:line="276" w:lineRule="auto"/>
        <w:rPr>
          <w:color w:val="0070C0"/>
        </w:rPr>
      </w:pPr>
      <w:r>
        <w:rPr>
          <w:color w:val="0070C0"/>
        </w:rPr>
        <w:t>Provide a copy of all surveys and instructional material (including teachers’ manuals, films, tapes, or other supplementary instructional material) used in the research. Upon request parents of children</w:t>
      </w:r>
      <w:r>
        <w:rPr>
          <w:rStyle w:val="EndnoteReference"/>
          <w:color w:val="0070C0"/>
        </w:rPr>
        <w:endnoteReference w:id="17"/>
      </w:r>
      <w:r>
        <w:rPr>
          <w:color w:val="0070C0"/>
        </w:rPr>
        <w:t xml:space="preserve"> involved in the research</w:t>
      </w:r>
      <w:r>
        <w:rPr>
          <w:rStyle w:val="EndnoteReference"/>
          <w:color w:val="0070C0"/>
        </w:rPr>
        <w:endnoteReference w:id="18"/>
      </w:r>
      <w:r>
        <w:rPr>
          <w:color w:val="0070C0"/>
        </w:rPr>
        <w:t xml:space="preserve"> must be able to inspect these materials.</w:t>
      </w:r>
    </w:p>
    <w:p w14:paraId="3668F50D" w14:textId="77777777" w:rsidR="00E21086" w:rsidRPr="00AD33B7" w:rsidRDefault="00F71877" w:rsidP="008E1F98">
      <w:pPr>
        <w:numPr>
          <w:ilvl w:val="0"/>
          <w:numId w:val="11"/>
        </w:numPr>
        <w:spacing w:after="0" w:line="276" w:lineRule="auto"/>
        <w:rPr>
          <w:color w:val="0070C0"/>
        </w:rPr>
      </w:pPr>
      <w:r>
        <w:rPr>
          <w:color w:val="0070C0"/>
        </w:rPr>
        <w:t>Parents of students have the right to opt out of (remove their child from participation in) any of the following:</w:t>
      </w:r>
    </w:p>
    <w:p w14:paraId="738DB249" w14:textId="77777777" w:rsidR="00F71877" w:rsidRPr="00AD33B7" w:rsidRDefault="006D3349" w:rsidP="008E1F98">
      <w:pPr>
        <w:pStyle w:val="ListParagraph"/>
        <w:numPr>
          <w:ilvl w:val="0"/>
          <w:numId w:val="28"/>
        </w:numPr>
        <w:spacing w:after="0"/>
        <w:rPr>
          <w:color w:val="0070C0"/>
        </w:rPr>
      </w:pPr>
      <w:r>
        <w:rPr>
          <w:color w:val="0070C0"/>
        </w:rPr>
        <w:t>Activities involving the collection, disclosure, or use of personal information collected from students for the purpose of marketing or for selling or other distribution of that information, or providing the information to others for that purpose</w:t>
      </w:r>
    </w:p>
    <w:p w14:paraId="1DFD8E10" w14:textId="77777777" w:rsidR="006D3349" w:rsidRPr="00AD33B7" w:rsidRDefault="00B15A09" w:rsidP="008E1F98">
      <w:pPr>
        <w:pStyle w:val="ListParagraph"/>
        <w:numPr>
          <w:ilvl w:val="0"/>
          <w:numId w:val="28"/>
        </w:numPr>
        <w:spacing w:after="0"/>
        <w:rPr>
          <w:color w:val="0070C0"/>
        </w:rPr>
      </w:pPr>
      <w:r>
        <w:rPr>
          <w:color w:val="0070C0"/>
        </w:rPr>
        <w:t>The administration of any third party (non-Department of Education funded) protected information survey</w:t>
      </w:r>
    </w:p>
    <w:p w14:paraId="233FB2E3" w14:textId="77777777" w:rsidR="00B15A09" w:rsidRPr="00AD33B7" w:rsidRDefault="00AB0772" w:rsidP="008E1F98">
      <w:pPr>
        <w:pStyle w:val="ListParagraph"/>
        <w:numPr>
          <w:ilvl w:val="0"/>
          <w:numId w:val="28"/>
        </w:numPr>
        <w:spacing w:after="0"/>
        <w:rPr>
          <w:color w:val="0070C0"/>
        </w:rPr>
      </w:pPr>
      <w:r>
        <w:rPr>
          <w:color w:val="0070C0"/>
        </w:rPr>
        <w:t>Any non-emergency, invasive physical examination or screening that is required as a condition of attendance, administered by the school or its agent and scheduled by the school in advance, and not necessary to protect the immediate health and safety of the student or of other students, except for hearing, vision, or scoliosis screenings, or any physical exam or screening permitted or required under state law</w:t>
      </w:r>
    </w:p>
    <w:p w14:paraId="5DBE7558" w14:textId="77777777" w:rsidR="00403C4F" w:rsidRPr="00AD33B7" w:rsidRDefault="00403C4F" w:rsidP="008E1F98">
      <w:pPr>
        <w:pStyle w:val="ListParagraph"/>
        <w:numPr>
          <w:ilvl w:val="0"/>
          <w:numId w:val="11"/>
        </w:numPr>
        <w:spacing w:after="0"/>
        <w:rPr>
          <w:color w:val="0070C0"/>
        </w:rPr>
      </w:pPr>
      <w:r>
        <w:rPr>
          <w:color w:val="0070C0"/>
        </w:rPr>
        <w:t>The requirements concerning activities involving the collection and disclosure of</w:t>
      </w:r>
    </w:p>
    <w:p w14:paraId="6EA8AABA" w14:textId="77777777" w:rsidR="00403C4F" w:rsidRPr="00AD33B7" w:rsidRDefault="00403C4F" w:rsidP="000B5605">
      <w:pPr>
        <w:pStyle w:val="ListParagraph"/>
        <w:spacing w:after="0"/>
        <w:rPr>
          <w:color w:val="0070C0"/>
        </w:rPr>
      </w:pPr>
      <w:r>
        <w:rPr>
          <w:color w:val="0070C0"/>
        </w:rPr>
        <w:t>personal information from students for marketing purposes do not apply to the</w:t>
      </w:r>
    </w:p>
    <w:p w14:paraId="57AA81C7" w14:textId="77777777" w:rsidR="00403C4F" w:rsidRPr="00AD33B7" w:rsidRDefault="00403C4F" w:rsidP="000B5605">
      <w:pPr>
        <w:pStyle w:val="ListParagraph"/>
        <w:spacing w:after="0"/>
        <w:rPr>
          <w:color w:val="0070C0"/>
        </w:rPr>
      </w:pPr>
      <w:r>
        <w:rPr>
          <w:color w:val="0070C0"/>
        </w:rPr>
        <w:t>collection, disclosure, or use of personal information collected from students for</w:t>
      </w:r>
    </w:p>
    <w:p w14:paraId="434191D3" w14:textId="77777777" w:rsidR="00403C4F" w:rsidRPr="00AD33B7" w:rsidRDefault="00403C4F" w:rsidP="000B5605">
      <w:pPr>
        <w:pStyle w:val="ListParagraph"/>
        <w:spacing w:after="0"/>
        <w:rPr>
          <w:color w:val="0070C0"/>
        </w:rPr>
      </w:pPr>
      <w:r>
        <w:rPr>
          <w:color w:val="0070C0"/>
        </w:rPr>
        <w:t>the exclusive purpose of developing, evaluating, or providing educational</w:t>
      </w:r>
    </w:p>
    <w:p w14:paraId="45842006" w14:textId="77777777" w:rsidR="00403C4F" w:rsidRPr="00AD33B7" w:rsidRDefault="00403C4F" w:rsidP="000B5605">
      <w:pPr>
        <w:pStyle w:val="ListParagraph"/>
        <w:spacing w:after="0"/>
        <w:rPr>
          <w:color w:val="0070C0"/>
        </w:rPr>
      </w:pPr>
      <w:r>
        <w:rPr>
          <w:color w:val="0070C0"/>
        </w:rPr>
        <w:t>products or services for or to students or educational institutions, such as the</w:t>
      </w:r>
    </w:p>
    <w:p w14:paraId="78CD4DE2" w14:textId="77777777" w:rsidR="00403C4F" w:rsidRPr="00AD33B7" w:rsidRDefault="00403C4F" w:rsidP="002120C4">
      <w:pPr>
        <w:pStyle w:val="ListParagraph"/>
        <w:spacing w:after="0"/>
        <w:rPr>
          <w:color w:val="0070C0"/>
        </w:rPr>
      </w:pPr>
      <w:r>
        <w:rPr>
          <w:color w:val="0070C0"/>
        </w:rPr>
        <w:t>following:</w:t>
      </w:r>
    </w:p>
    <w:p w14:paraId="7731D0C8" w14:textId="77777777" w:rsidR="002120C4" w:rsidRPr="00AD33B7" w:rsidRDefault="005F3100" w:rsidP="00A07209">
      <w:pPr>
        <w:pStyle w:val="ListParagraph"/>
        <w:numPr>
          <w:ilvl w:val="0"/>
          <w:numId w:val="35"/>
        </w:numPr>
        <w:spacing w:after="0"/>
        <w:rPr>
          <w:color w:val="0070C0"/>
        </w:rPr>
      </w:pPr>
      <w:r>
        <w:rPr>
          <w:color w:val="0070C0"/>
        </w:rPr>
        <w:t>College or other postsecondary education recruitment, or military recruitment</w:t>
      </w:r>
    </w:p>
    <w:p w14:paraId="4D238842" w14:textId="77777777" w:rsidR="00E851E8" w:rsidRPr="00AD33B7" w:rsidRDefault="00E851E8" w:rsidP="00A07209">
      <w:pPr>
        <w:pStyle w:val="ListParagraph"/>
        <w:numPr>
          <w:ilvl w:val="0"/>
          <w:numId w:val="35"/>
        </w:numPr>
        <w:spacing w:after="0"/>
        <w:rPr>
          <w:color w:val="0070C0"/>
        </w:rPr>
      </w:pPr>
      <w:r>
        <w:rPr>
          <w:color w:val="0070C0"/>
        </w:rPr>
        <w:t>Book clubs, magazines, and programs providing access to low-cost</w:t>
      </w:r>
    </w:p>
    <w:p w14:paraId="672F32B4" w14:textId="77777777" w:rsidR="005F3100" w:rsidRPr="00AD33B7" w:rsidRDefault="00E851E8" w:rsidP="00E851E8">
      <w:pPr>
        <w:pStyle w:val="ListParagraph"/>
        <w:spacing w:after="0"/>
        <w:ind w:left="1080"/>
        <w:rPr>
          <w:color w:val="0070C0"/>
        </w:rPr>
      </w:pPr>
      <w:r>
        <w:rPr>
          <w:color w:val="0070C0"/>
        </w:rPr>
        <w:t>literacy products</w:t>
      </w:r>
    </w:p>
    <w:p w14:paraId="18B8FE5B" w14:textId="77777777" w:rsidR="00E851E8" w:rsidRPr="00AD33B7" w:rsidRDefault="0046574E" w:rsidP="00A07209">
      <w:pPr>
        <w:pStyle w:val="ListParagraph"/>
        <w:numPr>
          <w:ilvl w:val="0"/>
          <w:numId w:val="35"/>
        </w:numPr>
        <w:spacing w:after="0"/>
        <w:rPr>
          <w:color w:val="0070C0"/>
        </w:rPr>
      </w:pPr>
      <w:r>
        <w:rPr>
          <w:color w:val="0070C0"/>
        </w:rPr>
        <w:t>Curriculum and instructional materials used by elementary schools and secondary schools</w:t>
      </w:r>
    </w:p>
    <w:p w14:paraId="0C02B02B" w14:textId="77777777" w:rsidR="0046574E" w:rsidRPr="00AD33B7" w:rsidRDefault="00B245BE" w:rsidP="00A07209">
      <w:pPr>
        <w:pStyle w:val="ListParagraph"/>
        <w:numPr>
          <w:ilvl w:val="0"/>
          <w:numId w:val="35"/>
        </w:numPr>
        <w:spacing w:after="0"/>
        <w:rPr>
          <w:color w:val="0070C0"/>
        </w:rPr>
      </w:pPr>
      <w:r>
        <w:rPr>
          <w:color w:val="0070C0"/>
        </w:rPr>
        <w:lastRenderedPageBreak/>
        <w:t>Tests and assessments used by elementary schools and secondary schools to provide cognitive, evaluative, diagnostic, clinical, aptitude, or achievement information about students</w:t>
      </w:r>
    </w:p>
    <w:p w14:paraId="5E2D238E" w14:textId="77777777" w:rsidR="00B245BE" w:rsidRPr="00AD33B7" w:rsidRDefault="009C2092" w:rsidP="00A07209">
      <w:pPr>
        <w:pStyle w:val="ListParagraph"/>
        <w:numPr>
          <w:ilvl w:val="0"/>
          <w:numId w:val="35"/>
        </w:numPr>
        <w:spacing w:after="0"/>
        <w:rPr>
          <w:color w:val="0070C0"/>
        </w:rPr>
      </w:pPr>
      <w:r>
        <w:rPr>
          <w:color w:val="0070C0"/>
        </w:rPr>
        <w:t>The sale by students of products or services to raise funds for school-related or education-related activities</w:t>
      </w:r>
    </w:p>
    <w:p w14:paraId="04B9F8CC" w14:textId="77777777" w:rsidR="009C2092" w:rsidRPr="00AD33B7" w:rsidRDefault="001723B2" w:rsidP="00A07209">
      <w:pPr>
        <w:pStyle w:val="ListParagraph"/>
        <w:numPr>
          <w:ilvl w:val="0"/>
          <w:numId w:val="35"/>
        </w:numPr>
        <w:spacing w:after="0"/>
        <w:rPr>
          <w:color w:val="0070C0"/>
        </w:rPr>
      </w:pPr>
      <w:r>
        <w:rPr>
          <w:color w:val="0070C0"/>
        </w:rPr>
        <w:t>Student recognition programs</w:t>
      </w:r>
    </w:p>
    <w:p w14:paraId="6D8A6766" w14:textId="77777777" w:rsidR="004521D0" w:rsidRPr="00AD33B7" w:rsidRDefault="004B5D1B" w:rsidP="008E1F98">
      <w:pPr>
        <w:numPr>
          <w:ilvl w:val="0"/>
          <w:numId w:val="11"/>
        </w:numPr>
        <w:spacing w:after="0" w:line="276" w:lineRule="auto"/>
        <w:rPr>
          <w:color w:val="0070C0"/>
        </w:rPr>
      </w:pPr>
      <w:r>
        <w:rPr>
          <w:color w:val="0070C0"/>
        </w:rPr>
        <w:t>The school in which the research is being conducted must have policies regarding the administration of physical examinations or screenings that the school may administer to students.</w:t>
      </w:r>
    </w:p>
    <w:p w14:paraId="71ADA438" w14:textId="77777777" w:rsidR="00FA3C41" w:rsidRPr="00AD33B7" w:rsidRDefault="00FA3C41" w:rsidP="008E1F98">
      <w:pPr>
        <w:numPr>
          <w:ilvl w:val="0"/>
          <w:numId w:val="11"/>
        </w:numPr>
        <w:spacing w:after="0" w:line="276" w:lineRule="auto"/>
        <w:rPr>
          <w:color w:val="0070C0"/>
        </w:rPr>
      </w:pPr>
      <w:r>
        <w:rPr>
          <w:color w:val="0070C0"/>
        </w:rPr>
        <w:t>For studies funded by the National Institute on Disability and Rehabilitation Research,</w:t>
      </w:r>
    </w:p>
    <w:p w14:paraId="2D81F567" w14:textId="77777777" w:rsidR="00FA3C41" w:rsidRPr="00AD33B7" w:rsidRDefault="00FA3C41" w:rsidP="00D63B8A">
      <w:pPr>
        <w:spacing w:after="0" w:line="276" w:lineRule="auto"/>
        <w:ind w:left="720"/>
        <w:rPr>
          <w:color w:val="0070C0"/>
        </w:rPr>
      </w:pPr>
      <w:r>
        <w:rPr>
          <w:color w:val="0070C0"/>
        </w:rPr>
        <w:t>when an IRB reviews research that purposefully requires inclusion of children with</w:t>
      </w:r>
    </w:p>
    <w:p w14:paraId="6DB02A09" w14:textId="77777777" w:rsidR="00FA3C41" w:rsidRPr="00AD33B7" w:rsidRDefault="00FA3C41" w:rsidP="00D63B8A">
      <w:pPr>
        <w:spacing w:after="0" w:line="276" w:lineRule="auto"/>
        <w:ind w:left="720"/>
        <w:rPr>
          <w:color w:val="0070C0"/>
        </w:rPr>
      </w:pPr>
      <w:r>
        <w:rPr>
          <w:color w:val="0070C0"/>
        </w:rPr>
        <w:t>disabilities or individuals with mental disabilities, the IRB must include at least one</w:t>
      </w:r>
    </w:p>
    <w:p w14:paraId="1A498F43" w14:textId="77777777" w:rsidR="004521D0" w:rsidRPr="00AD33B7" w:rsidRDefault="00FA3C41" w:rsidP="0005574A">
      <w:pPr>
        <w:spacing w:after="0" w:line="276" w:lineRule="auto"/>
        <w:ind w:left="720"/>
        <w:rPr>
          <w:color w:val="0070C0"/>
        </w:rPr>
      </w:pPr>
      <w:r>
        <w:rPr>
          <w:color w:val="0070C0"/>
        </w:rPr>
        <w:t>person primarily concerned with the welfare of these research participants. Other specific requirements of the Department of Education (ED) Research can be found in the “Additional Requirements for Department of Education (ED) Research” section in the IRB’s HRP-318 - WORKSHEET - Additional Federal Agency Criteria.</w:t>
      </w:r>
    </w:p>
    <w:p w14:paraId="1309B7B6" w14:textId="77777777" w:rsidR="009B1ABB" w:rsidRPr="00AD33B7" w:rsidRDefault="009B1ABB" w:rsidP="00D63B8A">
      <w:pPr>
        <w:spacing w:after="0" w:line="276" w:lineRule="auto"/>
        <w:ind w:left="720"/>
        <w:rPr>
          <w:color w:val="0070C0"/>
        </w:rPr>
      </w:pPr>
    </w:p>
    <w:p w14:paraId="76D987B2" w14:textId="77777777" w:rsidR="004521D0" w:rsidRPr="00AD33B7" w:rsidRDefault="004B5D1B">
      <w:pPr>
        <w:pStyle w:val="HotDocsvariable"/>
        <w:rPr>
          <w:color w:val="BF504D"/>
        </w:rPr>
      </w:pPr>
      <w:r>
        <w:rPr>
          <w:color w:val="BF504D"/>
        </w:rPr>
        <w:br w:type="page"/>
      </w:r>
    </w:p>
    <w:p w14:paraId="1237BBEA" w14:textId="77777777" w:rsidR="004521D0" w:rsidRPr="00AD33B7" w:rsidRDefault="41B41E75">
      <w:pPr>
        <w:pStyle w:val="Heading2AppendixA"/>
        <w:pageBreakBefore w:val="0"/>
        <w:spacing w:line="276" w:lineRule="auto"/>
      </w:pPr>
      <w:bookmarkStart w:id="192" w:name="_Toc1895506656"/>
      <w:bookmarkStart w:id="193" w:name="_Toc212142193"/>
      <w:bookmarkStart w:id="194" w:name="_Toc225507733"/>
      <w:r>
        <w:lastRenderedPageBreak/>
        <w:t>Additional Requirements for Environmental Protection Agency (EPA) Research</w:t>
      </w:r>
      <w:bookmarkEnd w:id="192"/>
      <w:bookmarkEnd w:id="193"/>
      <w:bookmarkEnd w:id="194"/>
    </w:p>
    <w:p w14:paraId="7F30CA68"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Research conducted, supported, or intended to be submitted to EPA is subject to Environmental Protection Agency Regulations.</w:t>
      </w:r>
    </w:p>
    <w:p w14:paraId="0DD20626"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Intentional exposure of pregnant women or children to any substance is prohibited.</w:t>
      </w:r>
    </w:p>
    <w:p w14:paraId="4D4297C7"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 xml:space="preserve">Observational research involving pregnant women and fetuses are subject to additional DHHS requirements for research involving pregnant women (45 CFR </w:t>
      </w:r>
      <w:r>
        <w:rPr>
          <w:b/>
          <w:bCs/>
          <w:color w:val="BF504D"/>
          <w:sz w:val="22"/>
          <w:szCs w:val="22"/>
        </w:rPr>
        <w:t>§</w:t>
      </w:r>
      <w:r>
        <w:rPr>
          <w:color w:val="BF504D"/>
          <w:sz w:val="22"/>
          <w:szCs w:val="22"/>
        </w:rPr>
        <w:t xml:space="preserve">46 Subpart B) and additional DHHS requirements for research involving children (45 CFR </w:t>
      </w:r>
      <w:r>
        <w:rPr>
          <w:b/>
          <w:bCs/>
          <w:color w:val="BF504D"/>
          <w:sz w:val="22"/>
          <w:szCs w:val="22"/>
        </w:rPr>
        <w:t>§</w:t>
      </w:r>
      <w:r>
        <w:rPr>
          <w:color w:val="BF504D"/>
          <w:sz w:val="22"/>
          <w:szCs w:val="22"/>
        </w:rPr>
        <w:t>46 Subpart D.)</w:t>
      </w:r>
    </w:p>
    <w:p w14:paraId="0EC57B12" w14:textId="77777777" w:rsidR="004521D0" w:rsidRPr="00AD33B7" w:rsidRDefault="004B5D1B" w:rsidP="008E1F98">
      <w:pPr>
        <w:pStyle w:val="Default"/>
        <w:numPr>
          <w:ilvl w:val="0"/>
          <w:numId w:val="18"/>
        </w:numPr>
        <w:spacing w:line="276" w:lineRule="auto"/>
        <w:rPr>
          <w:color w:val="BF504D"/>
          <w:sz w:val="22"/>
          <w:szCs w:val="22"/>
        </w:rPr>
      </w:pPr>
      <w:r>
        <w:rPr>
          <w:color w:val="BF504D"/>
          <w:sz w:val="22"/>
          <w:szCs w:val="22"/>
        </w:rPr>
        <w:t>Research involving children must meet category #1 or #2 in Subpart D.</w:t>
      </w:r>
    </w:p>
    <w:p w14:paraId="490F29D8" w14:textId="77777777" w:rsidR="004521D0" w:rsidRPr="00AD33B7" w:rsidRDefault="004B5D1B" w:rsidP="008E1F98">
      <w:pPr>
        <w:numPr>
          <w:ilvl w:val="0"/>
          <w:numId w:val="18"/>
        </w:numPr>
        <w:spacing w:after="0" w:line="276" w:lineRule="auto"/>
        <w:rPr>
          <w:color w:val="BF504D"/>
        </w:rPr>
      </w:pPr>
      <w:r>
        <w:rPr>
          <w:color w:val="BF504D"/>
        </w:rPr>
        <w:t>Other specific requirements of the Environmental Protection Agency (EPA) Research can be found in the “Additional Requirements for Environmental Protection Agency (EPA) Research and Research Intended to be Submitted to the Environmental Protection Agency” section in the IRB’s HRP-318 - WORKSHEET - Additional Federal Agency Criteria.</w:t>
      </w:r>
    </w:p>
    <w:p w14:paraId="65C5282C" w14:textId="77777777" w:rsidR="004521D0" w:rsidRPr="00AD33B7" w:rsidRDefault="004B5D1B">
      <w:pPr>
        <w:pStyle w:val="HotDocsvariable"/>
        <w:rPr>
          <w:color w:val="F898A6"/>
        </w:rPr>
      </w:pPr>
      <w:r>
        <w:rPr>
          <w:color w:val="F898A6"/>
        </w:rPr>
        <w:br w:type="page"/>
      </w:r>
    </w:p>
    <w:p w14:paraId="57A2FE9E" w14:textId="77777777" w:rsidR="004521D0" w:rsidRPr="00AD33B7" w:rsidRDefault="41B41E75">
      <w:pPr>
        <w:pStyle w:val="Heading2AppendixA"/>
        <w:spacing w:line="276" w:lineRule="auto"/>
      </w:pPr>
      <w:bookmarkStart w:id="195" w:name="APPENDIX_A9"/>
      <w:bookmarkStart w:id="196" w:name="_Toc1684231598"/>
      <w:bookmarkStart w:id="197" w:name="_Toc212142194"/>
      <w:bookmarkStart w:id="198" w:name="_Toc225507734"/>
      <w:bookmarkEnd w:id="195"/>
      <w:r>
        <w:lastRenderedPageBreak/>
        <w:t>Single IRB Studies</w:t>
      </w:r>
      <w:bookmarkEnd w:id="196"/>
      <w:bookmarkEnd w:id="197"/>
      <w:bookmarkEnd w:id="198"/>
    </w:p>
    <w:p w14:paraId="230EDD0D" w14:textId="77777777" w:rsidR="004521D0" w:rsidRPr="00AD33B7" w:rsidRDefault="004B5D1B" w:rsidP="008E1F98">
      <w:pPr>
        <w:numPr>
          <w:ilvl w:val="0"/>
          <w:numId w:val="21"/>
        </w:numPr>
        <w:spacing w:after="0" w:line="276" w:lineRule="auto"/>
      </w:pPr>
      <w:r>
        <w:t>That National Institutes of Health expects that all sites participating in multi-site studies involving non-exempt human subjects research funded by the NIH will use a single Institutional Review Board (sIRB) to conduct the ethical review required by the Department of Health and Human Services regulations for the Protection of Human Subjects at 45 CFR Part 46.</w:t>
      </w:r>
    </w:p>
    <w:p w14:paraId="0C42F38C" w14:textId="77777777" w:rsidR="004521D0" w:rsidRPr="00AD33B7" w:rsidRDefault="004B5D1B" w:rsidP="008E1F98">
      <w:pPr>
        <w:numPr>
          <w:ilvl w:val="1"/>
          <w:numId w:val="21"/>
        </w:numPr>
        <w:spacing w:after="0" w:line="276" w:lineRule="auto"/>
      </w:pPr>
      <w:bookmarkStart w:id="199" w:name="_Toc494625115"/>
      <w:bookmarkStart w:id="200" w:name="_Toc494625218"/>
      <w:r>
        <w:t>This policy applies to the domestic sites of NIH-funded multi-site studies where each site will conduct the same protocol involving non-exempt human subjects research, whether supported through grants, cooperative agreements, contracts, or the NIH Intramural Research Program.  It does not apply to career development, research training or fellowship awards.</w:t>
      </w:r>
      <w:bookmarkEnd w:id="199"/>
      <w:bookmarkEnd w:id="200"/>
    </w:p>
    <w:p w14:paraId="7F8601B2" w14:textId="77777777" w:rsidR="004521D0" w:rsidRPr="00AD33B7" w:rsidRDefault="004B5D1B" w:rsidP="008E1F98">
      <w:pPr>
        <w:numPr>
          <w:ilvl w:val="1"/>
          <w:numId w:val="21"/>
        </w:numPr>
        <w:spacing w:after="0" w:line="276" w:lineRule="auto"/>
      </w:pPr>
      <w:bookmarkStart w:id="201" w:name="_Toc494625116"/>
      <w:bookmarkStart w:id="202" w:name="_Toc494625219"/>
      <w:r>
        <w:t>This policy applies to domestic awardees and participating domestic sites.  Foreign sites participating in NIH-funded, multi-site studies will not be expected to follow this policy.</w:t>
      </w:r>
      <w:bookmarkEnd w:id="201"/>
      <w:bookmarkEnd w:id="202"/>
    </w:p>
    <w:p w14:paraId="52FC0093" w14:textId="77777777" w:rsidR="004521D0" w:rsidRPr="00AD33B7" w:rsidRDefault="004B5D1B" w:rsidP="008E1F98">
      <w:pPr>
        <w:numPr>
          <w:ilvl w:val="1"/>
          <w:numId w:val="21"/>
        </w:numPr>
        <w:spacing w:after="0" w:line="276" w:lineRule="auto"/>
      </w:pPr>
      <w:bookmarkStart w:id="203" w:name="_Toc494625117"/>
      <w:bookmarkStart w:id="204" w:name="_Toc494625220"/>
      <w:r>
        <w:rPr>
          <w:bCs/>
        </w:rPr>
        <w:t>Exceptions to the NIH policy</w:t>
      </w:r>
      <w:r>
        <w:rPr>
          <w:b/>
          <w:bCs/>
        </w:rPr>
        <w:t xml:space="preserve"> </w:t>
      </w:r>
      <w:r>
        <w:t>will be made where review by the proposed sIRB would be prohibited by a federal, tribal, or state law, regulation, or policy.  Requests for exceptions that are not based on a legal, regulatory, or policy requirement will be considered if there is a compelling justification for the exception.  The NIH will determine whether to grant an exception following an assessment of the need.</w:t>
      </w:r>
      <w:bookmarkEnd w:id="203"/>
      <w:bookmarkEnd w:id="204"/>
    </w:p>
    <w:p w14:paraId="28AEEB6F" w14:textId="77777777" w:rsidR="004521D0" w:rsidRPr="00AD33B7" w:rsidRDefault="004B5D1B" w:rsidP="008E1F98">
      <w:pPr>
        <w:numPr>
          <w:ilvl w:val="0"/>
          <w:numId w:val="21"/>
        </w:numPr>
        <w:spacing w:after="0" w:line="276" w:lineRule="auto"/>
      </w:pPr>
      <w:r>
        <w:t>The Office for Human Research Protections expects that all sites located in the United States participating in cooperative research must rely upon approval by a single IRB for that portion of the research that is conducted in the United States. The reviewing IRB will be identified by the Federal department or agency supporting or conducting the research or proposed by the lead institution subject to the acceptance of the Federal department or agency supporting the research.</w:t>
      </w:r>
    </w:p>
    <w:p w14:paraId="598AC79B" w14:textId="77777777" w:rsidR="004521D0" w:rsidRPr="00AD33B7" w:rsidRDefault="004521D0" w:rsidP="00384CCB">
      <w:pPr>
        <w:spacing w:after="0" w:line="276" w:lineRule="auto"/>
      </w:pPr>
    </w:p>
    <w:p w14:paraId="3C186DAF" w14:textId="77777777" w:rsidR="004521D0" w:rsidRPr="00AD33B7" w:rsidRDefault="004B5D1B">
      <w:pPr>
        <w:spacing w:line="276" w:lineRule="auto"/>
        <w:ind w:left="720"/>
      </w:pPr>
      <w:r>
        <w:t>The following research is not subject to this provision:</w:t>
      </w:r>
    </w:p>
    <w:p w14:paraId="1034AD64" w14:textId="77777777" w:rsidR="004521D0" w:rsidRPr="00AD33B7" w:rsidRDefault="004B5D1B" w:rsidP="008E1F98">
      <w:pPr>
        <w:numPr>
          <w:ilvl w:val="1"/>
          <w:numId w:val="21"/>
        </w:numPr>
        <w:spacing w:after="0" w:line="276" w:lineRule="auto"/>
      </w:pPr>
      <w:r>
        <w:t>Cooperative research for which more than single IRB review is required by law (including tribal law passed by the official governing body of an American Indian or Alaska Native tribe); or</w:t>
      </w:r>
    </w:p>
    <w:p w14:paraId="4FEC8E7F" w14:textId="77777777" w:rsidR="004521D0" w:rsidRPr="00AD33B7" w:rsidRDefault="004B5D1B" w:rsidP="008E1F98">
      <w:pPr>
        <w:numPr>
          <w:ilvl w:val="1"/>
          <w:numId w:val="21"/>
        </w:numPr>
        <w:spacing w:after="0" w:line="276" w:lineRule="auto"/>
      </w:pPr>
      <w:r>
        <w:t>Research for which any Federal department or agency supporting or conducting the research determines and documents that the use of a single IRB is not appropriate for the particular context.</w:t>
      </w:r>
    </w:p>
    <w:p w14:paraId="41238EAE" w14:textId="77777777" w:rsidR="004521D0" w:rsidRPr="00AD33B7" w:rsidRDefault="004B5D1B" w:rsidP="008E1F98">
      <w:pPr>
        <w:numPr>
          <w:ilvl w:val="1"/>
          <w:numId w:val="21"/>
        </w:numPr>
        <w:spacing w:after="0" w:line="276" w:lineRule="auto"/>
      </w:pPr>
      <w:r>
        <w:t>For research not subject to paragraph (b) of this section, an institution participating in a cooperative project may enter into a joint review arrangement, rely on the review of another IRB, or make similar arrangements for avoiding duplication of effort.</w:t>
      </w:r>
    </w:p>
    <w:p w14:paraId="0C257C4F" w14:textId="77777777" w:rsidR="004521D0" w:rsidRPr="00AD33B7" w:rsidRDefault="004B5D1B">
      <w:pPr>
        <w:spacing w:line="276" w:lineRule="auto"/>
      </w:pPr>
      <w:r>
        <w:t xml:space="preserve"> </w:t>
      </w:r>
      <w:r>
        <w:br w:type="page"/>
      </w:r>
    </w:p>
    <w:p w14:paraId="151EA709" w14:textId="77777777" w:rsidR="004521D0" w:rsidRPr="00AD33B7" w:rsidRDefault="41B41E75">
      <w:pPr>
        <w:pStyle w:val="Heading2AppendixA"/>
        <w:spacing w:line="276" w:lineRule="auto"/>
      </w:pPr>
      <w:bookmarkStart w:id="205" w:name="_Toc514603025"/>
      <w:bookmarkStart w:id="206" w:name="_Toc1745123156"/>
      <w:bookmarkStart w:id="207" w:name="_Toc212142195"/>
      <w:bookmarkStart w:id="208" w:name="_Toc225507735"/>
      <w:r>
        <w:lastRenderedPageBreak/>
        <w:t>Additional Requirements for Research Subject to EU General Data Protection Regulations (GDPR)</w:t>
      </w:r>
      <w:bookmarkEnd w:id="205"/>
      <w:bookmarkEnd w:id="206"/>
      <w:bookmarkEnd w:id="207"/>
      <w:bookmarkEnd w:id="208"/>
    </w:p>
    <w:p w14:paraId="53FAD0EC" w14:textId="77777777" w:rsidR="004521D0" w:rsidRPr="002F3966" w:rsidRDefault="004B5D1B" w:rsidP="008E1F98">
      <w:pPr>
        <w:numPr>
          <w:ilvl w:val="0"/>
          <w:numId w:val="22"/>
        </w:numPr>
        <w:spacing w:after="0" w:line="276" w:lineRule="auto"/>
      </w:pPr>
      <w:r>
        <w:t>Human Research involving personal data about individuals located in (but not necessarily citizens of) European Union member states, Norway, Iceland, Liechtenstein, and Switzerland is subject to EU General Data Protection Regulations.</w:t>
      </w:r>
    </w:p>
    <w:p w14:paraId="582DC09B" w14:textId="77777777" w:rsidR="004521D0" w:rsidRPr="002F3966" w:rsidRDefault="004B5D1B" w:rsidP="008E1F98">
      <w:pPr>
        <w:numPr>
          <w:ilvl w:val="0"/>
          <w:numId w:val="22"/>
        </w:numPr>
        <w:spacing w:after="0" w:line="276" w:lineRule="auto"/>
      </w:pPr>
      <w:r>
        <w:t xml:space="preserve">For all prospective Human Research subject to EU GDPR, </w:t>
      </w:r>
      <w:r w:rsidR="002557BF">
        <w:t xml:space="preserve">view the </w:t>
      </w:r>
      <w:hyperlink r:id="rId87" w:history="1">
        <w:r w:rsidR="002557BF" w:rsidRPr="002557BF">
          <w:rPr>
            <w:rStyle w:val="Hyperlink"/>
          </w:rPr>
          <w:t>Ohio State GDPR statement</w:t>
        </w:r>
      </w:hyperlink>
      <w:r>
        <w:t xml:space="preserve"> to ensure that the following elements of the research are consistent with institutional policies and interpretations of EU GDPR:</w:t>
      </w:r>
    </w:p>
    <w:p w14:paraId="6E42D019" w14:textId="77777777" w:rsidR="004521D0" w:rsidRPr="002F3966" w:rsidRDefault="004B5D1B" w:rsidP="008E1F98">
      <w:pPr>
        <w:numPr>
          <w:ilvl w:val="1"/>
          <w:numId w:val="22"/>
        </w:numPr>
        <w:spacing w:after="0" w:line="276" w:lineRule="auto"/>
      </w:pPr>
      <w:r>
        <w:t>Any applicable study design elements related to data security measures.</w:t>
      </w:r>
    </w:p>
    <w:p w14:paraId="14364E77" w14:textId="77777777" w:rsidR="004521D0" w:rsidRPr="002F3966" w:rsidRDefault="004B5D1B" w:rsidP="008E1F98">
      <w:pPr>
        <w:numPr>
          <w:ilvl w:val="1"/>
          <w:numId w:val="22"/>
        </w:numPr>
        <w:spacing w:after="0" w:line="276" w:lineRule="auto"/>
      </w:pPr>
      <w:r>
        <w:t xml:space="preserve">Any applicable procedures related to the rights to access, rectification, and erasure of data.  </w:t>
      </w:r>
    </w:p>
    <w:p w14:paraId="026CD69E" w14:textId="77777777" w:rsidR="004521D0" w:rsidRPr="002F3966" w:rsidRDefault="004B5D1B" w:rsidP="008E1F98">
      <w:pPr>
        <w:numPr>
          <w:ilvl w:val="1"/>
          <w:numId w:val="22"/>
        </w:numPr>
        <w:spacing w:after="0" w:line="276" w:lineRule="auto"/>
      </w:pPr>
      <w:r>
        <w:t>Procedures related to broad/unspecified future use consent for the storage, maintenance, and secondary research use of identifiable private information or identifiable biospecimens.</w:t>
      </w:r>
    </w:p>
    <w:p w14:paraId="24722565" w14:textId="77777777" w:rsidR="004521D0" w:rsidRPr="002F3966" w:rsidRDefault="004B5D1B" w:rsidP="008E1F98">
      <w:pPr>
        <w:numPr>
          <w:ilvl w:val="0"/>
          <w:numId w:val="22"/>
        </w:numPr>
        <w:spacing w:after="0" w:line="276" w:lineRule="auto"/>
      </w:pPr>
      <w:r>
        <w:t xml:space="preserve">Where FDA or DHHS regulations apply in addition to EU GDPR regulations, ensure that procedures related to withdrawal from the research, as well as procedures for managing data and biospecimens associated with the research remain consistent with Appendices A-1 and A-2 above. </w:t>
      </w:r>
    </w:p>
    <w:p w14:paraId="4A115DCC" w14:textId="77777777" w:rsidR="004521D0" w:rsidRPr="00AD33B7" w:rsidRDefault="004521D0">
      <w:pPr>
        <w:spacing w:line="276" w:lineRule="auto"/>
      </w:pPr>
    </w:p>
    <w:p w14:paraId="17483E3E" w14:textId="77777777" w:rsidR="004521D0" w:rsidRPr="00AD33B7" w:rsidRDefault="004521D0">
      <w:pPr>
        <w:spacing w:line="276" w:lineRule="auto"/>
      </w:pPr>
    </w:p>
    <w:p w14:paraId="49888FEA" w14:textId="77777777" w:rsidR="004521D0" w:rsidRPr="00AD33B7" w:rsidRDefault="41B41E75">
      <w:pPr>
        <w:pStyle w:val="Heading2AppendixA"/>
        <w:spacing w:line="276" w:lineRule="auto"/>
      </w:pPr>
      <w:bookmarkStart w:id="209" w:name="_Toc709280185"/>
      <w:bookmarkStart w:id="210" w:name="_Toc212142196"/>
      <w:bookmarkStart w:id="211" w:name="_Toc225507736"/>
      <w:bookmarkStart w:id="212" w:name="_Toc56184649"/>
      <w:r>
        <w:lastRenderedPageBreak/>
        <w:t>Emergency/Disaster Preparedness Considerations for Investigators Conducting Human Research</w:t>
      </w:r>
      <w:bookmarkEnd w:id="209"/>
      <w:bookmarkEnd w:id="210"/>
      <w:bookmarkEnd w:id="211"/>
    </w:p>
    <w:p w14:paraId="1705D11D" w14:textId="77777777" w:rsidR="004521D0" w:rsidRPr="00AD33B7" w:rsidRDefault="004B5D1B">
      <w:pPr>
        <w:spacing w:line="276" w:lineRule="auto"/>
        <w:rPr>
          <w:b/>
          <w:bCs/>
        </w:rPr>
      </w:pPr>
      <w:r>
        <w:t xml:space="preserve">Investigators conducting human research should be aware of the following additional considerations associated with managing </w:t>
      </w:r>
      <w:r>
        <w:rPr>
          <w:u w:val="double"/>
        </w:rPr>
        <w:t>Human Research</w:t>
      </w:r>
      <w:r>
        <w:t xml:space="preserve"> during an emergency/disaster scenario (e.g., extreme weather events, natural disasters, man-made disasters, infectious disease pandemics, etc.) related to investigators’ ongoing interactions with research subjects and the institutional review board (IRB) in such cases. </w:t>
      </w:r>
    </w:p>
    <w:p w14:paraId="5533F57D" w14:textId="77777777" w:rsidR="004521D0" w:rsidRPr="00AD33B7" w:rsidRDefault="004B5D1B">
      <w:pPr>
        <w:spacing w:line="276" w:lineRule="auto"/>
        <w:rPr>
          <w:b/>
          <w:bCs/>
          <w:sz w:val="24"/>
          <w:szCs w:val="24"/>
        </w:rPr>
      </w:pPr>
      <w:r>
        <w:rPr>
          <w:b/>
          <w:bCs/>
          <w:sz w:val="24"/>
          <w:szCs w:val="24"/>
        </w:rPr>
        <w:t>During Emergency/Disaster Scenarios: Deciding Whether a Study-Specific Risk Mitigation Plan for Ongoing Research Is Needed</w:t>
      </w:r>
    </w:p>
    <w:p w14:paraId="455D9FD7" w14:textId="77777777" w:rsidR="004521D0" w:rsidRPr="00AD33B7" w:rsidRDefault="004B5D1B">
      <w:pPr>
        <w:spacing w:line="276" w:lineRule="auto"/>
      </w:pPr>
      <w:r>
        <w:t xml:space="preserve">In general, investigators should develop a study-specific emergency/disaster risk mitigation plan for their research unless one of the following is true: </w:t>
      </w:r>
    </w:p>
    <w:p w14:paraId="33C9D65F" w14:textId="77777777" w:rsidR="004521D0" w:rsidRPr="00AD33B7" w:rsidRDefault="004B5D1B" w:rsidP="008E1F98">
      <w:pPr>
        <w:pStyle w:val="ListParagraph"/>
        <w:numPr>
          <w:ilvl w:val="0"/>
          <w:numId w:val="25"/>
        </w:numPr>
      </w:pPr>
      <w:r>
        <w:t>Research does not involve in-person interaction with research subjects.</w:t>
      </w:r>
    </w:p>
    <w:p w14:paraId="6131B721" w14:textId="77777777" w:rsidR="004521D0" w:rsidRPr="00AD33B7" w:rsidRDefault="004B5D1B" w:rsidP="008E1F98">
      <w:pPr>
        <w:pStyle w:val="ListParagraph"/>
        <w:numPr>
          <w:ilvl w:val="0"/>
          <w:numId w:val="25"/>
        </w:numPr>
      </w:pPr>
      <w:r>
        <w:t>Research can be conducted as written while adhering to additional institution-level and HRPP-level guidance and requirements regarding the emergency/disaster event.</w:t>
      </w:r>
    </w:p>
    <w:p w14:paraId="4B4B44CE" w14:textId="77777777" w:rsidR="004521D0" w:rsidRPr="00AD33B7" w:rsidRDefault="004B5D1B" w:rsidP="008E1F98">
      <w:pPr>
        <w:pStyle w:val="ListParagraph"/>
        <w:numPr>
          <w:ilvl w:val="0"/>
          <w:numId w:val="25"/>
        </w:numPr>
      </w:pPr>
      <w:r>
        <w:t>The research is externally sponsored, and the sponsor has developed a protocol-specific risk mitigation plan for the research.</w:t>
      </w:r>
    </w:p>
    <w:p w14:paraId="219B682E" w14:textId="77777777" w:rsidR="004521D0" w:rsidRPr="00AD33B7" w:rsidRDefault="004B5D1B" w:rsidP="008E1F98">
      <w:pPr>
        <w:pStyle w:val="ListParagraph"/>
        <w:numPr>
          <w:ilvl w:val="0"/>
          <w:numId w:val="25"/>
        </w:numPr>
      </w:pPr>
      <w:r>
        <w:t>The research has been voluntarily placed on hold for recruitment and all research procedures (except for necessary follow-up procedures to be done consistently with additional institution-level and HRPP-level guidance and requirements regarding the emergency/disaster event).</w:t>
      </w:r>
    </w:p>
    <w:p w14:paraId="61F88247" w14:textId="77777777" w:rsidR="004521D0" w:rsidRPr="00AD33B7" w:rsidRDefault="004B5D1B">
      <w:pPr>
        <w:spacing w:line="276" w:lineRule="auto"/>
        <w:rPr>
          <w:b/>
          <w:bCs/>
          <w:sz w:val="24"/>
          <w:szCs w:val="24"/>
        </w:rPr>
      </w:pPr>
      <w:r>
        <w:rPr>
          <w:b/>
          <w:bCs/>
          <w:sz w:val="24"/>
          <w:szCs w:val="24"/>
        </w:rPr>
        <w:t>Tools and Resources for Developing Study-Specific Emergency/Disaster Risk Mitigation Plans for Ongoing Research</w:t>
      </w:r>
    </w:p>
    <w:p w14:paraId="15AAC845" w14:textId="77777777" w:rsidR="004521D0" w:rsidRPr="00AD33B7" w:rsidRDefault="004B5D1B">
      <w:pPr>
        <w:spacing w:line="276" w:lineRule="auto"/>
      </w:pPr>
      <w:r>
        <w:t xml:space="preserve">Review “HRP-108 - FLOWCHART - Study-Specific Emergency-Disaster Risk Mitigation Planning” and “HRP-351 - WORKSHEET - Protocol-Specific Emergency-Disaster Risk Mitigation Planning” for general guidance on developing study-specific risk mitigation plans. </w:t>
      </w:r>
    </w:p>
    <w:p w14:paraId="53D1B6D0" w14:textId="77777777" w:rsidR="004521D0" w:rsidRPr="00AD33B7" w:rsidRDefault="004B5D1B">
      <w:pPr>
        <w:spacing w:line="276" w:lineRule="auto"/>
        <w:rPr>
          <w:b/>
          <w:bCs/>
          <w:sz w:val="24"/>
          <w:szCs w:val="24"/>
        </w:rPr>
      </w:pPr>
      <w:r>
        <w:rPr>
          <w:b/>
          <w:bCs/>
          <w:sz w:val="24"/>
          <w:szCs w:val="24"/>
        </w:rPr>
        <w:t>Voluntary Holds on Human Research Activities</w:t>
      </w:r>
    </w:p>
    <w:p w14:paraId="2F5F28CC" w14:textId="77777777" w:rsidR="004521D0" w:rsidRPr="00AD33B7" w:rsidRDefault="004B5D1B" w:rsidP="00384CCB">
      <w:pPr>
        <w:spacing w:line="276" w:lineRule="auto"/>
      </w:pPr>
      <w:r>
        <w:t xml:space="preserve">Investigators may voluntarily elect to place all recruitment, enrollment and research procedures on temporary hold during emergency/disaster scenarios if doing so will better ensure the safety of research subjects and would not create any additional risks to the safety and welfare of research subjects. Such voluntary holds on research activity do not require IRB notification or review. </w:t>
      </w:r>
    </w:p>
    <w:p w14:paraId="70ACEEC7" w14:textId="77777777" w:rsidR="004521D0" w:rsidRPr="00AD33B7" w:rsidRDefault="004B5D1B">
      <w:pPr>
        <w:spacing w:line="276" w:lineRule="auto"/>
        <w:rPr>
          <w:b/>
          <w:bCs/>
          <w:sz w:val="24"/>
          <w:szCs w:val="24"/>
        </w:rPr>
      </w:pPr>
      <w:r>
        <w:rPr>
          <w:b/>
          <w:bCs/>
          <w:sz w:val="24"/>
          <w:szCs w:val="24"/>
        </w:rPr>
        <w:t>Submitting Study-Specific Emergency/Disaster Risk Mitigation Plans for IRB Review</w:t>
      </w:r>
    </w:p>
    <w:p w14:paraId="35512BE0" w14:textId="77777777" w:rsidR="004521D0" w:rsidRPr="00AD33B7" w:rsidRDefault="004B5D1B">
      <w:pPr>
        <w:spacing w:line="276" w:lineRule="auto"/>
      </w:pPr>
      <w:r>
        <w:t xml:space="preserve">If immediate modification of the research is necessary to eliminate an apparent immediate hazard to a subject, take action, and notify the IRB within five business days following the standard pathway to submit reportable new information. </w:t>
      </w:r>
    </w:p>
    <w:p w14:paraId="060CF34A" w14:textId="77777777" w:rsidR="004521D0" w:rsidRPr="00AD33B7" w:rsidRDefault="004B5D1B">
      <w:pPr>
        <w:spacing w:line="276" w:lineRule="auto"/>
      </w:pPr>
      <w:r>
        <w:lastRenderedPageBreak/>
        <w:t>For all other study modifications made to ensure the ongoing safety of research subjects during emergency/disaster scenarios, submit a study amendment and all relevant new or modified study materials to the IRB.</w:t>
      </w:r>
    </w:p>
    <w:p w14:paraId="39DE193A" w14:textId="77777777" w:rsidR="004521D0" w:rsidRPr="00AD33B7" w:rsidRDefault="004B5D1B">
      <w:pPr>
        <w:spacing w:line="276" w:lineRule="auto"/>
        <w:rPr>
          <w:b/>
          <w:bCs/>
          <w:sz w:val="24"/>
          <w:szCs w:val="24"/>
        </w:rPr>
      </w:pPr>
      <w:r>
        <w:rPr>
          <w:b/>
          <w:bCs/>
          <w:sz w:val="24"/>
          <w:szCs w:val="24"/>
        </w:rPr>
        <w:t>Other Reportable New Information Considerations During Emergency/Disaster Scenarios</w:t>
      </w:r>
    </w:p>
    <w:p w14:paraId="187A9A84" w14:textId="77777777" w:rsidR="004521D0" w:rsidRPr="00AD33B7" w:rsidRDefault="004B5D1B">
      <w:pPr>
        <w:spacing w:line="276" w:lineRule="auto"/>
      </w:pPr>
      <w:r>
        <w:t xml:space="preserve">The IRB’s list of reportable events includes two items for which additional clarification and guidance may be helpful during emergency/disaster scenarios:  </w:t>
      </w:r>
    </w:p>
    <w:p w14:paraId="328688A1" w14:textId="77777777" w:rsidR="004521D0" w:rsidRPr="00AD33B7" w:rsidRDefault="004B5D1B" w:rsidP="008E1F98">
      <w:pPr>
        <w:pStyle w:val="ListParagraph"/>
        <w:numPr>
          <w:ilvl w:val="0"/>
          <w:numId w:val="26"/>
        </w:numPr>
      </w:pPr>
      <w:r>
        <w:rPr>
          <w:b/>
          <w:bCs/>
          <w:i/>
          <w:iCs/>
        </w:rPr>
        <w:t>“Failure to follow the protocol due to the action or inaction of the investigator or research staff.”</w:t>
      </w:r>
      <w:r>
        <w:t xml:space="preserve"> Emphasis on action or inaction of the investigator or research staff has been added because this requirement does not include action or inaction of the research subject. For example, study teams may notice an increase in the number of subjects who do not arrive for scheduled research visits under emergency/disaster circumstances. Failure of a research participant to appear for a scheduled research visit is not noncompliance due to action or inaction by the investigator or research staff, and therefore does not require reporting to the IRB. </w:t>
      </w:r>
    </w:p>
    <w:p w14:paraId="6E3457AF" w14:textId="77777777" w:rsidR="004521D0" w:rsidRPr="00AD33B7" w:rsidRDefault="004B5D1B" w:rsidP="008E1F98">
      <w:pPr>
        <w:pStyle w:val="ListParagraph"/>
        <w:numPr>
          <w:ilvl w:val="0"/>
          <w:numId w:val="24"/>
        </w:numPr>
        <w:rPr>
          <w:b/>
          <w:bCs/>
          <w:sz w:val="28"/>
          <w:szCs w:val="28"/>
        </w:rPr>
      </w:pPr>
      <w:r>
        <w:rPr>
          <w:b/>
          <w:bCs/>
          <w:i/>
          <w:iCs/>
        </w:rPr>
        <w:t>“Change to the protocol taken without prior IRB review to eliminate an apparent immediate hazard to a subject.”</w:t>
      </w:r>
      <w:r>
        <w:t xml:space="preserve"> During emergency/disaster scenarios, there will be cases where there is sufficient time to receive IRB approval of any proposed modifications to previously approved research, and in such cases, investigators should follow standard IRB procedures for submitting modifications. However, there will be other cases where investigators must make more immediate changes to the protocol or investigational plan to minimize or eliminate immediate hazards or to protect the life and well-being of research participants. Such changes may be implemented without IRB approval but are required to be reported to the IRB within five business days afterward in accordance with IRB policies and procedures for submitting reportable new information. </w:t>
      </w:r>
      <w:bookmarkEnd w:id="212"/>
    </w:p>
    <w:p w14:paraId="5F2B085A" w14:textId="79D24A8D" w:rsidR="6D600998" w:rsidRPr="00370D45" w:rsidRDefault="00771A15" w:rsidP="00370D45">
      <w:pPr>
        <w:rPr>
          <w:b/>
          <w:bCs/>
          <w:sz w:val="28"/>
          <w:szCs w:val="28"/>
        </w:rPr>
      </w:pPr>
      <w:r>
        <w:rPr>
          <w:b/>
          <w:bCs/>
          <w:sz w:val="28"/>
          <w:szCs w:val="28"/>
        </w:rPr>
        <w:br w:type="page"/>
      </w:r>
    </w:p>
    <w:p w14:paraId="10EC4A73" w14:textId="77777777" w:rsidR="00E62A77" w:rsidRPr="007F17AF" w:rsidRDefault="26DF661C" w:rsidP="00F2286B">
      <w:pPr>
        <w:pStyle w:val="Heading1"/>
      </w:pPr>
      <w:bookmarkStart w:id="213" w:name="_Toc212142197"/>
      <w:bookmarkStart w:id="214" w:name="_Toc225507737"/>
      <w:bookmarkStart w:id="215" w:name="_Toc992957147"/>
      <w:r>
        <w:lastRenderedPageBreak/>
        <w:t>B A</w:t>
      </w:r>
      <w:bookmarkStart w:id="216" w:name="BAppendices"/>
      <w:bookmarkEnd w:id="216"/>
      <w:r>
        <w:t>ppendices: Human Research Protection Program Policies</w:t>
      </w:r>
      <w:bookmarkEnd w:id="213"/>
      <w:bookmarkEnd w:id="214"/>
      <w:r>
        <w:t xml:space="preserve"> </w:t>
      </w:r>
      <w:bookmarkEnd w:id="215"/>
    </w:p>
    <w:p w14:paraId="53F0EAE1" w14:textId="77777777" w:rsidR="007425BD" w:rsidRPr="001F749B" w:rsidRDefault="00385EB6" w:rsidP="00995B2A">
      <w:pPr>
        <w:rPr>
          <w:b/>
          <w:bCs/>
        </w:rPr>
      </w:pPr>
      <w:r>
        <w:t>Note: Policies are routinely evaluated and revised as necessary. The policies will be revised to  eliminate references to Buck-IRB and the Buck-IRB application, and to</w:t>
      </w:r>
      <w:r>
        <w:rPr>
          <w:i/>
          <w:iCs/>
        </w:rPr>
        <w:t xml:space="preserve"> </w:t>
      </w:r>
      <w:r>
        <w:t>incorporate Huron IRB system terminology.</w:t>
      </w:r>
    </w:p>
    <w:p w14:paraId="5C6F900E" w14:textId="02444686" w:rsidR="00995B2A" w:rsidRPr="00F2286B" w:rsidRDefault="26DF661C" w:rsidP="00F2286B">
      <w:pPr>
        <w:pStyle w:val="Heading2"/>
      </w:pPr>
      <w:bookmarkStart w:id="217" w:name="_Toc315269051"/>
      <w:bookmarkStart w:id="218" w:name="_Appendix-B1_"/>
      <w:bookmarkStart w:id="219" w:name="B1"/>
      <w:bookmarkStart w:id="220" w:name="_Toc212142198"/>
      <w:bookmarkStart w:id="221" w:name="_Toc225507738"/>
      <w:r>
        <w:t>Appendix-B</w:t>
      </w:r>
      <w:r w:rsidR="00342509">
        <w:t>-</w:t>
      </w:r>
      <w:r>
        <w:t>1</w:t>
      </w:r>
      <w:bookmarkEnd w:id="217"/>
      <w:bookmarkEnd w:id="218"/>
      <w:bookmarkEnd w:id="219"/>
      <w:r>
        <w:tab/>
        <w:t>Research Involving Human Subjects</w:t>
      </w:r>
      <w:bookmarkEnd w:id="220"/>
      <w:bookmarkEnd w:id="221"/>
    </w:p>
    <w:p w14:paraId="3EF64C84" w14:textId="77777777" w:rsidR="00995B2A" w:rsidRPr="00995B2A" w:rsidRDefault="00995B2A" w:rsidP="00995B2A">
      <w:pPr>
        <w:spacing w:after="0" w:line="240" w:lineRule="auto"/>
        <w:rPr>
          <w:b/>
          <w:smallCaps/>
        </w:rPr>
      </w:pPr>
    </w:p>
    <w:p w14:paraId="09E23F38" w14:textId="77777777" w:rsidR="00995B2A" w:rsidRPr="00995B2A" w:rsidRDefault="00995B2A" w:rsidP="00A07209">
      <w:pPr>
        <w:numPr>
          <w:ilvl w:val="0"/>
          <w:numId w:val="36"/>
        </w:numPr>
        <w:tabs>
          <w:tab w:val="num" w:pos="0"/>
        </w:tabs>
        <w:spacing w:after="0" w:line="240" w:lineRule="auto"/>
        <w:ind w:left="360"/>
        <w:rPr>
          <w:b/>
          <w:smallCaps/>
        </w:rPr>
      </w:pPr>
      <w:r>
        <w:rPr>
          <w:b/>
          <w:smallCaps/>
        </w:rPr>
        <w:t>O</w:t>
      </w:r>
      <w:r>
        <w:rPr>
          <w:b/>
        </w:rPr>
        <w:t>verview</w:t>
      </w:r>
    </w:p>
    <w:p w14:paraId="47A003F6" w14:textId="77777777" w:rsidR="00995B2A" w:rsidRPr="00995B2A" w:rsidRDefault="00995B2A" w:rsidP="00995B2A">
      <w:pPr>
        <w:spacing w:after="0" w:line="240" w:lineRule="auto"/>
        <w:rPr>
          <w:b/>
          <w:smallCaps/>
        </w:rPr>
      </w:pPr>
    </w:p>
    <w:p w14:paraId="60C4CC2E" w14:textId="77777777" w:rsidR="00995B2A" w:rsidRPr="00995B2A" w:rsidRDefault="00995B2A" w:rsidP="00995B2A">
      <w:pPr>
        <w:spacing w:after="0" w:line="240" w:lineRule="auto"/>
        <w:ind w:left="360"/>
      </w:pPr>
      <w:r>
        <w:t>Federal regulations define when an activity is research involving human subjects. As described below, an activity is human subjects research (i.e., and subject to regulatory and institutional requirements) if it fits either the DHHS or FDA definitions. All research involving human subjects must be approved by an IRB before being performed unless the research has been determined to be exempt.</w:t>
      </w:r>
    </w:p>
    <w:p w14:paraId="78D9FC6A" w14:textId="77777777" w:rsidR="00995B2A" w:rsidRPr="00995B2A" w:rsidRDefault="00995B2A" w:rsidP="00995B2A">
      <w:pPr>
        <w:spacing w:after="0" w:line="240" w:lineRule="auto"/>
        <w:ind w:left="360"/>
      </w:pPr>
    </w:p>
    <w:p w14:paraId="5DB56A70" w14:textId="77777777" w:rsidR="00995B2A" w:rsidRPr="00995B2A" w:rsidRDefault="00995B2A" w:rsidP="00995B2A">
      <w:pPr>
        <w:spacing w:after="0" w:line="240" w:lineRule="auto"/>
        <w:ind w:left="360"/>
      </w:pPr>
      <w:r>
        <w:t>This policy describes applicable DHHS and FDA definitions, the scope of human subjects research for which The Ohio State University Human Research Protection Program (HRPP) has responsibility, and the process by which determinations are made that an activity is research involving human subjects.</w:t>
      </w:r>
    </w:p>
    <w:p w14:paraId="13C13550" w14:textId="77777777" w:rsidR="00995B2A" w:rsidRPr="00995B2A" w:rsidRDefault="00995B2A" w:rsidP="00995B2A">
      <w:pPr>
        <w:spacing w:after="0" w:line="240" w:lineRule="auto"/>
      </w:pPr>
    </w:p>
    <w:p w14:paraId="762703BE" w14:textId="77777777" w:rsidR="00995B2A" w:rsidRPr="00995B2A" w:rsidRDefault="00995B2A" w:rsidP="00A07209">
      <w:pPr>
        <w:numPr>
          <w:ilvl w:val="0"/>
          <w:numId w:val="36"/>
        </w:numPr>
        <w:tabs>
          <w:tab w:val="num" w:pos="0"/>
        </w:tabs>
        <w:spacing w:after="0" w:line="240" w:lineRule="auto"/>
        <w:ind w:left="360"/>
        <w:rPr>
          <w:b/>
          <w:smallCaps/>
        </w:rPr>
      </w:pPr>
      <w:r>
        <w:rPr>
          <w:b/>
        </w:rPr>
        <w:t>Definitions for DHHS-Regulated Research</w:t>
      </w:r>
    </w:p>
    <w:p w14:paraId="51C78D61" w14:textId="77777777" w:rsidR="00995B2A" w:rsidRPr="00995B2A" w:rsidRDefault="00995B2A" w:rsidP="00995B2A">
      <w:pPr>
        <w:tabs>
          <w:tab w:val="left" w:pos="360"/>
        </w:tabs>
        <w:spacing w:after="0" w:line="240" w:lineRule="auto"/>
        <w:rPr>
          <w:b/>
          <w:smallCaps/>
        </w:rPr>
      </w:pPr>
    </w:p>
    <w:p w14:paraId="6F8797BB" w14:textId="77777777" w:rsidR="00995B2A" w:rsidRPr="00995B2A" w:rsidRDefault="00995B2A" w:rsidP="00995B2A">
      <w:pPr>
        <w:tabs>
          <w:tab w:val="left" w:pos="360"/>
        </w:tabs>
        <w:spacing w:after="0" w:line="240" w:lineRule="auto"/>
        <w:ind w:left="360"/>
      </w:pPr>
      <w:r>
        <w:rPr>
          <w:b/>
          <w:bCs/>
          <w:color w:val="000000"/>
        </w:rPr>
        <w:t xml:space="preserve">Clinical trial: </w:t>
      </w:r>
      <w:r>
        <w:t>Research study in which one or more human subjects are prospectively assigned to one or more interventions (which may include placebo or other control) to evaluate the effects of the interventions on biomedical or behavioral health-related outcomes.</w:t>
      </w:r>
    </w:p>
    <w:p w14:paraId="3FD4C470" w14:textId="77777777" w:rsidR="00995B2A" w:rsidRPr="00995B2A" w:rsidRDefault="00995B2A" w:rsidP="00995B2A">
      <w:pPr>
        <w:tabs>
          <w:tab w:val="left" w:pos="360"/>
        </w:tabs>
        <w:spacing w:after="0" w:line="240" w:lineRule="auto"/>
        <w:ind w:left="360"/>
        <w:rPr>
          <w:b/>
          <w:bCs/>
          <w:color w:val="000000"/>
        </w:rPr>
      </w:pPr>
    </w:p>
    <w:p w14:paraId="6080DEEB" w14:textId="77777777" w:rsidR="00995B2A" w:rsidRPr="00995B2A" w:rsidRDefault="00995B2A" w:rsidP="00995B2A">
      <w:pPr>
        <w:tabs>
          <w:tab w:val="left" w:pos="360"/>
        </w:tabs>
        <w:spacing w:after="0" w:line="240" w:lineRule="auto"/>
        <w:ind w:left="360"/>
        <w:rPr>
          <w:bCs/>
          <w:color w:val="000000"/>
        </w:rPr>
      </w:pPr>
      <w:r>
        <w:rPr>
          <w:b/>
          <w:bCs/>
          <w:color w:val="000000"/>
        </w:rPr>
        <w:t xml:space="preserve">Generalizable Knowledge: </w:t>
      </w:r>
      <w:r>
        <w:t>Information from which one may infer a general conclusion; knowledge brought into general use or that can be applied to a wider or different range of circumstances. For example, publication and presentation are typical methods used to disseminate research findings, thereby contributing to “generalizable knowledge.” However, not all information that is published or presented represents generalizable knowledge. Generalizable knowledge is also interpreted to include data intended for general use, regardless of its eventual distribution or acceptance.</w:t>
      </w:r>
    </w:p>
    <w:p w14:paraId="4AF4BC3B" w14:textId="77777777" w:rsidR="00995B2A" w:rsidRPr="00995B2A" w:rsidRDefault="00995B2A" w:rsidP="00995B2A">
      <w:pPr>
        <w:spacing w:before="100" w:beforeAutospacing="1" w:after="100" w:afterAutospacing="1" w:line="240" w:lineRule="auto"/>
        <w:ind w:left="360"/>
        <w:rPr>
          <w:bCs/>
          <w:i/>
          <w:color w:val="000000"/>
        </w:rPr>
      </w:pPr>
      <w:r>
        <w:rPr>
          <w:rFonts w:eastAsia="Arial Unicode MS"/>
          <w:b/>
        </w:rPr>
        <w:t xml:space="preserve">Human Subject: </w:t>
      </w:r>
      <w:r>
        <w:rPr>
          <w:rFonts w:eastAsia="Arial Unicode MS"/>
          <w:bCs/>
          <w:color w:val="000000"/>
        </w:rPr>
        <w:t>A</w:t>
      </w:r>
      <w:r>
        <w:rPr>
          <w:bCs/>
          <w:color w:val="000000"/>
        </w:rPr>
        <w:t xml:space="preserve"> living individual about whom an investigator (whether professional or student) conducting research obtains information or biospecimens through intervention or interaction with the individual, and uses, studies, or analyzes the information or biospecimens; or obtains, uses, analyzes, or generates identifiable private information or identifiable biospecimens. </w:t>
      </w:r>
      <w:r>
        <w:rPr>
          <w:bCs/>
          <w:i/>
          <w:color w:val="000000"/>
        </w:rPr>
        <w:t>Note: See the FDA definition of human subject for FDA-regulated research.</w:t>
      </w:r>
    </w:p>
    <w:p w14:paraId="29E5FBA0" w14:textId="77777777" w:rsidR="00995B2A" w:rsidRPr="00995B2A" w:rsidRDefault="00995B2A" w:rsidP="00995B2A">
      <w:pPr>
        <w:spacing w:before="100" w:beforeAutospacing="1" w:after="100" w:afterAutospacing="1" w:line="240" w:lineRule="auto"/>
        <w:ind w:left="360"/>
        <w:rPr>
          <w:bCs/>
          <w:i/>
          <w:color w:val="000000"/>
        </w:rPr>
      </w:pPr>
      <w:r>
        <w:rPr>
          <w:b/>
          <w:bCs/>
          <w:color w:val="000000"/>
        </w:rPr>
        <w:t xml:space="preserve">Individually Identifiable: </w:t>
      </w:r>
      <w:r>
        <w:rPr>
          <w:bCs/>
          <w:color w:val="000000"/>
        </w:rPr>
        <w:t xml:space="preserve">The identity of the participant is or may readily be ascertained by the investigator or the investigator’s staff, or is associated with the information. </w:t>
      </w:r>
      <w:r>
        <w:rPr>
          <w:bCs/>
          <w:i/>
          <w:color w:val="000000"/>
        </w:rPr>
        <w:t xml:space="preserve">Note: Individually identifiable for the purposes of HRPP policy may be similar to, but is not the same as, individually identifiable health information or protected health information as defined by the HIPAA Privacy Rule </w:t>
      </w:r>
      <w:r>
        <w:rPr>
          <w:bCs/>
          <w:i/>
          <w:color w:val="000000"/>
        </w:rPr>
        <w:lastRenderedPageBreak/>
        <w:t>at 45 CFR Part 160. Limited data sets released from data repositories with IRB approval to release such data sets are not considered to be individually identifiable.</w:t>
      </w:r>
    </w:p>
    <w:p w14:paraId="76F2FAF2"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Interaction: </w:t>
      </w:r>
      <w:r>
        <w:rPr>
          <w:bCs/>
          <w:color w:val="000000"/>
        </w:rPr>
        <w:t>Communication or interpersonal contact between an investigator and participant.</w:t>
      </w:r>
    </w:p>
    <w:p w14:paraId="6291FD3D"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Intervention: </w:t>
      </w:r>
      <w:r>
        <w:rPr>
          <w:bCs/>
          <w:color w:val="000000"/>
        </w:rPr>
        <w:t xml:space="preserve">Physical procedure by which information or biospecimens are gathered, or manipulation of the participant or the participant’s environment for research purposes. </w:t>
      </w:r>
    </w:p>
    <w:p w14:paraId="15ACF996" w14:textId="77777777" w:rsidR="00995B2A" w:rsidRPr="00995B2A" w:rsidRDefault="00995B2A" w:rsidP="00995B2A">
      <w:pPr>
        <w:spacing w:after="0" w:line="240" w:lineRule="auto"/>
        <w:ind w:left="360"/>
        <w:rPr>
          <w:bCs/>
        </w:rPr>
      </w:pPr>
      <w:r>
        <w:rPr>
          <w:b/>
          <w:bCs/>
        </w:rPr>
        <w:t xml:space="preserve">Limited Data Set: </w:t>
      </w:r>
      <w:r>
        <w:rPr>
          <w:bCs/>
        </w:rPr>
        <w:t>Health information that excludes certain direct identifiers, but may include</w:t>
      </w:r>
      <w:r>
        <w:t xml:space="preserve"> city, state, and ZIP code; elements of date; and other numbers, characteristics, or codes that cannot be used to identify an individual or the individual's relatives, employers, or household members. </w:t>
      </w:r>
      <w:r>
        <w:rPr>
          <w:i/>
        </w:rPr>
        <w:t xml:space="preserve">Note: Limited data sets may be used or disclosed for purposes of research with a data use agreement </w:t>
      </w:r>
      <w:r>
        <w:rPr>
          <w:bCs/>
          <w:i/>
        </w:rPr>
        <w:t xml:space="preserve">as described by the HIPAA Privacy Rule at 45 CFR Part 164. For more information, including the list of identifiers that must be removed from health information in a limited data set, see </w:t>
      </w:r>
      <w:hyperlink r:id="rId88" w:history="1">
        <w:r>
          <w:rPr>
            <w:bCs/>
            <w:color w:val="0000FF"/>
            <w:u w:val="single"/>
          </w:rPr>
          <w:t>HIPAA and Human Subjects Research</w:t>
        </w:r>
      </w:hyperlink>
      <w:r>
        <w:rPr>
          <w:bCs/>
          <w:i/>
        </w:rPr>
        <w:t>.</w:t>
      </w:r>
    </w:p>
    <w:p w14:paraId="27EF9C9A"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Private Information: </w:t>
      </w:r>
      <w:r>
        <w:rPr>
          <w:bCs/>
          <w:color w:val="000000"/>
        </w:rPr>
        <w:t>Information about behavior that occurs in a context in which an individual can reasonably expect that no observation or recording is taking place, or information that has been provided for specific purposes by an individual and which the individual can reasonably expect will not be made public. Examples of private information include medical or academic records or personal journals.</w:t>
      </w:r>
    </w:p>
    <w:p w14:paraId="2E5780C2" w14:textId="77777777" w:rsidR="00995B2A" w:rsidRPr="00995B2A" w:rsidRDefault="00995B2A" w:rsidP="00995B2A">
      <w:pPr>
        <w:spacing w:after="0" w:line="240" w:lineRule="auto"/>
        <w:ind w:left="360"/>
      </w:pPr>
      <w:r>
        <w:rPr>
          <w:b/>
        </w:rPr>
        <w:t xml:space="preserve">Research: </w:t>
      </w:r>
      <w:r>
        <w:t xml:space="preserve">A systematic investigation, including research development, testing, and evaluation, designed to develop or contribute to generalizable knowledge. </w:t>
      </w:r>
      <w:r>
        <w:rPr>
          <w:bCs/>
          <w:i/>
        </w:rPr>
        <w:t>Note: See the FDA definition of research (clinical investigation) for FDA-regulated research.</w:t>
      </w:r>
      <w:r>
        <w:t xml:space="preserve"> </w:t>
      </w:r>
    </w:p>
    <w:p w14:paraId="6DF370E2"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Systematic Investigation: </w:t>
      </w:r>
      <w:r>
        <w:rPr>
          <w:bCs/>
          <w:color w:val="000000"/>
        </w:rPr>
        <w:t>A planned scientific or scholarly activity involving qualitative or quantitative data collection and/or data analysis that sets forth an objective(s) and a set of procedures intended to reach the objective(s), i.e., to acquire knowledge, develop a theory, or answer a question.</w:t>
      </w:r>
    </w:p>
    <w:p w14:paraId="2F3E8936"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Treatment or Professional Practice: </w:t>
      </w:r>
      <w:r>
        <w:rPr>
          <w:bCs/>
          <w:color w:val="000000"/>
        </w:rPr>
        <w:t>Interventions designed solely to enhance the well-being of a particular individual.</w:t>
      </w:r>
    </w:p>
    <w:p w14:paraId="0D22A0E1" w14:textId="77777777" w:rsidR="00995B2A" w:rsidRPr="00995B2A" w:rsidRDefault="00995B2A" w:rsidP="00A07209">
      <w:pPr>
        <w:numPr>
          <w:ilvl w:val="0"/>
          <w:numId w:val="36"/>
        </w:numPr>
        <w:tabs>
          <w:tab w:val="num" w:pos="0"/>
        </w:tabs>
        <w:spacing w:after="0" w:line="240" w:lineRule="auto"/>
        <w:ind w:left="360"/>
      </w:pPr>
      <w:r>
        <w:rPr>
          <w:b/>
        </w:rPr>
        <w:t>Definitions for FDA-Regulated Research</w:t>
      </w:r>
    </w:p>
    <w:p w14:paraId="04829D6D" w14:textId="77777777" w:rsidR="00995B2A" w:rsidRPr="00995B2A" w:rsidRDefault="00995B2A" w:rsidP="00995B2A">
      <w:pPr>
        <w:spacing w:after="0" w:line="240" w:lineRule="auto"/>
        <w:ind w:left="-72"/>
      </w:pPr>
    </w:p>
    <w:p w14:paraId="21DE0F3A" w14:textId="77777777" w:rsidR="00995B2A" w:rsidRPr="00995B2A" w:rsidRDefault="00995B2A" w:rsidP="00995B2A">
      <w:pPr>
        <w:spacing w:after="60" w:line="240" w:lineRule="auto"/>
        <w:ind w:left="360"/>
      </w:pPr>
      <w:r>
        <w:rPr>
          <w:b/>
          <w:bCs/>
          <w:color w:val="000000"/>
        </w:rPr>
        <w:t xml:space="preserve">Clinical Investigation: </w:t>
      </w:r>
      <w:r>
        <w:t xml:space="preserve">Also: </w:t>
      </w:r>
      <w:r>
        <w:rPr>
          <w:b/>
        </w:rPr>
        <w:t>research</w:t>
      </w:r>
      <w:r>
        <w:t xml:space="preserve">, </w:t>
      </w:r>
      <w:r>
        <w:rPr>
          <w:b/>
        </w:rPr>
        <w:t>clinical research</w:t>
      </w:r>
      <w:r>
        <w:t xml:space="preserve">, </w:t>
      </w:r>
      <w:r>
        <w:rPr>
          <w:b/>
        </w:rPr>
        <w:t>clinical study</w:t>
      </w:r>
      <w:r>
        <w:t>. Any experiment that involves a test article and one or more human subjects that either:</w:t>
      </w:r>
    </w:p>
    <w:p w14:paraId="5EFAF97D" w14:textId="77777777" w:rsidR="00995B2A" w:rsidRPr="00995B2A" w:rsidRDefault="00995B2A" w:rsidP="00A07209">
      <w:pPr>
        <w:numPr>
          <w:ilvl w:val="0"/>
          <w:numId w:val="37"/>
        </w:numPr>
        <w:tabs>
          <w:tab w:val="left" w:pos="1170"/>
        </w:tabs>
        <w:spacing w:after="60" w:line="240" w:lineRule="auto"/>
        <w:rPr>
          <w:b/>
          <w:bCs/>
          <w:i/>
        </w:rPr>
      </w:pPr>
      <w:r>
        <w:t xml:space="preserve">Meets the requirements for prior submission to FDA under sections 505(i) or 520(g) of the Food, Drug, and Cosmetic Act; or </w:t>
      </w:r>
    </w:p>
    <w:p w14:paraId="5D420CF2" w14:textId="77777777" w:rsidR="00995B2A" w:rsidRPr="00995B2A" w:rsidRDefault="00995B2A" w:rsidP="00A07209">
      <w:pPr>
        <w:numPr>
          <w:ilvl w:val="0"/>
          <w:numId w:val="37"/>
        </w:numPr>
        <w:tabs>
          <w:tab w:val="left" w:pos="1170"/>
        </w:tabs>
        <w:spacing w:after="60" w:line="240" w:lineRule="auto"/>
        <w:rPr>
          <w:b/>
          <w:bCs/>
          <w:i/>
        </w:rPr>
      </w:pPr>
      <w:r>
        <w:t>Need not meet the requirements for prior submission to FDA under the sections noted above, but the results of which are intended to be later submitted to or held for inspection by FDA as part of an application for a research or marketing permit.</w:t>
      </w:r>
    </w:p>
    <w:p w14:paraId="49F78644" w14:textId="77777777" w:rsidR="00995B2A" w:rsidRPr="00995B2A" w:rsidRDefault="00995B2A" w:rsidP="00995B2A">
      <w:pPr>
        <w:spacing w:after="0" w:line="240" w:lineRule="auto"/>
        <w:ind w:left="360"/>
        <w:rPr>
          <w:b/>
          <w:bCs/>
          <w:i/>
        </w:rPr>
      </w:pPr>
      <w:r>
        <w:rPr>
          <w:i/>
        </w:rPr>
        <w:t>Note: Non-clinical laboratory studies are not considered to be clinical investigations. See the DHHS definition of research for DHHS-regulated research.</w:t>
      </w:r>
    </w:p>
    <w:p w14:paraId="37E6BD30" w14:textId="77777777" w:rsidR="00995B2A" w:rsidRPr="00995B2A" w:rsidRDefault="00995B2A" w:rsidP="00995B2A">
      <w:pPr>
        <w:spacing w:after="0" w:line="240" w:lineRule="auto"/>
        <w:rPr>
          <w:b/>
          <w:bCs/>
        </w:rPr>
      </w:pPr>
    </w:p>
    <w:p w14:paraId="29F4B627" w14:textId="77777777" w:rsidR="00995B2A" w:rsidRPr="00995B2A" w:rsidRDefault="00995B2A" w:rsidP="00995B2A">
      <w:pPr>
        <w:spacing w:after="40" w:line="240" w:lineRule="auto"/>
        <w:ind w:left="360"/>
        <w:rPr>
          <w:bCs/>
        </w:rPr>
      </w:pPr>
      <w:r>
        <w:rPr>
          <w:b/>
          <w:bCs/>
        </w:rPr>
        <w:lastRenderedPageBreak/>
        <w:t xml:space="preserve">Device: </w:t>
      </w:r>
      <w:r>
        <w:rPr>
          <w:bCs/>
        </w:rPr>
        <w:t>An instrument, apparatus, implement, machine, contrivance, implant, in vitro reagent or other similar or related article, including any component, part or accessory that:</w:t>
      </w:r>
    </w:p>
    <w:p w14:paraId="2BFCB63C" w14:textId="77777777" w:rsidR="00995B2A" w:rsidRPr="00995B2A" w:rsidRDefault="00995B2A" w:rsidP="00A07209">
      <w:pPr>
        <w:numPr>
          <w:ilvl w:val="0"/>
          <w:numId w:val="38"/>
        </w:numPr>
        <w:spacing w:after="60" w:line="240" w:lineRule="auto"/>
        <w:rPr>
          <w:bCs/>
        </w:rPr>
      </w:pPr>
      <w:r>
        <w:rPr>
          <w:bCs/>
        </w:rPr>
        <w:t>Is recognized in the National Formulary, United States Pharmacopoeia, or any supplement;</w:t>
      </w:r>
    </w:p>
    <w:p w14:paraId="18E7DAE4" w14:textId="77777777" w:rsidR="00995B2A" w:rsidRPr="00995B2A" w:rsidRDefault="00995B2A" w:rsidP="00A07209">
      <w:pPr>
        <w:numPr>
          <w:ilvl w:val="0"/>
          <w:numId w:val="38"/>
        </w:numPr>
        <w:spacing w:after="60" w:line="240" w:lineRule="auto"/>
        <w:rPr>
          <w:bCs/>
        </w:rPr>
      </w:pPr>
      <w:r>
        <w:rPr>
          <w:bCs/>
        </w:rPr>
        <w:t xml:space="preserve">Is intended for use in the diagnosis, cure, mitigation, treatment or prevention of disease; or </w:t>
      </w:r>
    </w:p>
    <w:p w14:paraId="11C50E0F" w14:textId="77777777" w:rsidR="00995B2A" w:rsidRPr="00995B2A" w:rsidRDefault="00995B2A" w:rsidP="00A07209">
      <w:pPr>
        <w:numPr>
          <w:ilvl w:val="0"/>
          <w:numId w:val="38"/>
        </w:numPr>
        <w:spacing w:after="60" w:line="240" w:lineRule="auto"/>
        <w:rPr>
          <w:bCs/>
        </w:rPr>
      </w:pPr>
      <w:r>
        <w:rPr>
          <w:bCs/>
        </w:rPr>
        <w:t xml:space="preserve">Is intended to affect the structure or any function of the body </w:t>
      </w:r>
    </w:p>
    <w:p w14:paraId="4FB915E3" w14:textId="77777777" w:rsidR="00995B2A" w:rsidRPr="00995B2A" w:rsidRDefault="00995B2A" w:rsidP="00995B2A">
      <w:pPr>
        <w:spacing w:after="60" w:line="240" w:lineRule="auto"/>
        <w:ind w:left="360"/>
        <w:rPr>
          <w:bCs/>
        </w:rPr>
      </w:pPr>
      <w:r>
        <w:rPr>
          <w:bCs/>
        </w:rPr>
        <w:t>And does not achieve its primary intended purposes through chemical action within or on the body and is not dependent upon being metabolized to achieve its primary intended purposes.</w:t>
      </w:r>
    </w:p>
    <w:p w14:paraId="0A898766" w14:textId="77777777" w:rsidR="00995B2A" w:rsidRPr="00995B2A" w:rsidRDefault="00995B2A" w:rsidP="00995B2A">
      <w:pPr>
        <w:spacing w:after="0" w:line="240" w:lineRule="auto"/>
      </w:pPr>
    </w:p>
    <w:p w14:paraId="591C170A" w14:textId="77777777" w:rsidR="00995B2A" w:rsidRPr="00995B2A" w:rsidRDefault="00995B2A" w:rsidP="00995B2A">
      <w:pPr>
        <w:spacing w:after="60" w:line="240" w:lineRule="auto"/>
        <w:ind w:left="360"/>
      </w:pPr>
      <w:r>
        <w:rPr>
          <w:b/>
        </w:rPr>
        <w:t xml:space="preserve">Drug: </w:t>
      </w:r>
      <w:r>
        <w:t xml:space="preserve">A substance that is: </w:t>
      </w:r>
    </w:p>
    <w:p w14:paraId="25ACC34F" w14:textId="77777777" w:rsidR="00995B2A" w:rsidRPr="00995B2A" w:rsidRDefault="00995B2A" w:rsidP="00A07209">
      <w:pPr>
        <w:numPr>
          <w:ilvl w:val="0"/>
          <w:numId w:val="47"/>
        </w:numPr>
        <w:spacing w:after="60" w:line="240" w:lineRule="auto"/>
      </w:pPr>
      <w:r>
        <w:t>Recognized in the United States Pharmacopoeia, Homeopathic Pharmacopoeia of the United States, or National Formulary (or any supplement to any of these);</w:t>
      </w:r>
    </w:p>
    <w:p w14:paraId="6FCD7E05" w14:textId="77777777" w:rsidR="00995B2A" w:rsidRPr="00995B2A" w:rsidRDefault="00995B2A" w:rsidP="00A07209">
      <w:pPr>
        <w:numPr>
          <w:ilvl w:val="0"/>
          <w:numId w:val="39"/>
        </w:numPr>
        <w:spacing w:after="60" w:line="240" w:lineRule="auto"/>
      </w:pPr>
      <w:r>
        <w:t>Intended for use in the diagnosis, cure, mitigation, treatment or prevention of disease;</w:t>
      </w:r>
    </w:p>
    <w:p w14:paraId="39687B3B" w14:textId="77777777" w:rsidR="00995B2A" w:rsidRPr="00995B2A" w:rsidRDefault="00995B2A" w:rsidP="00A07209">
      <w:pPr>
        <w:numPr>
          <w:ilvl w:val="0"/>
          <w:numId w:val="39"/>
        </w:numPr>
        <w:spacing w:after="60" w:line="240" w:lineRule="auto"/>
      </w:pPr>
      <w:r>
        <w:t xml:space="preserve">Intended to affect the structure or any function of the body and is not a food product; or </w:t>
      </w:r>
    </w:p>
    <w:p w14:paraId="784C522F" w14:textId="77777777" w:rsidR="00995B2A" w:rsidRPr="00995B2A" w:rsidRDefault="00995B2A" w:rsidP="00A07209">
      <w:pPr>
        <w:numPr>
          <w:ilvl w:val="0"/>
          <w:numId w:val="39"/>
        </w:numPr>
        <w:spacing w:after="0" w:line="240" w:lineRule="auto"/>
      </w:pPr>
      <w:r>
        <w:t>Intended for use as a component of any substance described above.</w:t>
      </w:r>
    </w:p>
    <w:p w14:paraId="22F9C76B" w14:textId="77777777" w:rsidR="00995B2A" w:rsidRPr="00995B2A" w:rsidRDefault="00995B2A" w:rsidP="00995B2A">
      <w:pPr>
        <w:spacing w:after="0" w:line="240" w:lineRule="auto"/>
      </w:pPr>
    </w:p>
    <w:p w14:paraId="63640E8A" w14:textId="77777777" w:rsidR="00995B2A" w:rsidRPr="00995B2A" w:rsidRDefault="00995B2A" w:rsidP="00995B2A">
      <w:pPr>
        <w:spacing w:after="0" w:line="240" w:lineRule="auto"/>
        <w:ind w:left="360"/>
        <w:rPr>
          <w:bCs/>
        </w:rPr>
      </w:pPr>
      <w:r>
        <w:rPr>
          <w:b/>
          <w:bCs/>
        </w:rPr>
        <w:t xml:space="preserve">Experiment: </w:t>
      </w:r>
      <w:r>
        <w:rPr>
          <w:bCs/>
        </w:rPr>
        <w:t>Any use of a drug except for the use of a marketed drug in the course of medical practice or any evaluation of the safety and efficacy of a medical device.</w:t>
      </w:r>
    </w:p>
    <w:p w14:paraId="108EA698" w14:textId="77777777" w:rsidR="00995B2A" w:rsidRPr="00995B2A" w:rsidRDefault="00995B2A" w:rsidP="00995B2A">
      <w:pPr>
        <w:spacing w:after="0" w:line="240" w:lineRule="auto"/>
        <w:rPr>
          <w:b/>
          <w:bCs/>
        </w:rPr>
      </w:pPr>
    </w:p>
    <w:p w14:paraId="4B99BC42" w14:textId="77777777" w:rsidR="00995B2A" w:rsidRPr="00995B2A" w:rsidRDefault="00995B2A" w:rsidP="00995B2A">
      <w:pPr>
        <w:spacing w:after="0" w:line="240" w:lineRule="auto"/>
        <w:ind w:left="360"/>
        <w:rPr>
          <w:i/>
        </w:rPr>
      </w:pPr>
      <w:r>
        <w:rPr>
          <w:b/>
          <w:bCs/>
        </w:rPr>
        <w:t xml:space="preserve">Human Subject: </w:t>
      </w:r>
      <w:r>
        <w:rPr>
          <w:bCs/>
        </w:rPr>
        <w:t xml:space="preserve">An individual who is or becomes a participant in research, either as a recipient of a test article or as a control. A subject may be either a healthy human or a patient. </w:t>
      </w:r>
      <w:r>
        <w:t xml:space="preserve">For research that involves medical devices, a human subject also includes an individual on whose specimen an investigational device is used. </w:t>
      </w:r>
      <w:r>
        <w:rPr>
          <w:bCs/>
          <w:i/>
        </w:rPr>
        <w:t>Note: See the DHHS definition of human subject for DHHS-regulated research.</w:t>
      </w:r>
    </w:p>
    <w:p w14:paraId="63D7FBCD" w14:textId="77777777" w:rsidR="00995B2A" w:rsidRPr="00995B2A" w:rsidRDefault="00995B2A" w:rsidP="00995B2A">
      <w:pPr>
        <w:spacing w:before="100" w:beforeAutospacing="1" w:after="100" w:afterAutospacing="1" w:line="240" w:lineRule="auto"/>
        <w:ind w:left="360"/>
        <w:rPr>
          <w:bCs/>
          <w:color w:val="000000"/>
        </w:rPr>
      </w:pPr>
      <w:r>
        <w:rPr>
          <w:b/>
          <w:bCs/>
          <w:color w:val="000000"/>
        </w:rPr>
        <w:t xml:space="preserve">Test Article: </w:t>
      </w:r>
      <w:r>
        <w:rPr>
          <w:bCs/>
          <w:color w:val="000000"/>
        </w:rPr>
        <w:t xml:space="preserve">Any drug (including a biological product) or medical device for human use, human food (including dietary supplements), food or color additive, infant formula, electronic product, or any other article subject to regulation by FDA. </w:t>
      </w:r>
    </w:p>
    <w:p w14:paraId="6FE3E0C7" w14:textId="77777777" w:rsidR="00995B2A" w:rsidRPr="00995B2A" w:rsidRDefault="00995B2A" w:rsidP="00A07209">
      <w:pPr>
        <w:numPr>
          <w:ilvl w:val="0"/>
          <w:numId w:val="36"/>
        </w:numPr>
        <w:tabs>
          <w:tab w:val="num" w:pos="0"/>
        </w:tabs>
        <w:spacing w:after="0" w:line="240" w:lineRule="auto"/>
        <w:ind w:left="360"/>
        <w:rPr>
          <w:b/>
          <w:smallCaps/>
        </w:rPr>
      </w:pPr>
      <w:r>
        <w:rPr>
          <w:b/>
        </w:rPr>
        <w:t>Scope of Research Subject to the HRPP</w:t>
      </w:r>
    </w:p>
    <w:p w14:paraId="1433356C" w14:textId="77777777" w:rsidR="00995B2A" w:rsidRPr="00995B2A" w:rsidRDefault="00995B2A" w:rsidP="00995B2A">
      <w:pPr>
        <w:spacing w:after="0" w:line="240" w:lineRule="auto"/>
        <w:rPr>
          <w:b/>
        </w:rPr>
      </w:pPr>
    </w:p>
    <w:p w14:paraId="0B951EEB" w14:textId="77777777" w:rsidR="00995B2A" w:rsidRPr="00995B2A" w:rsidRDefault="00995B2A" w:rsidP="00A07209">
      <w:pPr>
        <w:numPr>
          <w:ilvl w:val="0"/>
          <w:numId w:val="45"/>
        </w:numPr>
        <w:spacing w:after="60" w:line="240" w:lineRule="auto"/>
      </w:pPr>
      <w:r>
        <w:t>The requirements of the Human Research Protection Program apply to research involving human subjects that is either of the following:</w:t>
      </w:r>
    </w:p>
    <w:p w14:paraId="72CFD710" w14:textId="77777777" w:rsidR="00995B2A" w:rsidRPr="00995B2A" w:rsidRDefault="00995B2A" w:rsidP="00A07209">
      <w:pPr>
        <w:numPr>
          <w:ilvl w:val="0"/>
          <w:numId w:val="40"/>
        </w:numPr>
        <w:spacing w:after="60" w:line="240" w:lineRule="auto"/>
      </w:pPr>
      <w:r>
        <w:rPr>
          <w:b/>
          <w:i/>
        </w:rPr>
        <w:t>Research</w:t>
      </w:r>
      <w:r>
        <w:t xml:space="preserve"> that involves </w:t>
      </w:r>
      <w:r>
        <w:rPr>
          <w:b/>
          <w:i/>
        </w:rPr>
        <w:t>human subjects</w:t>
      </w:r>
      <w:r>
        <w:t xml:space="preserve"> as defined by DHHS regulations</w:t>
      </w:r>
    </w:p>
    <w:p w14:paraId="2A7A7BC5" w14:textId="77777777" w:rsidR="00995B2A" w:rsidRPr="00995B2A" w:rsidRDefault="00995B2A" w:rsidP="00A07209">
      <w:pPr>
        <w:numPr>
          <w:ilvl w:val="0"/>
          <w:numId w:val="40"/>
        </w:numPr>
        <w:spacing w:after="0" w:line="240" w:lineRule="auto"/>
      </w:pPr>
      <w:r>
        <w:rPr>
          <w:b/>
          <w:i/>
        </w:rPr>
        <w:t>Research (clinical investigation)</w:t>
      </w:r>
      <w:r>
        <w:t xml:space="preserve"> that involves </w:t>
      </w:r>
      <w:r>
        <w:rPr>
          <w:b/>
          <w:i/>
        </w:rPr>
        <w:t>human subjects</w:t>
      </w:r>
      <w:r>
        <w:t xml:space="preserve"> as defined by FDA regulations</w:t>
      </w:r>
    </w:p>
    <w:p w14:paraId="37EB1141" w14:textId="77777777" w:rsidR="00995B2A" w:rsidRPr="00995B2A" w:rsidRDefault="00995B2A" w:rsidP="00995B2A">
      <w:pPr>
        <w:spacing w:after="0" w:line="240" w:lineRule="auto"/>
      </w:pPr>
    </w:p>
    <w:p w14:paraId="5001B88A" w14:textId="77777777" w:rsidR="00995B2A" w:rsidRPr="00995B2A" w:rsidRDefault="00995B2A" w:rsidP="00A07209">
      <w:pPr>
        <w:numPr>
          <w:ilvl w:val="0"/>
          <w:numId w:val="45"/>
        </w:numPr>
        <w:tabs>
          <w:tab w:val="left" w:pos="360"/>
          <w:tab w:val="left" w:pos="720"/>
        </w:tabs>
        <w:spacing w:after="60" w:line="240" w:lineRule="auto"/>
      </w:pPr>
      <w:r>
        <w:t>The HRPP is responsible for research activities involving human subjects when:</w:t>
      </w:r>
    </w:p>
    <w:p w14:paraId="6D115C5F" w14:textId="77777777" w:rsidR="00995B2A" w:rsidRPr="00995B2A" w:rsidRDefault="00995B2A" w:rsidP="00A07209">
      <w:pPr>
        <w:numPr>
          <w:ilvl w:val="0"/>
          <w:numId w:val="41"/>
        </w:numPr>
        <w:spacing w:after="60" w:line="240" w:lineRule="auto"/>
      </w:pPr>
      <w:r>
        <w:t>Research is sponsored by The Ohio State University.</w:t>
      </w:r>
    </w:p>
    <w:p w14:paraId="4E11AB56" w14:textId="77777777" w:rsidR="00995B2A" w:rsidRPr="00995B2A" w:rsidRDefault="00995B2A" w:rsidP="00A07209">
      <w:pPr>
        <w:numPr>
          <w:ilvl w:val="0"/>
          <w:numId w:val="41"/>
        </w:numPr>
        <w:spacing w:after="60" w:line="240" w:lineRule="auto"/>
      </w:pPr>
      <w:r>
        <w:t>Research is conducted by or under the direction of any employee, staff, or agent of the university in accordance with university policy [</w:t>
      </w:r>
      <w:hyperlink r:id="rId89" w:history="1">
        <w:r>
          <w:rPr>
            <w:color w:val="0000FF"/>
            <w:u w:val="single"/>
          </w:rPr>
          <w:t>PI Status Qualifications and Procedure</w:t>
        </w:r>
      </w:hyperlink>
      <w:r>
        <w:t>].</w:t>
      </w:r>
    </w:p>
    <w:p w14:paraId="16E6E1C7" w14:textId="77777777" w:rsidR="00995B2A" w:rsidRPr="00995B2A" w:rsidRDefault="00995B2A" w:rsidP="00A07209">
      <w:pPr>
        <w:numPr>
          <w:ilvl w:val="0"/>
          <w:numId w:val="41"/>
        </w:numPr>
        <w:spacing w:after="60" w:line="240" w:lineRule="auto"/>
      </w:pPr>
      <w:bookmarkStart w:id="222" w:name="_Hlk93056331"/>
      <w:r>
        <w:t>Research is performed at university-approved performance sites.</w:t>
      </w:r>
    </w:p>
    <w:bookmarkEnd w:id="222"/>
    <w:p w14:paraId="32705979" w14:textId="77777777" w:rsidR="00995B2A" w:rsidRPr="00995B2A" w:rsidRDefault="00995B2A" w:rsidP="00A07209">
      <w:pPr>
        <w:numPr>
          <w:ilvl w:val="0"/>
          <w:numId w:val="41"/>
        </w:numPr>
        <w:spacing w:after="0" w:line="240" w:lineRule="auto"/>
      </w:pPr>
      <w:r>
        <w:t>Private information or biospecimens owned by the university is used for research or to identify or contact prospective participants, if Ohio State is engaged in the research.</w:t>
      </w:r>
    </w:p>
    <w:p w14:paraId="1B254A0E" w14:textId="77777777" w:rsidR="00995B2A" w:rsidRPr="00995B2A" w:rsidRDefault="00995B2A" w:rsidP="00995B2A">
      <w:pPr>
        <w:spacing w:after="0" w:line="240" w:lineRule="auto"/>
      </w:pPr>
    </w:p>
    <w:p w14:paraId="0096BF6D" w14:textId="77777777" w:rsidR="00995B2A" w:rsidRPr="00995B2A" w:rsidRDefault="00995B2A" w:rsidP="00A07209">
      <w:pPr>
        <w:numPr>
          <w:ilvl w:val="0"/>
          <w:numId w:val="45"/>
        </w:numPr>
        <w:spacing w:after="60" w:line="240" w:lineRule="auto"/>
      </w:pPr>
      <w:r>
        <w:lastRenderedPageBreak/>
        <w:t>All research involving human subjects under the jurisdiction of the HRPP will be reviewed by an Ohio State IRB, unless the research is either:</w:t>
      </w:r>
    </w:p>
    <w:p w14:paraId="323A5EE3" w14:textId="77777777" w:rsidR="00995B2A" w:rsidRPr="00995B2A" w:rsidRDefault="00995B2A" w:rsidP="00A07209">
      <w:pPr>
        <w:numPr>
          <w:ilvl w:val="0"/>
          <w:numId w:val="42"/>
        </w:numPr>
        <w:spacing w:after="60" w:line="240" w:lineRule="auto"/>
      </w:pPr>
      <w:r>
        <w:t>Determined to be exempt in accordance with HRPP policy [</w:t>
      </w:r>
      <w:hyperlink r:id="rId90" w:history="1">
        <w:r>
          <w:rPr>
            <w:color w:val="0000FF"/>
            <w:u w:val="single"/>
          </w:rPr>
          <w:t>Exempt Research</w:t>
        </w:r>
      </w:hyperlink>
      <w:r>
        <w:t>]</w:t>
      </w:r>
    </w:p>
    <w:p w14:paraId="0456FD57" w14:textId="77777777" w:rsidR="00995B2A" w:rsidRPr="00995B2A" w:rsidRDefault="00995B2A" w:rsidP="00A07209">
      <w:pPr>
        <w:numPr>
          <w:ilvl w:val="0"/>
          <w:numId w:val="42"/>
        </w:numPr>
        <w:spacing w:after="0" w:line="240" w:lineRule="auto"/>
      </w:pPr>
      <w:r>
        <w:t>Covered by a cooperative agreement (or other similar agreement) in which another appropriate IRB has agreed to serve as the IRB of record, as described in HRPP policy [</w:t>
      </w:r>
      <w:hyperlink r:id="rId91" w:history="1">
        <w:r>
          <w:rPr>
            <w:color w:val="0000FF"/>
            <w:u w:val="single"/>
          </w:rPr>
          <w:t>Collaborative and Multi-Site Research</w:t>
        </w:r>
      </w:hyperlink>
      <w:r>
        <w:t>]</w:t>
      </w:r>
    </w:p>
    <w:p w14:paraId="1841AD8A" w14:textId="77777777" w:rsidR="00995B2A" w:rsidRPr="00995B2A" w:rsidRDefault="00995B2A" w:rsidP="00995B2A">
      <w:pPr>
        <w:spacing w:after="0" w:line="240" w:lineRule="auto"/>
      </w:pPr>
    </w:p>
    <w:p w14:paraId="2AAB486F" w14:textId="77777777" w:rsidR="00995B2A" w:rsidRPr="00995B2A" w:rsidRDefault="00995B2A" w:rsidP="00A07209">
      <w:pPr>
        <w:numPr>
          <w:ilvl w:val="0"/>
          <w:numId w:val="36"/>
        </w:numPr>
        <w:tabs>
          <w:tab w:val="num" w:pos="0"/>
          <w:tab w:val="num" w:pos="360"/>
        </w:tabs>
        <w:spacing w:after="0" w:line="240" w:lineRule="auto"/>
        <w:ind w:left="360"/>
      </w:pPr>
      <w:r>
        <w:rPr>
          <w:b/>
        </w:rPr>
        <w:t>Human Subjects Research Determinations</w:t>
      </w:r>
    </w:p>
    <w:p w14:paraId="08069C7D" w14:textId="77777777" w:rsidR="00995B2A" w:rsidRPr="00995B2A" w:rsidRDefault="00995B2A" w:rsidP="00995B2A">
      <w:pPr>
        <w:spacing w:after="0" w:line="240" w:lineRule="auto"/>
        <w:ind w:left="-252"/>
      </w:pPr>
    </w:p>
    <w:p w14:paraId="00AE0E31" w14:textId="77777777" w:rsidR="00995B2A" w:rsidRPr="00995B2A" w:rsidRDefault="00995B2A" w:rsidP="00A07209">
      <w:pPr>
        <w:numPr>
          <w:ilvl w:val="0"/>
          <w:numId w:val="46"/>
        </w:numPr>
        <w:spacing w:after="0" w:line="240" w:lineRule="auto"/>
      </w:pPr>
      <w:r>
        <w:t xml:space="preserve">Individuals seeking guidance about whether their intended activities are defined as human subjects research subject to the requirements of the HRPP should contact the Office of Responsible Research Practices (ORRP) staff for assistance. Investigators are asked to provide in writing (or electronically) sufficient information about the activity to determine whether it represents research involving human subjects. </w:t>
      </w:r>
    </w:p>
    <w:p w14:paraId="30630E0F" w14:textId="77777777" w:rsidR="00995B2A" w:rsidRPr="00995B2A" w:rsidRDefault="00995B2A" w:rsidP="00995B2A">
      <w:pPr>
        <w:spacing w:after="0" w:line="240" w:lineRule="auto"/>
        <w:ind w:left="720"/>
      </w:pPr>
    </w:p>
    <w:p w14:paraId="631F23A3" w14:textId="77777777" w:rsidR="00995B2A" w:rsidRPr="00995B2A" w:rsidRDefault="00995B2A" w:rsidP="00A07209">
      <w:pPr>
        <w:numPr>
          <w:ilvl w:val="0"/>
          <w:numId w:val="46"/>
        </w:numPr>
        <w:spacing w:after="60" w:line="240" w:lineRule="auto"/>
      </w:pPr>
      <w:r>
        <w:t>When describing the proposed activity, the following information should be provided, as applicable:</w:t>
      </w:r>
    </w:p>
    <w:p w14:paraId="3CA70B2B" w14:textId="77777777" w:rsidR="00995B2A" w:rsidRPr="00995B2A" w:rsidRDefault="00995B2A" w:rsidP="00A07209">
      <w:pPr>
        <w:numPr>
          <w:ilvl w:val="0"/>
          <w:numId w:val="43"/>
        </w:numPr>
        <w:spacing w:after="60" w:line="240" w:lineRule="auto"/>
      </w:pPr>
      <w:r>
        <w:t>A brief description of the proposed activity and the potential participants to be involved</w:t>
      </w:r>
    </w:p>
    <w:p w14:paraId="6F643A20" w14:textId="77777777" w:rsidR="00995B2A" w:rsidRPr="00995B2A" w:rsidRDefault="00995B2A" w:rsidP="00A07209">
      <w:pPr>
        <w:numPr>
          <w:ilvl w:val="0"/>
          <w:numId w:val="43"/>
        </w:numPr>
        <w:spacing w:after="60" w:line="240" w:lineRule="auto"/>
      </w:pPr>
      <w:r>
        <w:t>The type of data/information to be collected and the process by which it will be collected</w:t>
      </w:r>
    </w:p>
    <w:p w14:paraId="7316BEBB" w14:textId="77777777" w:rsidR="00995B2A" w:rsidRPr="00995B2A" w:rsidRDefault="00995B2A" w:rsidP="00A07209">
      <w:pPr>
        <w:numPr>
          <w:ilvl w:val="0"/>
          <w:numId w:val="43"/>
        </w:numPr>
        <w:spacing w:after="60" w:line="240" w:lineRule="auto"/>
      </w:pPr>
      <w:r>
        <w:t>An explanation of how the information and/or results of the proposed activity will be used; the description should include whether the results of the activity are to be published, presented, or shared outside the group involved in or supporting the work, now or at any time in the future (including thesis or dissertation projects)</w:t>
      </w:r>
    </w:p>
    <w:p w14:paraId="4A9FF55B" w14:textId="77777777" w:rsidR="00995B2A" w:rsidRPr="00995B2A" w:rsidRDefault="00995B2A" w:rsidP="00A07209">
      <w:pPr>
        <w:numPr>
          <w:ilvl w:val="0"/>
          <w:numId w:val="43"/>
        </w:numPr>
        <w:spacing w:after="0" w:line="240" w:lineRule="auto"/>
      </w:pPr>
      <w:r>
        <w:t>Whether the activity will involve access to data/specimens from established records, databases, or biological repositories; and if so, the source(s) of the data/specimens and whether these sources are privately held or publicly available</w:t>
      </w:r>
    </w:p>
    <w:p w14:paraId="759493C6" w14:textId="77777777" w:rsidR="00995B2A" w:rsidRPr="00995B2A" w:rsidRDefault="00995B2A" w:rsidP="00995B2A">
      <w:pPr>
        <w:spacing w:after="0" w:line="240" w:lineRule="auto"/>
      </w:pPr>
    </w:p>
    <w:p w14:paraId="5FF60C76" w14:textId="77777777" w:rsidR="00995B2A" w:rsidRPr="00995B2A" w:rsidRDefault="00995B2A" w:rsidP="00A07209">
      <w:pPr>
        <w:numPr>
          <w:ilvl w:val="0"/>
          <w:numId w:val="46"/>
        </w:numPr>
        <w:spacing w:after="0" w:line="240" w:lineRule="auto"/>
      </w:pPr>
      <w:r>
        <w:rPr>
          <w:color w:val="000000"/>
        </w:rPr>
        <w:t>Determinations about whether an activity constitutes research involving human subjects are made by designated ORRP staff who have no direct involvement in the proposed activity. ORRP staff may request additional information from investigators, as necessary, to ensure that there is sufficient information to make a determination about whether the activity is defined as research involving human subjects.</w:t>
      </w:r>
    </w:p>
    <w:p w14:paraId="7D48FCAE" w14:textId="77777777" w:rsidR="00995B2A" w:rsidRPr="00995B2A" w:rsidRDefault="00995B2A" w:rsidP="00995B2A">
      <w:pPr>
        <w:spacing w:after="0" w:line="240" w:lineRule="auto"/>
        <w:ind w:left="360"/>
      </w:pPr>
    </w:p>
    <w:p w14:paraId="74129C0A" w14:textId="77777777" w:rsidR="00995B2A" w:rsidRPr="00995B2A" w:rsidRDefault="00995B2A" w:rsidP="00A07209">
      <w:pPr>
        <w:numPr>
          <w:ilvl w:val="0"/>
          <w:numId w:val="46"/>
        </w:numPr>
        <w:spacing w:after="60" w:line="240" w:lineRule="auto"/>
      </w:pPr>
      <w:r>
        <w:rPr>
          <w:color w:val="000000"/>
        </w:rPr>
        <w:t xml:space="preserve">ORRP staff will assess whether the submission is subject to review and oversight by an Ohio State IRB in accordance with university policy as defined above. In making these determinations, ORRP staff may consult the appropriate IRB chair or other available reference (e.g., OHRP </w:t>
      </w:r>
      <w:r>
        <w:t>“Human Subject Regulations Decision Charts”)</w:t>
      </w:r>
      <w:r>
        <w:rPr>
          <w:color w:val="000000"/>
        </w:rPr>
        <w:t xml:space="preserve"> for further guidance. </w:t>
      </w:r>
      <w:r>
        <w:t xml:space="preserve">ORRP </w:t>
      </w:r>
      <w:r>
        <w:rPr>
          <w:color w:val="000000"/>
        </w:rPr>
        <w:t xml:space="preserve">staff </w:t>
      </w:r>
      <w:r>
        <w:t>will make one of the following determinations:</w:t>
      </w:r>
    </w:p>
    <w:p w14:paraId="08F91D27" w14:textId="77777777" w:rsidR="00995B2A" w:rsidRPr="00995B2A" w:rsidRDefault="00995B2A" w:rsidP="00A07209">
      <w:pPr>
        <w:numPr>
          <w:ilvl w:val="0"/>
          <w:numId w:val="44"/>
        </w:numPr>
        <w:spacing w:after="60" w:line="240" w:lineRule="auto"/>
      </w:pPr>
      <w:r>
        <w:t xml:space="preserve">The proposed activity is </w:t>
      </w:r>
      <w:r>
        <w:rPr>
          <w:b/>
          <w:i/>
        </w:rPr>
        <w:t>NOT</w:t>
      </w:r>
      <w:r>
        <w:t xml:space="preserve"> research involving human subjects and may be conducted without IRB review or exemption.</w:t>
      </w:r>
    </w:p>
    <w:p w14:paraId="57E01BD6" w14:textId="77777777" w:rsidR="00995B2A" w:rsidRPr="00995B2A" w:rsidRDefault="00995B2A" w:rsidP="00A07209">
      <w:pPr>
        <w:numPr>
          <w:ilvl w:val="0"/>
          <w:numId w:val="44"/>
        </w:numPr>
        <w:spacing w:after="0" w:line="240" w:lineRule="auto"/>
      </w:pPr>
      <w:r>
        <w:t xml:space="preserve">The activity </w:t>
      </w:r>
      <w:r>
        <w:rPr>
          <w:b/>
          <w:i/>
        </w:rPr>
        <w:t>IS</w:t>
      </w:r>
      <w:r>
        <w:t xml:space="preserve"> research involving human subjects and, before performed, must be submitted for IRB review or exemption.</w:t>
      </w:r>
    </w:p>
    <w:p w14:paraId="4B98C333" w14:textId="77777777" w:rsidR="00995B2A" w:rsidRPr="00995B2A" w:rsidRDefault="00995B2A" w:rsidP="00995B2A">
      <w:pPr>
        <w:spacing w:after="0" w:line="240" w:lineRule="auto"/>
      </w:pPr>
    </w:p>
    <w:p w14:paraId="3E8548EE" w14:textId="77777777" w:rsidR="00995B2A" w:rsidRPr="00995B2A" w:rsidRDefault="00995B2A" w:rsidP="00A07209">
      <w:pPr>
        <w:numPr>
          <w:ilvl w:val="0"/>
          <w:numId w:val="46"/>
        </w:numPr>
        <w:spacing w:after="0" w:line="240" w:lineRule="auto"/>
      </w:pPr>
      <w:r>
        <w:t xml:space="preserve">Investigators will be notified in writing (or electronically) of the determination. Up to one week may be required for processing requests. Submission of the appropriate application and </w:t>
      </w:r>
      <w:r>
        <w:lastRenderedPageBreak/>
        <w:t>additional time will be required for IRB review or exempt determination for activities determined to be research involving human subjects.</w:t>
      </w:r>
    </w:p>
    <w:p w14:paraId="1A4B9E4A" w14:textId="77777777" w:rsidR="00995B2A" w:rsidRPr="00995B2A" w:rsidRDefault="00995B2A" w:rsidP="00995B2A">
      <w:pPr>
        <w:spacing w:after="0" w:line="240" w:lineRule="auto"/>
        <w:ind w:left="720"/>
      </w:pPr>
    </w:p>
    <w:p w14:paraId="62044FD4" w14:textId="77777777" w:rsidR="00995B2A" w:rsidRPr="00995B2A" w:rsidRDefault="00995B2A" w:rsidP="00A07209">
      <w:pPr>
        <w:numPr>
          <w:ilvl w:val="0"/>
          <w:numId w:val="36"/>
        </w:numPr>
        <w:tabs>
          <w:tab w:val="num" w:pos="0"/>
        </w:tabs>
        <w:spacing w:after="0" w:line="240" w:lineRule="auto"/>
        <w:ind w:left="360"/>
        <w:rPr>
          <w:b/>
        </w:rPr>
      </w:pPr>
      <w:r>
        <w:rPr>
          <w:b/>
        </w:rPr>
        <w:t>Record Retention</w:t>
      </w:r>
    </w:p>
    <w:p w14:paraId="5A7754C7" w14:textId="77777777" w:rsidR="00995B2A" w:rsidRPr="00995B2A" w:rsidRDefault="00995B2A" w:rsidP="00995B2A">
      <w:pPr>
        <w:spacing w:after="0" w:line="240" w:lineRule="auto"/>
      </w:pPr>
    </w:p>
    <w:p w14:paraId="2EFC2B30" w14:textId="77777777" w:rsidR="00995B2A" w:rsidRPr="00995B2A" w:rsidRDefault="00995B2A" w:rsidP="00995B2A">
      <w:pPr>
        <w:spacing w:after="0" w:line="240" w:lineRule="auto"/>
        <w:ind w:left="360"/>
      </w:pPr>
      <w:r>
        <w:t>Records of determinations about whether an activity is research involving human subjects, including materials submitted and related correspondence, are retained by the Office of Responsible Research Practices in accordance with HRPP policy [</w:t>
      </w:r>
      <w:hyperlink r:id="rId92" w:history="1">
        <w:r>
          <w:rPr>
            <w:color w:val="0000FF"/>
            <w:u w:val="single"/>
          </w:rPr>
          <w:t>IRB Recordkeeping</w:t>
        </w:r>
      </w:hyperlink>
      <w:r>
        <w:t>].</w:t>
      </w:r>
    </w:p>
    <w:p w14:paraId="1B11A290" w14:textId="77777777" w:rsidR="00995B2A" w:rsidRPr="00995B2A" w:rsidRDefault="00995B2A" w:rsidP="00995B2A">
      <w:pPr>
        <w:spacing w:after="0" w:line="240" w:lineRule="auto"/>
      </w:pPr>
    </w:p>
    <w:p w14:paraId="0E9624CA" w14:textId="77777777" w:rsidR="00995B2A" w:rsidRPr="00995B2A" w:rsidRDefault="00995B2A" w:rsidP="00A07209">
      <w:pPr>
        <w:numPr>
          <w:ilvl w:val="0"/>
          <w:numId w:val="36"/>
        </w:numPr>
        <w:tabs>
          <w:tab w:val="num" w:pos="0"/>
        </w:tabs>
        <w:spacing w:after="0" w:line="240" w:lineRule="auto"/>
        <w:ind w:left="360"/>
      </w:pPr>
      <w:r>
        <w:rPr>
          <w:b/>
        </w:rPr>
        <w:t>Applicable Regulations/Guidance</w:t>
      </w:r>
    </w:p>
    <w:p w14:paraId="310E0EE2" w14:textId="77777777" w:rsidR="00995B2A" w:rsidRPr="00995B2A" w:rsidRDefault="00995B2A" w:rsidP="00995B2A">
      <w:pPr>
        <w:spacing w:after="0" w:line="240" w:lineRule="auto"/>
        <w:rPr>
          <w:b/>
        </w:rPr>
      </w:pPr>
    </w:p>
    <w:p w14:paraId="035DC21B" w14:textId="77777777" w:rsidR="00995B2A" w:rsidRPr="00995B2A" w:rsidRDefault="00995B2A" w:rsidP="00995B2A">
      <w:pPr>
        <w:spacing w:after="0" w:line="240" w:lineRule="auto"/>
        <w:ind w:left="360"/>
      </w:pPr>
      <w:r>
        <w:t>21 CFR 56.102, 21 CFR 312.3, 21 CFR 812.3, 45 CFR 46.102, OHRP “Human Subject Regulations Decision Charts” (06/23/20)</w:t>
      </w:r>
    </w:p>
    <w:p w14:paraId="3EEC3CA8" w14:textId="77777777" w:rsidR="00995B2A" w:rsidRPr="00995B2A" w:rsidRDefault="00995B2A" w:rsidP="00995B2A">
      <w:pPr>
        <w:spacing w:after="0" w:line="240" w:lineRule="auto"/>
        <w:ind w:left="360"/>
      </w:pPr>
    </w:p>
    <w:p w14:paraId="07DFD160" w14:textId="77777777" w:rsidR="00995B2A" w:rsidRPr="00995B2A" w:rsidRDefault="00995B2A" w:rsidP="00A07209">
      <w:pPr>
        <w:numPr>
          <w:ilvl w:val="0"/>
          <w:numId w:val="36"/>
        </w:numPr>
        <w:spacing w:after="0" w:line="240" w:lineRule="auto"/>
        <w:ind w:left="360"/>
        <w:rPr>
          <w:b/>
        </w:rPr>
      </w:pPr>
      <w:r>
        <w:rPr>
          <w:b/>
        </w:rPr>
        <w:t>History</w:t>
      </w:r>
    </w:p>
    <w:p w14:paraId="30700945" w14:textId="77777777" w:rsidR="00995B2A" w:rsidRPr="00995B2A" w:rsidRDefault="00995B2A" w:rsidP="00995B2A">
      <w:pPr>
        <w:spacing w:after="0" w:line="240" w:lineRule="auto"/>
        <w:rPr>
          <w:b/>
        </w:rPr>
      </w:pPr>
    </w:p>
    <w:p w14:paraId="55207B26" w14:textId="77777777" w:rsidR="00995B2A" w:rsidRPr="00995B2A" w:rsidRDefault="00995B2A" w:rsidP="00995B2A">
      <w:pPr>
        <w:spacing w:after="0" w:line="240" w:lineRule="auto"/>
        <w:ind w:left="360"/>
      </w:pPr>
      <w:r>
        <w:t>Issued: 07/17/2006</w:t>
      </w:r>
    </w:p>
    <w:p w14:paraId="5A214DE6" w14:textId="77777777" w:rsidR="00995B2A" w:rsidRPr="00995B2A" w:rsidRDefault="00995B2A" w:rsidP="00995B2A">
      <w:pPr>
        <w:spacing w:after="0" w:line="240" w:lineRule="auto"/>
        <w:ind w:left="360"/>
      </w:pPr>
      <w:r>
        <w:t>Revised: 05/12/2008, 06/20/2011, 06/05/2012, 09/27/2012, 10/17/2016, 07/16/2018</w:t>
      </w:r>
    </w:p>
    <w:p w14:paraId="4AB65C60" w14:textId="77777777" w:rsidR="00995B2A" w:rsidRPr="00995B2A" w:rsidRDefault="00995B2A" w:rsidP="00995B2A">
      <w:pPr>
        <w:spacing w:after="0" w:line="240" w:lineRule="auto"/>
        <w:ind w:left="360"/>
      </w:pPr>
      <w:r>
        <w:t>Edited: 04/28/2009, 05/25/2010, 07/21/2010, 08/10/2010, 01/14/2022, 04/20/2022</w:t>
      </w:r>
      <w:r>
        <w:br w:type="page"/>
      </w:r>
      <w:r>
        <w:rPr>
          <w:b/>
        </w:rPr>
        <w:lastRenderedPageBreak/>
        <w:t>Table 1.</w:t>
      </w:r>
    </w:p>
    <w:p w14:paraId="5102B753" w14:textId="77777777" w:rsidR="00995B2A" w:rsidRPr="00995B2A" w:rsidRDefault="00995B2A" w:rsidP="00995B2A">
      <w:pPr>
        <w:spacing w:after="0" w:line="240" w:lineRule="auto"/>
        <w:ind w:left="360"/>
      </w:pPr>
    </w:p>
    <w:p w14:paraId="703FCCEE" w14:textId="77777777" w:rsidR="00995B2A" w:rsidRPr="00995B2A" w:rsidRDefault="00995B2A" w:rsidP="00995B2A">
      <w:pPr>
        <w:spacing w:after="0" w:line="240" w:lineRule="auto"/>
        <w:ind w:left="360"/>
      </w:pPr>
      <w:r>
        <w:t>Below is a list of activities that may (or may not) constitute research involving human subjects. The table is intended to provide examples and is not a definitive determination of whether a specific activity requires IRB review or exemption. For project-specific determinations, contact the Office of Responsible Research Practices.</w:t>
      </w:r>
    </w:p>
    <w:p w14:paraId="5AA5C83C" w14:textId="77777777" w:rsidR="00995B2A" w:rsidRPr="00995B2A" w:rsidRDefault="00995B2A" w:rsidP="00995B2A">
      <w:pPr>
        <w:spacing w:after="0" w:line="240" w:lineRule="auto"/>
        <w:ind w:left="360"/>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78"/>
        <w:gridCol w:w="2862"/>
      </w:tblGrid>
      <w:tr w:rsidR="00995B2A" w:rsidRPr="00995B2A" w14:paraId="19FF812E" w14:textId="77777777" w:rsidTr="00101C37">
        <w:trPr>
          <w:tblHeader/>
        </w:trPr>
        <w:tc>
          <w:tcPr>
            <w:tcW w:w="5778" w:type="dxa"/>
            <w:tcBorders>
              <w:bottom w:val="single" w:sz="4" w:space="0" w:color="auto"/>
            </w:tcBorders>
            <w:vAlign w:val="center"/>
          </w:tcPr>
          <w:p w14:paraId="24FF96B7" w14:textId="77777777" w:rsidR="00995B2A" w:rsidRPr="00995B2A" w:rsidRDefault="00995B2A" w:rsidP="00995B2A">
            <w:pPr>
              <w:spacing w:after="0" w:line="240" w:lineRule="auto"/>
              <w:rPr>
                <w:b/>
              </w:rPr>
            </w:pPr>
            <w:r>
              <w:rPr>
                <w:b/>
              </w:rPr>
              <w:t>Activity</w:t>
            </w:r>
          </w:p>
        </w:tc>
        <w:tc>
          <w:tcPr>
            <w:tcW w:w="2862" w:type="dxa"/>
            <w:tcBorders>
              <w:bottom w:val="single" w:sz="4" w:space="0" w:color="auto"/>
            </w:tcBorders>
            <w:vAlign w:val="center"/>
          </w:tcPr>
          <w:p w14:paraId="7C45BA0D" w14:textId="77777777" w:rsidR="00995B2A" w:rsidRPr="00995B2A" w:rsidRDefault="00995B2A" w:rsidP="00995B2A">
            <w:pPr>
              <w:spacing w:after="0" w:line="240" w:lineRule="auto"/>
              <w:rPr>
                <w:b/>
              </w:rPr>
            </w:pPr>
            <w:r>
              <w:rPr>
                <w:b/>
              </w:rPr>
              <w:t>Research Involving Human Subjects?</w:t>
            </w:r>
          </w:p>
        </w:tc>
      </w:tr>
      <w:tr w:rsidR="00995B2A" w:rsidRPr="00995B2A" w14:paraId="6CB9BBFB" w14:textId="77777777" w:rsidTr="00101C37">
        <w:tc>
          <w:tcPr>
            <w:tcW w:w="5778" w:type="dxa"/>
            <w:shd w:val="clear" w:color="auto" w:fill="D9D9D9"/>
            <w:vAlign w:val="center"/>
          </w:tcPr>
          <w:p w14:paraId="7A0B904F" w14:textId="77777777" w:rsidR="00995B2A" w:rsidRPr="00995B2A" w:rsidRDefault="00995B2A" w:rsidP="00995B2A">
            <w:pPr>
              <w:spacing w:after="0" w:line="240" w:lineRule="auto"/>
              <w:rPr>
                <w:b/>
              </w:rPr>
            </w:pPr>
            <w:r>
              <w:rPr>
                <w:b/>
              </w:rPr>
              <w:t>Scholarly or Scientific</w:t>
            </w:r>
          </w:p>
        </w:tc>
        <w:tc>
          <w:tcPr>
            <w:tcW w:w="2862" w:type="dxa"/>
            <w:shd w:val="clear" w:color="auto" w:fill="D9D9D9"/>
            <w:vAlign w:val="center"/>
          </w:tcPr>
          <w:p w14:paraId="28AC154C" w14:textId="77777777" w:rsidR="00995B2A" w:rsidRPr="00995B2A" w:rsidRDefault="00995B2A" w:rsidP="00995B2A">
            <w:pPr>
              <w:spacing w:after="0" w:line="240" w:lineRule="auto"/>
            </w:pPr>
          </w:p>
        </w:tc>
      </w:tr>
      <w:tr w:rsidR="00995B2A" w:rsidRPr="00995B2A" w14:paraId="7B470E50" w14:textId="77777777" w:rsidTr="00101C37">
        <w:tc>
          <w:tcPr>
            <w:tcW w:w="5778" w:type="dxa"/>
            <w:vAlign w:val="center"/>
          </w:tcPr>
          <w:p w14:paraId="2C6D6EF1" w14:textId="77777777" w:rsidR="00995B2A" w:rsidRPr="00995B2A" w:rsidRDefault="00995B2A" w:rsidP="00995B2A">
            <w:pPr>
              <w:spacing w:after="0" w:line="240" w:lineRule="auto"/>
              <w:rPr>
                <w:b/>
              </w:rPr>
            </w:pPr>
            <w:r>
              <w:rPr>
                <w:b/>
              </w:rPr>
              <w:t>Intent to Publish</w:t>
            </w:r>
            <w:r>
              <w:t xml:space="preserve"> – Activities that obtain data about individuals, systematically performed with the intent to generalize findings and to publish or present the results (regardless of eventual publication or presentation)</w:t>
            </w:r>
          </w:p>
        </w:tc>
        <w:tc>
          <w:tcPr>
            <w:tcW w:w="2862" w:type="dxa"/>
            <w:vAlign w:val="center"/>
          </w:tcPr>
          <w:p w14:paraId="7D45D69C" w14:textId="77777777" w:rsidR="00995B2A" w:rsidRPr="00995B2A" w:rsidRDefault="00995B2A" w:rsidP="00995B2A">
            <w:pPr>
              <w:spacing w:after="0" w:line="240" w:lineRule="auto"/>
              <w:rPr>
                <w:b/>
              </w:rPr>
            </w:pPr>
            <w:r>
              <w:rPr>
                <w:b/>
              </w:rPr>
              <w:t>Yes</w:t>
            </w:r>
          </w:p>
        </w:tc>
      </w:tr>
      <w:tr w:rsidR="00995B2A" w:rsidRPr="00995B2A" w14:paraId="44FE4CE4" w14:textId="77777777" w:rsidTr="00101C37">
        <w:tc>
          <w:tcPr>
            <w:tcW w:w="5778" w:type="dxa"/>
            <w:vAlign w:val="center"/>
          </w:tcPr>
          <w:p w14:paraId="6FFD05C6" w14:textId="77777777" w:rsidR="00995B2A" w:rsidRPr="00995B2A" w:rsidRDefault="00995B2A" w:rsidP="00995B2A">
            <w:pPr>
              <w:spacing w:after="0" w:line="240" w:lineRule="auto"/>
              <w:rPr>
                <w:b/>
              </w:rPr>
            </w:pPr>
            <w:r>
              <w:rPr>
                <w:b/>
              </w:rPr>
              <w:t xml:space="preserve">Intent to Publish </w:t>
            </w:r>
            <w:r>
              <w:t>– Activities that focus directly on the specific individuals about whom information are collected</w:t>
            </w:r>
          </w:p>
        </w:tc>
        <w:tc>
          <w:tcPr>
            <w:tcW w:w="2862" w:type="dxa"/>
            <w:vAlign w:val="center"/>
          </w:tcPr>
          <w:p w14:paraId="58D380BA" w14:textId="77777777" w:rsidR="00995B2A" w:rsidRPr="00995B2A" w:rsidRDefault="00995B2A" w:rsidP="00995B2A">
            <w:pPr>
              <w:spacing w:after="0" w:line="240" w:lineRule="auto"/>
              <w:rPr>
                <w:b/>
              </w:rPr>
            </w:pPr>
            <w:r>
              <w:rPr>
                <w:b/>
              </w:rPr>
              <w:t>No</w:t>
            </w:r>
          </w:p>
        </w:tc>
      </w:tr>
      <w:tr w:rsidR="00995B2A" w:rsidRPr="00995B2A" w14:paraId="630AD771" w14:textId="77777777" w:rsidTr="00101C37">
        <w:tc>
          <w:tcPr>
            <w:tcW w:w="5778" w:type="dxa"/>
            <w:vAlign w:val="center"/>
          </w:tcPr>
          <w:p w14:paraId="6AD8A130" w14:textId="77777777" w:rsidR="00995B2A" w:rsidRPr="00995B2A" w:rsidRDefault="00995B2A" w:rsidP="00995B2A">
            <w:pPr>
              <w:spacing w:after="0" w:line="240" w:lineRule="auto"/>
            </w:pPr>
            <w:r>
              <w:rPr>
                <w:b/>
              </w:rPr>
              <w:t>Pilot Studies</w:t>
            </w:r>
            <w:r>
              <w:t xml:space="preserve"> – Development of research, including activities involving individuals that are performed to refine a data collection or study methodology</w:t>
            </w:r>
          </w:p>
        </w:tc>
        <w:tc>
          <w:tcPr>
            <w:tcW w:w="2862" w:type="dxa"/>
            <w:vAlign w:val="center"/>
          </w:tcPr>
          <w:p w14:paraId="13ACB0E4" w14:textId="77777777" w:rsidR="00995B2A" w:rsidRPr="00995B2A" w:rsidRDefault="00995B2A" w:rsidP="00995B2A">
            <w:pPr>
              <w:spacing w:after="0" w:line="240" w:lineRule="auto"/>
              <w:rPr>
                <w:b/>
              </w:rPr>
            </w:pPr>
            <w:r>
              <w:rPr>
                <w:b/>
              </w:rPr>
              <w:t>Yes</w:t>
            </w:r>
          </w:p>
        </w:tc>
      </w:tr>
      <w:tr w:rsidR="00995B2A" w:rsidRPr="00995B2A" w14:paraId="7B386BDC" w14:textId="77777777" w:rsidTr="00101C37">
        <w:tc>
          <w:tcPr>
            <w:tcW w:w="5778" w:type="dxa"/>
            <w:vAlign w:val="center"/>
          </w:tcPr>
          <w:p w14:paraId="31F8083B" w14:textId="77777777" w:rsidR="00995B2A" w:rsidRPr="00995B2A" w:rsidRDefault="00995B2A" w:rsidP="00995B2A">
            <w:pPr>
              <w:spacing w:after="0" w:line="240" w:lineRule="auto"/>
            </w:pPr>
            <w:r>
              <w:rPr>
                <w:b/>
              </w:rPr>
              <w:t>Viewing Identifiable Private Information</w:t>
            </w:r>
            <w:r>
              <w:t xml:space="preserve"> – Identification of potential participants for a study or use of living individuals’ data for research purposes, whether or not the data will be recorded in an identifiable manner</w:t>
            </w:r>
          </w:p>
        </w:tc>
        <w:tc>
          <w:tcPr>
            <w:tcW w:w="2862" w:type="dxa"/>
            <w:vAlign w:val="center"/>
          </w:tcPr>
          <w:p w14:paraId="136094C8" w14:textId="77777777" w:rsidR="00995B2A" w:rsidRPr="00995B2A" w:rsidRDefault="00995B2A" w:rsidP="00995B2A">
            <w:pPr>
              <w:spacing w:after="0" w:line="240" w:lineRule="auto"/>
              <w:rPr>
                <w:b/>
              </w:rPr>
            </w:pPr>
            <w:r>
              <w:rPr>
                <w:b/>
              </w:rPr>
              <w:t>Yes</w:t>
            </w:r>
          </w:p>
        </w:tc>
      </w:tr>
      <w:tr w:rsidR="00995B2A" w:rsidRPr="00995B2A" w14:paraId="283BFE51" w14:textId="77777777" w:rsidTr="00101C37">
        <w:tc>
          <w:tcPr>
            <w:tcW w:w="5778" w:type="dxa"/>
            <w:tcBorders>
              <w:bottom w:val="single" w:sz="4" w:space="0" w:color="auto"/>
            </w:tcBorders>
            <w:vAlign w:val="center"/>
          </w:tcPr>
          <w:p w14:paraId="3E8EC165" w14:textId="77777777" w:rsidR="00995B2A" w:rsidRPr="00995B2A" w:rsidRDefault="00995B2A" w:rsidP="00995B2A">
            <w:pPr>
              <w:spacing w:after="0" w:line="240" w:lineRule="auto"/>
              <w:rPr>
                <w:b/>
              </w:rPr>
            </w:pPr>
            <w:r>
              <w:rPr>
                <w:b/>
              </w:rPr>
              <w:t>Coded Data</w:t>
            </w:r>
            <w:r>
              <w:t xml:space="preserve"> – Study or use of data that cannot be readily associated with the living individual about whom the information relates</w:t>
            </w:r>
          </w:p>
        </w:tc>
        <w:tc>
          <w:tcPr>
            <w:tcW w:w="2862" w:type="dxa"/>
            <w:tcBorders>
              <w:bottom w:val="single" w:sz="4" w:space="0" w:color="auto"/>
            </w:tcBorders>
            <w:vAlign w:val="center"/>
          </w:tcPr>
          <w:p w14:paraId="059E1DE1" w14:textId="77777777" w:rsidR="00995B2A" w:rsidRPr="00995B2A" w:rsidRDefault="00995B2A" w:rsidP="00995B2A">
            <w:pPr>
              <w:spacing w:after="0" w:line="240" w:lineRule="auto"/>
            </w:pPr>
            <w:r>
              <w:rPr>
                <w:b/>
              </w:rPr>
              <w:t>No</w:t>
            </w:r>
            <w:r>
              <w:t>, with some exceptions.</w:t>
            </w:r>
          </w:p>
          <w:p w14:paraId="1DED0094" w14:textId="77777777" w:rsidR="00995B2A" w:rsidRPr="00995B2A" w:rsidRDefault="00995B2A" w:rsidP="00995B2A">
            <w:pPr>
              <w:spacing w:after="0" w:line="240" w:lineRule="auto"/>
            </w:pPr>
            <w:r>
              <w:t>Contact ORRP for assistance.</w:t>
            </w:r>
          </w:p>
        </w:tc>
      </w:tr>
      <w:tr w:rsidR="00995B2A" w:rsidRPr="00995B2A" w14:paraId="7514A07B" w14:textId="77777777" w:rsidTr="00101C37">
        <w:tc>
          <w:tcPr>
            <w:tcW w:w="5778" w:type="dxa"/>
            <w:vAlign w:val="center"/>
          </w:tcPr>
          <w:p w14:paraId="20982705" w14:textId="77777777" w:rsidR="00995B2A" w:rsidRPr="00995B2A" w:rsidRDefault="00995B2A" w:rsidP="00995B2A">
            <w:pPr>
              <w:spacing w:after="0" w:line="240" w:lineRule="auto"/>
            </w:pPr>
            <w:r>
              <w:rPr>
                <w:b/>
              </w:rPr>
              <w:t>Deceased Individuals</w:t>
            </w:r>
            <w:r>
              <w:t xml:space="preserve"> – Study of or use of data relating to individuals no longer living, when data do not also apply to living relatives</w:t>
            </w:r>
          </w:p>
        </w:tc>
        <w:tc>
          <w:tcPr>
            <w:tcW w:w="2862" w:type="dxa"/>
            <w:vAlign w:val="center"/>
          </w:tcPr>
          <w:p w14:paraId="081DAA22" w14:textId="77777777" w:rsidR="00995B2A" w:rsidRPr="00995B2A" w:rsidRDefault="00995B2A" w:rsidP="00995B2A">
            <w:pPr>
              <w:spacing w:after="0" w:line="240" w:lineRule="auto"/>
            </w:pPr>
            <w:r>
              <w:rPr>
                <w:b/>
              </w:rPr>
              <w:t>No</w:t>
            </w:r>
            <w:r>
              <w:t>, but there may be other requirements. Contact ORRP for assistance.</w:t>
            </w:r>
          </w:p>
        </w:tc>
      </w:tr>
      <w:tr w:rsidR="00995B2A" w:rsidRPr="00995B2A" w14:paraId="395A831A" w14:textId="77777777" w:rsidTr="00101C37">
        <w:tc>
          <w:tcPr>
            <w:tcW w:w="5778" w:type="dxa"/>
            <w:vAlign w:val="center"/>
          </w:tcPr>
          <w:p w14:paraId="335D8F7D" w14:textId="77777777" w:rsidR="00995B2A" w:rsidRPr="00995B2A" w:rsidRDefault="00995B2A" w:rsidP="00995B2A">
            <w:pPr>
              <w:spacing w:after="0" w:line="240" w:lineRule="auto"/>
              <w:rPr>
                <w:highlight w:val="yellow"/>
              </w:rPr>
            </w:pPr>
            <w:r>
              <w:rPr>
                <w:b/>
              </w:rPr>
              <w:t>Quality Improvement</w:t>
            </w:r>
            <w:r>
              <w:t xml:space="preserve"> – Activities involving individuals intended solely for internal use, performed to improve services or develop new services or programs (e.g., satisfaction surveys); audits (internal or external) performed as a part of organizational operations. </w:t>
            </w:r>
          </w:p>
        </w:tc>
        <w:tc>
          <w:tcPr>
            <w:tcW w:w="2862" w:type="dxa"/>
            <w:vAlign w:val="center"/>
          </w:tcPr>
          <w:p w14:paraId="27566B2E" w14:textId="77777777" w:rsidR="00995B2A" w:rsidRPr="00995B2A" w:rsidRDefault="00995B2A" w:rsidP="00995B2A">
            <w:pPr>
              <w:spacing w:after="0" w:line="240" w:lineRule="auto"/>
              <w:rPr>
                <w:b/>
              </w:rPr>
            </w:pPr>
            <w:r>
              <w:rPr>
                <w:b/>
              </w:rPr>
              <w:t>No</w:t>
            </w:r>
          </w:p>
        </w:tc>
      </w:tr>
      <w:tr w:rsidR="00995B2A" w:rsidRPr="00995B2A" w14:paraId="2B04DFC7" w14:textId="77777777" w:rsidTr="00101C37">
        <w:tc>
          <w:tcPr>
            <w:tcW w:w="5778" w:type="dxa"/>
            <w:vAlign w:val="center"/>
          </w:tcPr>
          <w:p w14:paraId="6064498B" w14:textId="77777777" w:rsidR="00995B2A" w:rsidRPr="00995B2A" w:rsidRDefault="00995B2A" w:rsidP="00995B2A">
            <w:pPr>
              <w:spacing w:after="0" w:line="240" w:lineRule="auto"/>
              <w:rPr>
                <w:b/>
              </w:rPr>
            </w:pPr>
            <w:r>
              <w:rPr>
                <w:b/>
              </w:rPr>
              <w:t xml:space="preserve">Data Banking </w:t>
            </w:r>
            <w:r>
              <w:t>–</w:t>
            </w:r>
            <w:r>
              <w:rPr>
                <w:b/>
              </w:rPr>
              <w:t xml:space="preserve"> </w:t>
            </w:r>
            <w:r>
              <w:t>Collection and storage of private information, if the data may be used in the future for research purposes, whether or not the data will be recorded in an identifiable manner</w:t>
            </w:r>
          </w:p>
        </w:tc>
        <w:tc>
          <w:tcPr>
            <w:tcW w:w="2862" w:type="dxa"/>
            <w:vAlign w:val="center"/>
          </w:tcPr>
          <w:p w14:paraId="0266562E" w14:textId="77777777" w:rsidR="00995B2A" w:rsidRPr="00995B2A" w:rsidRDefault="00995B2A" w:rsidP="00995B2A">
            <w:pPr>
              <w:spacing w:after="0" w:line="240" w:lineRule="auto"/>
              <w:rPr>
                <w:b/>
              </w:rPr>
            </w:pPr>
            <w:r>
              <w:rPr>
                <w:b/>
              </w:rPr>
              <w:t>Yes</w:t>
            </w:r>
          </w:p>
        </w:tc>
      </w:tr>
      <w:tr w:rsidR="00995B2A" w:rsidRPr="00995B2A" w14:paraId="67C57CC9" w14:textId="77777777" w:rsidTr="00101C37">
        <w:tc>
          <w:tcPr>
            <w:tcW w:w="5778" w:type="dxa"/>
            <w:shd w:val="clear" w:color="auto" w:fill="D9D9D9"/>
            <w:vAlign w:val="center"/>
          </w:tcPr>
          <w:p w14:paraId="7509B08E" w14:textId="77777777" w:rsidR="00995B2A" w:rsidRPr="00995B2A" w:rsidRDefault="00995B2A" w:rsidP="00995B2A">
            <w:pPr>
              <w:spacing w:after="0" w:line="240" w:lineRule="auto"/>
              <w:rPr>
                <w:b/>
              </w:rPr>
            </w:pPr>
            <w:r>
              <w:rPr>
                <w:b/>
              </w:rPr>
              <w:t>Social Science, Behavioral, Educational</w:t>
            </w:r>
          </w:p>
        </w:tc>
        <w:tc>
          <w:tcPr>
            <w:tcW w:w="2862" w:type="dxa"/>
            <w:shd w:val="clear" w:color="auto" w:fill="D9D9D9"/>
            <w:vAlign w:val="center"/>
          </w:tcPr>
          <w:p w14:paraId="0FC73193" w14:textId="77777777" w:rsidR="00995B2A" w:rsidRPr="00995B2A" w:rsidRDefault="00995B2A" w:rsidP="00995B2A">
            <w:pPr>
              <w:spacing w:after="0" w:line="240" w:lineRule="auto"/>
            </w:pPr>
          </w:p>
        </w:tc>
      </w:tr>
      <w:tr w:rsidR="00995B2A" w:rsidRPr="00995B2A" w14:paraId="51854CFC" w14:textId="77777777" w:rsidTr="00101C37">
        <w:tc>
          <w:tcPr>
            <w:tcW w:w="5778" w:type="dxa"/>
            <w:vAlign w:val="center"/>
          </w:tcPr>
          <w:p w14:paraId="1E51278D" w14:textId="77777777" w:rsidR="00995B2A" w:rsidRPr="00995B2A" w:rsidRDefault="00995B2A" w:rsidP="00995B2A">
            <w:pPr>
              <w:spacing w:after="0" w:line="240" w:lineRule="auto"/>
            </w:pPr>
            <w:r>
              <w:rPr>
                <w:b/>
              </w:rPr>
              <w:t>Survey, Interview, Observation</w:t>
            </w:r>
            <w:r>
              <w:t xml:space="preserve"> – Collection of individuals’ data using surveys, interviews, or observation with the intent to generalize findings</w:t>
            </w:r>
          </w:p>
        </w:tc>
        <w:tc>
          <w:tcPr>
            <w:tcW w:w="2862" w:type="dxa"/>
            <w:vAlign w:val="center"/>
          </w:tcPr>
          <w:p w14:paraId="2A6721B8" w14:textId="77777777" w:rsidR="00995B2A" w:rsidRPr="00995B2A" w:rsidRDefault="00995B2A" w:rsidP="00995B2A">
            <w:pPr>
              <w:spacing w:after="0" w:line="240" w:lineRule="auto"/>
              <w:rPr>
                <w:b/>
              </w:rPr>
            </w:pPr>
            <w:r>
              <w:rPr>
                <w:b/>
              </w:rPr>
              <w:t>Yes</w:t>
            </w:r>
          </w:p>
        </w:tc>
      </w:tr>
      <w:tr w:rsidR="00995B2A" w:rsidRPr="00995B2A" w14:paraId="086A065D" w14:textId="77777777" w:rsidTr="00101C37">
        <w:tc>
          <w:tcPr>
            <w:tcW w:w="5778" w:type="dxa"/>
            <w:vAlign w:val="center"/>
          </w:tcPr>
          <w:p w14:paraId="01E741C8" w14:textId="77777777" w:rsidR="00995B2A" w:rsidRPr="00995B2A" w:rsidRDefault="00995B2A" w:rsidP="00995B2A">
            <w:pPr>
              <w:spacing w:after="0" w:line="240" w:lineRule="auto"/>
            </w:pPr>
            <w:r>
              <w:rPr>
                <w:b/>
              </w:rPr>
              <w:t>Audio- or Videotaping</w:t>
            </w:r>
            <w:r>
              <w:t xml:space="preserve"> – Taping individuals for study in situations not normally expected to be recorded or when individuals can be identified from recordings </w:t>
            </w:r>
          </w:p>
        </w:tc>
        <w:tc>
          <w:tcPr>
            <w:tcW w:w="2862" w:type="dxa"/>
            <w:vAlign w:val="center"/>
          </w:tcPr>
          <w:p w14:paraId="1FD34E28" w14:textId="77777777" w:rsidR="00995B2A" w:rsidRPr="00995B2A" w:rsidRDefault="00995B2A" w:rsidP="00995B2A">
            <w:pPr>
              <w:spacing w:after="0" w:line="240" w:lineRule="auto"/>
              <w:rPr>
                <w:b/>
              </w:rPr>
            </w:pPr>
            <w:r>
              <w:rPr>
                <w:b/>
              </w:rPr>
              <w:t>Yes</w:t>
            </w:r>
          </w:p>
        </w:tc>
      </w:tr>
      <w:tr w:rsidR="00995B2A" w:rsidRPr="00995B2A" w14:paraId="7E090B9C" w14:textId="77777777" w:rsidTr="00101C37">
        <w:tc>
          <w:tcPr>
            <w:tcW w:w="5778" w:type="dxa"/>
            <w:vAlign w:val="center"/>
          </w:tcPr>
          <w:p w14:paraId="6682E03F" w14:textId="77777777" w:rsidR="00995B2A" w:rsidRPr="00995B2A" w:rsidRDefault="00995B2A" w:rsidP="00995B2A">
            <w:pPr>
              <w:spacing w:after="0" w:line="240" w:lineRule="auto"/>
            </w:pPr>
            <w:r>
              <w:rPr>
                <w:b/>
              </w:rPr>
              <w:t xml:space="preserve">Honors or Master’s Thesis or Doctoral Dissertation </w:t>
            </w:r>
            <w:r>
              <w:t>–</w:t>
            </w:r>
            <w:r>
              <w:rPr>
                <w:b/>
              </w:rPr>
              <w:t xml:space="preserve"> </w:t>
            </w:r>
            <w:r>
              <w:t xml:space="preserve">Directed or independent activities involving individuals </w:t>
            </w:r>
            <w:r>
              <w:lastRenderedPageBreak/>
              <w:t>performed in support of or as part of a degree-granting program</w:t>
            </w:r>
          </w:p>
        </w:tc>
        <w:tc>
          <w:tcPr>
            <w:tcW w:w="2862" w:type="dxa"/>
            <w:vAlign w:val="center"/>
          </w:tcPr>
          <w:p w14:paraId="45E1AF25" w14:textId="77777777" w:rsidR="00995B2A" w:rsidRPr="00995B2A" w:rsidRDefault="00995B2A" w:rsidP="00995B2A">
            <w:pPr>
              <w:spacing w:after="0" w:line="240" w:lineRule="auto"/>
              <w:rPr>
                <w:b/>
              </w:rPr>
            </w:pPr>
            <w:r>
              <w:rPr>
                <w:b/>
              </w:rPr>
              <w:lastRenderedPageBreak/>
              <w:t>Yes</w:t>
            </w:r>
          </w:p>
        </w:tc>
      </w:tr>
      <w:tr w:rsidR="00995B2A" w:rsidRPr="00995B2A" w14:paraId="47170979" w14:textId="77777777" w:rsidTr="00101C37">
        <w:tc>
          <w:tcPr>
            <w:tcW w:w="5778" w:type="dxa"/>
            <w:vAlign w:val="center"/>
          </w:tcPr>
          <w:p w14:paraId="3C0F5276" w14:textId="77777777" w:rsidR="00995B2A" w:rsidRPr="00995B2A" w:rsidRDefault="00995B2A" w:rsidP="00995B2A">
            <w:pPr>
              <w:spacing w:after="0" w:line="240" w:lineRule="auto"/>
            </w:pPr>
            <w:r>
              <w:rPr>
                <w:b/>
              </w:rPr>
              <w:t xml:space="preserve">Course-Related Activities </w:t>
            </w:r>
            <w:r>
              <w:t>–</w:t>
            </w:r>
            <w:r>
              <w:rPr>
                <w:b/>
              </w:rPr>
              <w:t xml:space="preserve"> </w:t>
            </w:r>
            <w:r>
              <w:t>Classroom exercises or assignments that do not include medical procedures, when the purpose of the activity is to teach research methods or techniques, replicate accepted findings or provide research simulation, if data are used solely within the class and participants are informed of the instructional exercise</w:t>
            </w:r>
          </w:p>
        </w:tc>
        <w:tc>
          <w:tcPr>
            <w:tcW w:w="2862" w:type="dxa"/>
            <w:vAlign w:val="center"/>
          </w:tcPr>
          <w:p w14:paraId="32DB5D33" w14:textId="77777777" w:rsidR="00995B2A" w:rsidRPr="00995B2A" w:rsidRDefault="00995B2A" w:rsidP="00995B2A">
            <w:pPr>
              <w:spacing w:after="0" w:line="240" w:lineRule="auto"/>
              <w:rPr>
                <w:b/>
              </w:rPr>
            </w:pPr>
          </w:p>
          <w:p w14:paraId="24932952" w14:textId="77777777" w:rsidR="00995B2A" w:rsidRPr="00995B2A" w:rsidRDefault="00995B2A" w:rsidP="00995B2A">
            <w:pPr>
              <w:spacing w:after="0" w:line="240" w:lineRule="auto"/>
              <w:rPr>
                <w:b/>
              </w:rPr>
            </w:pPr>
          </w:p>
          <w:p w14:paraId="3CA506AE" w14:textId="77777777" w:rsidR="00995B2A" w:rsidRPr="00995B2A" w:rsidRDefault="00995B2A" w:rsidP="00995B2A">
            <w:pPr>
              <w:spacing w:after="0" w:line="240" w:lineRule="auto"/>
              <w:rPr>
                <w:b/>
              </w:rPr>
            </w:pPr>
          </w:p>
          <w:p w14:paraId="21FE1D86" w14:textId="77777777" w:rsidR="00995B2A" w:rsidRPr="00995B2A" w:rsidRDefault="00995B2A" w:rsidP="00995B2A">
            <w:pPr>
              <w:spacing w:after="0" w:line="240" w:lineRule="auto"/>
              <w:rPr>
                <w:b/>
              </w:rPr>
            </w:pPr>
          </w:p>
          <w:p w14:paraId="2CBF6F21" w14:textId="77777777" w:rsidR="00995B2A" w:rsidRPr="00995B2A" w:rsidRDefault="00995B2A" w:rsidP="00995B2A">
            <w:pPr>
              <w:spacing w:after="0" w:line="240" w:lineRule="auto"/>
              <w:rPr>
                <w:b/>
              </w:rPr>
            </w:pPr>
            <w:r>
              <w:rPr>
                <w:b/>
              </w:rPr>
              <w:t>No</w:t>
            </w:r>
          </w:p>
        </w:tc>
      </w:tr>
      <w:tr w:rsidR="00995B2A" w:rsidRPr="00995B2A" w14:paraId="767D2BF3" w14:textId="77777777" w:rsidTr="00101C37">
        <w:tc>
          <w:tcPr>
            <w:tcW w:w="5778" w:type="dxa"/>
            <w:vAlign w:val="center"/>
          </w:tcPr>
          <w:p w14:paraId="59D3418B" w14:textId="77777777" w:rsidR="00995B2A" w:rsidRPr="00995B2A" w:rsidRDefault="00995B2A" w:rsidP="00995B2A">
            <w:pPr>
              <w:spacing w:after="0" w:line="240" w:lineRule="auto"/>
            </w:pPr>
            <w:r>
              <w:rPr>
                <w:b/>
              </w:rPr>
              <w:t>Biography or Oral History</w:t>
            </w:r>
            <w:r>
              <w:t xml:space="preserve"> – Data reported as provided to document a specific event or experiences of individuals without broader conclusions by the reporter</w:t>
            </w:r>
          </w:p>
        </w:tc>
        <w:tc>
          <w:tcPr>
            <w:tcW w:w="2862" w:type="dxa"/>
            <w:vAlign w:val="center"/>
          </w:tcPr>
          <w:p w14:paraId="1886627E" w14:textId="77777777" w:rsidR="00995B2A" w:rsidRPr="00995B2A" w:rsidRDefault="00995B2A" w:rsidP="00995B2A">
            <w:pPr>
              <w:spacing w:after="0" w:line="240" w:lineRule="auto"/>
            </w:pPr>
            <w:r>
              <w:rPr>
                <w:b/>
              </w:rPr>
              <w:t>No</w:t>
            </w:r>
            <w:r>
              <w:t>, except in certain situations. Contact ORRP for assistance.</w:t>
            </w:r>
          </w:p>
        </w:tc>
      </w:tr>
      <w:tr w:rsidR="00995B2A" w:rsidRPr="00995B2A" w14:paraId="54311EAB" w14:textId="77777777" w:rsidTr="00101C37">
        <w:tc>
          <w:tcPr>
            <w:tcW w:w="5778" w:type="dxa"/>
            <w:vAlign w:val="center"/>
          </w:tcPr>
          <w:p w14:paraId="3B0C019D" w14:textId="77777777" w:rsidR="00995B2A" w:rsidRPr="00995B2A" w:rsidRDefault="00995B2A" w:rsidP="00995B2A">
            <w:pPr>
              <w:spacing w:after="0" w:line="240" w:lineRule="auto"/>
            </w:pPr>
            <w:r>
              <w:rPr>
                <w:b/>
              </w:rPr>
              <w:t>Studies of Institutions, Policies, or Processes</w:t>
            </w:r>
            <w:r>
              <w:t xml:space="preserve"> – Collection or analysis of data on “things,” rather than information collected from individuals about themselves, their opinions, or attitudes</w:t>
            </w:r>
          </w:p>
        </w:tc>
        <w:tc>
          <w:tcPr>
            <w:tcW w:w="2862" w:type="dxa"/>
            <w:vAlign w:val="center"/>
          </w:tcPr>
          <w:p w14:paraId="56A6B315" w14:textId="77777777" w:rsidR="00995B2A" w:rsidRPr="00995B2A" w:rsidRDefault="00995B2A" w:rsidP="00995B2A">
            <w:pPr>
              <w:spacing w:after="0" w:line="240" w:lineRule="auto"/>
              <w:rPr>
                <w:b/>
              </w:rPr>
            </w:pPr>
            <w:r>
              <w:rPr>
                <w:b/>
              </w:rPr>
              <w:t>No</w:t>
            </w:r>
          </w:p>
        </w:tc>
      </w:tr>
      <w:tr w:rsidR="00995B2A" w:rsidRPr="00995B2A" w14:paraId="66614D6F" w14:textId="77777777" w:rsidTr="00101C37">
        <w:tc>
          <w:tcPr>
            <w:tcW w:w="5778" w:type="dxa"/>
            <w:vAlign w:val="center"/>
          </w:tcPr>
          <w:p w14:paraId="7B72717D" w14:textId="77777777" w:rsidR="00995B2A" w:rsidRPr="00995B2A" w:rsidRDefault="00995B2A" w:rsidP="00995B2A">
            <w:pPr>
              <w:spacing w:after="0" w:line="240" w:lineRule="auto"/>
            </w:pPr>
            <w:r>
              <w:rPr>
                <w:b/>
              </w:rPr>
              <w:t>Ethnographic Research</w:t>
            </w:r>
            <w:r>
              <w:t xml:space="preserve"> – Interactions with a group in a natural setting to create a broader understanding of that group or population</w:t>
            </w:r>
          </w:p>
        </w:tc>
        <w:tc>
          <w:tcPr>
            <w:tcW w:w="2862" w:type="dxa"/>
            <w:vAlign w:val="center"/>
          </w:tcPr>
          <w:p w14:paraId="7078D3C6" w14:textId="77777777" w:rsidR="00995B2A" w:rsidRPr="00995B2A" w:rsidRDefault="00995B2A" w:rsidP="00995B2A">
            <w:pPr>
              <w:spacing w:after="0" w:line="240" w:lineRule="auto"/>
              <w:rPr>
                <w:b/>
              </w:rPr>
            </w:pPr>
            <w:r>
              <w:rPr>
                <w:b/>
              </w:rPr>
              <w:t>Yes</w:t>
            </w:r>
          </w:p>
        </w:tc>
      </w:tr>
      <w:tr w:rsidR="00995B2A" w:rsidRPr="00995B2A" w14:paraId="6FAB05BE" w14:textId="77777777" w:rsidTr="00101C37">
        <w:tc>
          <w:tcPr>
            <w:tcW w:w="5778" w:type="dxa"/>
            <w:vAlign w:val="center"/>
          </w:tcPr>
          <w:p w14:paraId="3DE49AED" w14:textId="77777777" w:rsidR="00995B2A" w:rsidRPr="00995B2A" w:rsidRDefault="00995B2A" w:rsidP="00995B2A">
            <w:pPr>
              <w:spacing w:after="0" w:line="240" w:lineRule="auto"/>
            </w:pPr>
            <w:r>
              <w:rPr>
                <w:b/>
              </w:rPr>
              <w:t>Internet Survey Research</w:t>
            </w:r>
            <w:r>
              <w:t xml:space="preserve"> – Online collection of individuals’ data with the intent to generalize findings</w:t>
            </w:r>
          </w:p>
        </w:tc>
        <w:tc>
          <w:tcPr>
            <w:tcW w:w="2862" w:type="dxa"/>
            <w:vAlign w:val="center"/>
          </w:tcPr>
          <w:p w14:paraId="06185CC1" w14:textId="77777777" w:rsidR="00995B2A" w:rsidRPr="00995B2A" w:rsidRDefault="00995B2A" w:rsidP="00995B2A">
            <w:pPr>
              <w:spacing w:after="0" w:line="240" w:lineRule="auto"/>
              <w:rPr>
                <w:b/>
              </w:rPr>
            </w:pPr>
            <w:r>
              <w:rPr>
                <w:b/>
              </w:rPr>
              <w:t>Yes</w:t>
            </w:r>
          </w:p>
        </w:tc>
      </w:tr>
      <w:tr w:rsidR="00995B2A" w:rsidRPr="00995B2A" w14:paraId="45C6FDBC" w14:textId="77777777" w:rsidTr="00101C37">
        <w:tc>
          <w:tcPr>
            <w:tcW w:w="5778" w:type="dxa"/>
            <w:vAlign w:val="center"/>
          </w:tcPr>
          <w:p w14:paraId="0F083B9E" w14:textId="77777777" w:rsidR="00995B2A" w:rsidRPr="00995B2A" w:rsidRDefault="00995B2A" w:rsidP="00995B2A">
            <w:pPr>
              <w:spacing w:after="0" w:line="240" w:lineRule="auto"/>
              <w:rPr>
                <w:b/>
              </w:rPr>
            </w:pPr>
            <w:r>
              <w:rPr>
                <w:b/>
              </w:rPr>
              <w:t xml:space="preserve">National Security Activities – </w:t>
            </w:r>
            <w:r>
              <w:t>Authorized operational activities for national security missions</w:t>
            </w:r>
          </w:p>
        </w:tc>
        <w:tc>
          <w:tcPr>
            <w:tcW w:w="2862" w:type="dxa"/>
            <w:vAlign w:val="center"/>
          </w:tcPr>
          <w:p w14:paraId="49E3DDF6" w14:textId="77777777" w:rsidR="00995B2A" w:rsidRPr="00995B2A" w:rsidRDefault="00995B2A" w:rsidP="00995B2A">
            <w:pPr>
              <w:spacing w:after="0" w:line="240" w:lineRule="auto"/>
              <w:rPr>
                <w:b/>
              </w:rPr>
            </w:pPr>
            <w:r>
              <w:rPr>
                <w:b/>
              </w:rPr>
              <w:t>No</w:t>
            </w:r>
          </w:p>
        </w:tc>
      </w:tr>
      <w:tr w:rsidR="00995B2A" w:rsidRPr="00995B2A" w14:paraId="66124DF1" w14:textId="77777777" w:rsidTr="00101C37">
        <w:tc>
          <w:tcPr>
            <w:tcW w:w="5778" w:type="dxa"/>
            <w:vAlign w:val="center"/>
          </w:tcPr>
          <w:p w14:paraId="7E00E731" w14:textId="77777777" w:rsidR="00995B2A" w:rsidRPr="00995B2A" w:rsidRDefault="00995B2A" w:rsidP="00995B2A">
            <w:pPr>
              <w:spacing w:after="0" w:line="240" w:lineRule="auto"/>
              <w:rPr>
                <w:b/>
              </w:rPr>
            </w:pPr>
            <w:r>
              <w:rPr>
                <w:b/>
              </w:rPr>
              <w:t xml:space="preserve">Criminal Justice System Activities – </w:t>
            </w:r>
            <w:r>
              <w:t>Data collection and analysis that enables the conduct of certain activities carried out as part of the criminal justice system</w:t>
            </w:r>
          </w:p>
        </w:tc>
        <w:tc>
          <w:tcPr>
            <w:tcW w:w="2862" w:type="dxa"/>
            <w:vAlign w:val="center"/>
          </w:tcPr>
          <w:p w14:paraId="03B23119" w14:textId="77777777" w:rsidR="00995B2A" w:rsidRPr="00995B2A" w:rsidRDefault="00995B2A" w:rsidP="00995B2A">
            <w:pPr>
              <w:spacing w:after="0" w:line="240" w:lineRule="auto"/>
              <w:rPr>
                <w:b/>
                <w:highlight w:val="lightGray"/>
              </w:rPr>
            </w:pPr>
            <w:r>
              <w:rPr>
                <w:b/>
              </w:rPr>
              <w:t>No</w:t>
            </w:r>
          </w:p>
        </w:tc>
      </w:tr>
      <w:tr w:rsidR="00995B2A" w:rsidRPr="00995B2A" w14:paraId="26495853" w14:textId="77777777" w:rsidTr="00101C37">
        <w:tc>
          <w:tcPr>
            <w:tcW w:w="5778" w:type="dxa"/>
            <w:shd w:val="clear" w:color="auto" w:fill="D9D9D9"/>
            <w:vAlign w:val="center"/>
          </w:tcPr>
          <w:p w14:paraId="674509CA" w14:textId="77777777" w:rsidR="00995B2A" w:rsidRPr="00995B2A" w:rsidRDefault="00995B2A" w:rsidP="00995B2A">
            <w:pPr>
              <w:spacing w:after="0" w:line="240" w:lineRule="auto"/>
              <w:rPr>
                <w:b/>
                <w:highlight w:val="lightGray"/>
              </w:rPr>
            </w:pPr>
            <w:r>
              <w:rPr>
                <w:b/>
              </w:rPr>
              <w:t>Medical or Biomedical</w:t>
            </w:r>
          </w:p>
        </w:tc>
        <w:tc>
          <w:tcPr>
            <w:tcW w:w="2862" w:type="dxa"/>
            <w:shd w:val="clear" w:color="auto" w:fill="D9D9D9"/>
            <w:vAlign w:val="center"/>
          </w:tcPr>
          <w:p w14:paraId="5E957228" w14:textId="77777777" w:rsidR="00995B2A" w:rsidRPr="00995B2A" w:rsidRDefault="00995B2A" w:rsidP="00995B2A">
            <w:pPr>
              <w:spacing w:after="0" w:line="240" w:lineRule="auto"/>
              <w:rPr>
                <w:highlight w:val="lightGray"/>
              </w:rPr>
            </w:pPr>
          </w:p>
        </w:tc>
      </w:tr>
      <w:tr w:rsidR="00995B2A" w:rsidRPr="00995B2A" w14:paraId="401A8ADE" w14:textId="77777777" w:rsidTr="00101C37">
        <w:tc>
          <w:tcPr>
            <w:tcW w:w="5778" w:type="dxa"/>
            <w:vAlign w:val="center"/>
          </w:tcPr>
          <w:p w14:paraId="66CE424A" w14:textId="77777777" w:rsidR="00995B2A" w:rsidRPr="00995B2A" w:rsidRDefault="00995B2A" w:rsidP="00995B2A">
            <w:pPr>
              <w:spacing w:after="0" w:line="240" w:lineRule="auto"/>
            </w:pPr>
            <w:r>
              <w:rPr>
                <w:b/>
              </w:rPr>
              <w:t>Practice of Medicine</w:t>
            </w:r>
            <w:r>
              <w:t xml:space="preserve"> – Standard diagnostic or therapeutic procedures performed for treatment purposes to benefit an individual, with or without associated research activities</w:t>
            </w:r>
          </w:p>
        </w:tc>
        <w:tc>
          <w:tcPr>
            <w:tcW w:w="2862" w:type="dxa"/>
            <w:vAlign w:val="center"/>
          </w:tcPr>
          <w:p w14:paraId="11D1FE6E" w14:textId="77777777" w:rsidR="00995B2A" w:rsidRPr="00995B2A" w:rsidRDefault="00995B2A" w:rsidP="00995B2A">
            <w:pPr>
              <w:spacing w:after="0" w:line="240" w:lineRule="auto"/>
              <w:rPr>
                <w:b/>
              </w:rPr>
            </w:pPr>
            <w:r>
              <w:rPr>
                <w:b/>
              </w:rPr>
              <w:t>No</w:t>
            </w:r>
          </w:p>
        </w:tc>
      </w:tr>
      <w:tr w:rsidR="00995B2A" w:rsidRPr="00995B2A" w14:paraId="7D02A0C7" w14:textId="77777777" w:rsidTr="00101C37">
        <w:tc>
          <w:tcPr>
            <w:tcW w:w="5778" w:type="dxa"/>
          </w:tcPr>
          <w:p w14:paraId="554E365F" w14:textId="77777777" w:rsidR="00995B2A" w:rsidRPr="00995B2A" w:rsidRDefault="00995B2A" w:rsidP="00995B2A">
            <w:pPr>
              <w:spacing w:after="0" w:line="240" w:lineRule="auto"/>
              <w:rPr>
                <w:b/>
              </w:rPr>
            </w:pPr>
            <w:r>
              <w:rPr>
                <w:b/>
              </w:rPr>
              <w:t xml:space="preserve">Public Health Surveillance </w:t>
            </w:r>
            <w:r>
              <w:t>– Activities (collecting, analyzing, and using data to target public health and disease prevention)</w:t>
            </w:r>
          </w:p>
        </w:tc>
        <w:tc>
          <w:tcPr>
            <w:tcW w:w="2862" w:type="dxa"/>
          </w:tcPr>
          <w:p w14:paraId="3488BE8B" w14:textId="77777777" w:rsidR="00995B2A" w:rsidRPr="00995B2A" w:rsidRDefault="00995B2A" w:rsidP="00995B2A">
            <w:pPr>
              <w:spacing w:after="0" w:line="240" w:lineRule="auto"/>
              <w:jc w:val="both"/>
              <w:rPr>
                <w:b/>
              </w:rPr>
            </w:pPr>
            <w:r>
              <w:rPr>
                <w:b/>
              </w:rPr>
              <w:t>No</w:t>
            </w:r>
          </w:p>
        </w:tc>
      </w:tr>
      <w:tr w:rsidR="00995B2A" w:rsidRPr="00995B2A" w14:paraId="32350C3B" w14:textId="77777777" w:rsidTr="00101C37">
        <w:tc>
          <w:tcPr>
            <w:tcW w:w="5778" w:type="dxa"/>
            <w:vAlign w:val="center"/>
          </w:tcPr>
          <w:p w14:paraId="68DEDAAA" w14:textId="77777777" w:rsidR="00995B2A" w:rsidRPr="00995B2A" w:rsidRDefault="00995B2A" w:rsidP="00995B2A">
            <w:pPr>
              <w:spacing w:after="0" w:line="240" w:lineRule="auto"/>
            </w:pPr>
            <w:r>
              <w:rPr>
                <w:b/>
              </w:rPr>
              <w:t>Additional Procedures</w:t>
            </w:r>
            <w:r>
              <w:t xml:space="preserve"> – Standard diagnostic or therapeutic procedures that would not otherwise be performed if not for the research (e.g., additional x-rays or blood draws)</w:t>
            </w:r>
          </w:p>
        </w:tc>
        <w:tc>
          <w:tcPr>
            <w:tcW w:w="2862" w:type="dxa"/>
            <w:vAlign w:val="center"/>
          </w:tcPr>
          <w:p w14:paraId="4877AD02" w14:textId="77777777" w:rsidR="00995B2A" w:rsidRPr="00995B2A" w:rsidRDefault="00995B2A" w:rsidP="00995B2A">
            <w:pPr>
              <w:spacing w:after="0" w:line="240" w:lineRule="auto"/>
              <w:rPr>
                <w:b/>
              </w:rPr>
            </w:pPr>
            <w:r>
              <w:rPr>
                <w:b/>
              </w:rPr>
              <w:t>Yes</w:t>
            </w:r>
          </w:p>
        </w:tc>
      </w:tr>
      <w:tr w:rsidR="00995B2A" w:rsidRPr="00995B2A" w14:paraId="56C373B3" w14:textId="77777777" w:rsidTr="00101C37">
        <w:tc>
          <w:tcPr>
            <w:tcW w:w="5778" w:type="dxa"/>
            <w:vAlign w:val="center"/>
          </w:tcPr>
          <w:p w14:paraId="3822F97E" w14:textId="77777777" w:rsidR="00995B2A" w:rsidRPr="00995B2A" w:rsidRDefault="00995B2A" w:rsidP="00995B2A">
            <w:pPr>
              <w:spacing w:after="0" w:line="240" w:lineRule="auto"/>
            </w:pPr>
            <w:r>
              <w:rPr>
                <w:b/>
              </w:rPr>
              <w:t>Changes in Procedures</w:t>
            </w:r>
            <w:r>
              <w:t xml:space="preserve"> – Alterations in patient care (including randomization between standard acceptable treatments) with the intent to generalize the results</w:t>
            </w:r>
          </w:p>
        </w:tc>
        <w:tc>
          <w:tcPr>
            <w:tcW w:w="2862" w:type="dxa"/>
            <w:vAlign w:val="center"/>
          </w:tcPr>
          <w:p w14:paraId="30CA2A3F" w14:textId="77777777" w:rsidR="00995B2A" w:rsidRPr="00995B2A" w:rsidRDefault="00995B2A" w:rsidP="00995B2A">
            <w:pPr>
              <w:spacing w:after="0" w:line="240" w:lineRule="auto"/>
              <w:rPr>
                <w:b/>
              </w:rPr>
            </w:pPr>
            <w:r>
              <w:rPr>
                <w:b/>
              </w:rPr>
              <w:t>Yes</w:t>
            </w:r>
          </w:p>
        </w:tc>
      </w:tr>
      <w:tr w:rsidR="00995B2A" w:rsidRPr="00995B2A" w14:paraId="35ADA783" w14:textId="77777777" w:rsidTr="00101C37">
        <w:tc>
          <w:tcPr>
            <w:tcW w:w="5778" w:type="dxa"/>
            <w:vAlign w:val="center"/>
          </w:tcPr>
          <w:p w14:paraId="233A7870" w14:textId="77777777" w:rsidR="00995B2A" w:rsidRPr="00995B2A" w:rsidRDefault="00995B2A" w:rsidP="00995B2A">
            <w:pPr>
              <w:spacing w:after="0" w:line="240" w:lineRule="auto"/>
            </w:pPr>
            <w:r>
              <w:rPr>
                <w:b/>
              </w:rPr>
              <w:t>Innovative Treatment</w:t>
            </w:r>
            <w:r>
              <w:t xml:space="preserve"> – Changes in patient care or use of an innovative treatment (except for investigational use of drugs or devices) solely for clinical purposes and intended to benefit an individual</w:t>
            </w:r>
          </w:p>
        </w:tc>
        <w:tc>
          <w:tcPr>
            <w:tcW w:w="2862" w:type="dxa"/>
            <w:vAlign w:val="center"/>
          </w:tcPr>
          <w:p w14:paraId="152B356F" w14:textId="77777777" w:rsidR="00995B2A" w:rsidRPr="00995B2A" w:rsidRDefault="00995B2A" w:rsidP="00995B2A">
            <w:pPr>
              <w:spacing w:after="0" w:line="240" w:lineRule="auto"/>
              <w:rPr>
                <w:b/>
              </w:rPr>
            </w:pPr>
            <w:r>
              <w:rPr>
                <w:b/>
              </w:rPr>
              <w:t>No</w:t>
            </w:r>
          </w:p>
        </w:tc>
      </w:tr>
      <w:tr w:rsidR="00995B2A" w:rsidRPr="00995B2A" w14:paraId="46D232D2" w14:textId="77777777" w:rsidTr="00101C37">
        <w:tc>
          <w:tcPr>
            <w:tcW w:w="5778" w:type="dxa"/>
            <w:vAlign w:val="center"/>
          </w:tcPr>
          <w:p w14:paraId="62000B4E" w14:textId="77777777" w:rsidR="00995B2A" w:rsidRPr="00995B2A" w:rsidRDefault="00995B2A" w:rsidP="00995B2A">
            <w:pPr>
              <w:spacing w:after="0" w:line="240" w:lineRule="auto"/>
            </w:pPr>
            <w:r>
              <w:rPr>
                <w:b/>
              </w:rPr>
              <w:t>Clinical Investigation</w:t>
            </w:r>
            <w:r>
              <w:t xml:space="preserve"> – Use of drugs or devices, except approved products used in the practice of medicine, including use of a human specimen with FDA-regulated devices</w:t>
            </w:r>
          </w:p>
        </w:tc>
        <w:tc>
          <w:tcPr>
            <w:tcW w:w="2862" w:type="dxa"/>
            <w:vAlign w:val="center"/>
          </w:tcPr>
          <w:p w14:paraId="36BE8A73" w14:textId="77777777" w:rsidR="00995B2A" w:rsidRPr="00995B2A" w:rsidRDefault="00995B2A" w:rsidP="00995B2A">
            <w:pPr>
              <w:spacing w:after="0" w:line="240" w:lineRule="auto"/>
              <w:rPr>
                <w:b/>
              </w:rPr>
            </w:pPr>
            <w:r>
              <w:rPr>
                <w:b/>
              </w:rPr>
              <w:t>Yes</w:t>
            </w:r>
          </w:p>
        </w:tc>
      </w:tr>
      <w:tr w:rsidR="00995B2A" w:rsidRPr="00995B2A" w14:paraId="5FE1B4B5" w14:textId="77777777" w:rsidTr="00101C37">
        <w:tc>
          <w:tcPr>
            <w:tcW w:w="5778" w:type="dxa"/>
            <w:vAlign w:val="center"/>
          </w:tcPr>
          <w:p w14:paraId="08F4825A" w14:textId="77777777" w:rsidR="00995B2A" w:rsidRPr="00995B2A" w:rsidRDefault="00995B2A" w:rsidP="00995B2A">
            <w:pPr>
              <w:spacing w:after="0" w:line="240" w:lineRule="auto"/>
            </w:pPr>
            <w:r>
              <w:rPr>
                <w:b/>
              </w:rPr>
              <w:lastRenderedPageBreak/>
              <w:t>Retrospective Record Review</w:t>
            </w:r>
            <w:r>
              <w:t xml:space="preserve"> – Review of existing personally identifiable records, including collection of historical controls for FDA-regulated studies, whether or not the data will be recorded in an identifiable manner</w:t>
            </w:r>
          </w:p>
        </w:tc>
        <w:tc>
          <w:tcPr>
            <w:tcW w:w="2862" w:type="dxa"/>
            <w:vAlign w:val="center"/>
          </w:tcPr>
          <w:p w14:paraId="273964EE" w14:textId="77777777" w:rsidR="00995B2A" w:rsidRPr="00995B2A" w:rsidRDefault="00995B2A" w:rsidP="00995B2A">
            <w:pPr>
              <w:spacing w:after="0" w:line="240" w:lineRule="auto"/>
              <w:rPr>
                <w:b/>
              </w:rPr>
            </w:pPr>
            <w:r>
              <w:rPr>
                <w:b/>
              </w:rPr>
              <w:t>Yes</w:t>
            </w:r>
          </w:p>
        </w:tc>
      </w:tr>
      <w:tr w:rsidR="00995B2A" w:rsidRPr="00995B2A" w14:paraId="61730407" w14:textId="77777777" w:rsidTr="00101C37">
        <w:tc>
          <w:tcPr>
            <w:tcW w:w="5778" w:type="dxa"/>
            <w:vAlign w:val="center"/>
          </w:tcPr>
          <w:p w14:paraId="70DE7112" w14:textId="77777777" w:rsidR="00995B2A" w:rsidRPr="00995B2A" w:rsidRDefault="00995B2A" w:rsidP="00995B2A">
            <w:pPr>
              <w:spacing w:after="0" w:line="240" w:lineRule="auto"/>
            </w:pPr>
            <w:r>
              <w:rPr>
                <w:b/>
              </w:rPr>
              <w:t>One or Two Case Reports</w:t>
            </w:r>
            <w:r>
              <w:t xml:space="preserve"> – Description of clinical features and/or outcome of case(s) without additional evaluation, analysis, or review of others for comparison</w:t>
            </w:r>
          </w:p>
        </w:tc>
        <w:tc>
          <w:tcPr>
            <w:tcW w:w="2862" w:type="dxa"/>
            <w:vAlign w:val="center"/>
          </w:tcPr>
          <w:p w14:paraId="20A4C045" w14:textId="77777777" w:rsidR="00995B2A" w:rsidRPr="00995B2A" w:rsidRDefault="00995B2A" w:rsidP="00995B2A">
            <w:pPr>
              <w:spacing w:after="0" w:line="240" w:lineRule="auto"/>
              <w:rPr>
                <w:b/>
              </w:rPr>
            </w:pPr>
            <w:r>
              <w:rPr>
                <w:b/>
              </w:rPr>
              <w:t xml:space="preserve">No </w:t>
            </w:r>
          </w:p>
          <w:p w14:paraId="6B70CCF0" w14:textId="77777777" w:rsidR="00995B2A" w:rsidRPr="00995B2A" w:rsidRDefault="00995B2A" w:rsidP="00995B2A">
            <w:pPr>
              <w:spacing w:after="0" w:line="240" w:lineRule="auto"/>
            </w:pPr>
            <w:r>
              <w:t>Note: Journals and/or  departments (e.g., Medical Information Management) may have additional requirements.</w:t>
            </w:r>
          </w:p>
        </w:tc>
      </w:tr>
      <w:tr w:rsidR="00995B2A" w:rsidRPr="00995B2A" w14:paraId="086F56C5" w14:textId="77777777" w:rsidTr="00101C37">
        <w:tc>
          <w:tcPr>
            <w:tcW w:w="5778" w:type="dxa"/>
            <w:vAlign w:val="center"/>
          </w:tcPr>
          <w:p w14:paraId="146E6FAA" w14:textId="77777777" w:rsidR="00995B2A" w:rsidRPr="00995B2A" w:rsidRDefault="00995B2A" w:rsidP="00995B2A">
            <w:pPr>
              <w:spacing w:after="0" w:line="240" w:lineRule="auto"/>
            </w:pPr>
            <w:r>
              <w:rPr>
                <w:b/>
              </w:rPr>
              <w:t>Three or More Case Reports</w:t>
            </w:r>
            <w:r>
              <w:t xml:space="preserve"> – Descriptions of clinical features and/or outcome of multiple cases, with or without additional evaluation; or fewer case reports requiring additional evaluation, analysis, or comparison</w:t>
            </w:r>
          </w:p>
        </w:tc>
        <w:tc>
          <w:tcPr>
            <w:tcW w:w="2862" w:type="dxa"/>
            <w:vAlign w:val="center"/>
          </w:tcPr>
          <w:p w14:paraId="6BBE8E8B" w14:textId="77777777" w:rsidR="00995B2A" w:rsidRPr="00995B2A" w:rsidRDefault="00995B2A" w:rsidP="00995B2A">
            <w:pPr>
              <w:spacing w:after="0" w:line="240" w:lineRule="auto"/>
            </w:pPr>
            <w:r>
              <w:rPr>
                <w:b/>
              </w:rPr>
              <w:t>Yes</w:t>
            </w:r>
            <w:r>
              <w:t xml:space="preserve"> (see also above)</w:t>
            </w:r>
          </w:p>
        </w:tc>
      </w:tr>
      <w:tr w:rsidR="00995B2A" w:rsidRPr="00995B2A" w14:paraId="623A3D0D" w14:textId="77777777" w:rsidTr="00101C37">
        <w:tc>
          <w:tcPr>
            <w:tcW w:w="5778" w:type="dxa"/>
            <w:tcBorders>
              <w:bottom w:val="single" w:sz="4" w:space="0" w:color="auto"/>
            </w:tcBorders>
            <w:vAlign w:val="center"/>
          </w:tcPr>
          <w:p w14:paraId="3260892D" w14:textId="77777777" w:rsidR="00995B2A" w:rsidRPr="00995B2A" w:rsidRDefault="00995B2A" w:rsidP="00995B2A">
            <w:pPr>
              <w:spacing w:after="0" w:line="240" w:lineRule="auto"/>
            </w:pPr>
            <w:r>
              <w:rPr>
                <w:b/>
              </w:rPr>
              <w:t>Remnant Specimens</w:t>
            </w:r>
            <w:r>
              <w:t xml:space="preserve"> – Collection or study of specimens generated from routine clinical procedures that would otherwise have been discarded</w:t>
            </w:r>
          </w:p>
        </w:tc>
        <w:tc>
          <w:tcPr>
            <w:tcW w:w="2862" w:type="dxa"/>
            <w:tcBorders>
              <w:bottom w:val="single" w:sz="4" w:space="0" w:color="auto"/>
            </w:tcBorders>
            <w:vAlign w:val="center"/>
          </w:tcPr>
          <w:p w14:paraId="3C7B535F" w14:textId="77777777" w:rsidR="00995B2A" w:rsidRPr="00995B2A" w:rsidRDefault="00995B2A" w:rsidP="00995B2A">
            <w:pPr>
              <w:spacing w:after="0" w:line="240" w:lineRule="auto"/>
              <w:rPr>
                <w:b/>
              </w:rPr>
            </w:pPr>
            <w:r>
              <w:rPr>
                <w:b/>
              </w:rPr>
              <w:t>Yes</w:t>
            </w:r>
          </w:p>
        </w:tc>
      </w:tr>
      <w:tr w:rsidR="00995B2A" w:rsidRPr="00995B2A" w14:paraId="7D3B7D9E" w14:textId="77777777" w:rsidTr="00101C37">
        <w:tc>
          <w:tcPr>
            <w:tcW w:w="5778" w:type="dxa"/>
            <w:vAlign w:val="center"/>
          </w:tcPr>
          <w:p w14:paraId="6F44F7E2" w14:textId="77777777" w:rsidR="00995B2A" w:rsidRPr="00995B2A" w:rsidRDefault="00995B2A" w:rsidP="00995B2A">
            <w:pPr>
              <w:spacing w:after="0" w:line="240" w:lineRule="auto"/>
            </w:pPr>
            <w:r>
              <w:rPr>
                <w:b/>
              </w:rPr>
              <w:t>Emergency Use</w:t>
            </w:r>
            <w:r>
              <w:t xml:space="preserve"> – Use of investigational drugs or devices in life-threatening situations</w:t>
            </w:r>
          </w:p>
        </w:tc>
        <w:tc>
          <w:tcPr>
            <w:tcW w:w="2862" w:type="dxa"/>
            <w:vAlign w:val="center"/>
          </w:tcPr>
          <w:p w14:paraId="43E682FA" w14:textId="77777777" w:rsidR="00995B2A" w:rsidRPr="00995B2A" w:rsidRDefault="00995B2A" w:rsidP="00995B2A">
            <w:pPr>
              <w:spacing w:after="0" w:line="240" w:lineRule="auto"/>
            </w:pPr>
            <w:r>
              <w:rPr>
                <w:b/>
              </w:rPr>
              <w:t>Yes</w:t>
            </w:r>
            <w:r>
              <w:t>, and specific requirements apply. Contact ORRP for assistance.</w:t>
            </w:r>
          </w:p>
        </w:tc>
      </w:tr>
      <w:tr w:rsidR="00995B2A" w:rsidRPr="00995B2A" w14:paraId="441775B2" w14:textId="77777777" w:rsidTr="00101C37">
        <w:tc>
          <w:tcPr>
            <w:tcW w:w="5778" w:type="dxa"/>
            <w:vAlign w:val="center"/>
          </w:tcPr>
          <w:p w14:paraId="6E4F1D91" w14:textId="77777777" w:rsidR="00995B2A" w:rsidRPr="00995B2A" w:rsidRDefault="00995B2A" w:rsidP="00995B2A">
            <w:pPr>
              <w:spacing w:after="0" w:line="240" w:lineRule="auto"/>
            </w:pPr>
            <w:r>
              <w:rPr>
                <w:b/>
              </w:rPr>
              <w:t>Specimen Banking</w:t>
            </w:r>
            <w:r>
              <w:t xml:space="preserve"> – Collection and storage of human fluids or tissue regardless of whether individual identifiers are retained</w:t>
            </w:r>
          </w:p>
        </w:tc>
        <w:tc>
          <w:tcPr>
            <w:tcW w:w="2862" w:type="dxa"/>
            <w:vAlign w:val="center"/>
          </w:tcPr>
          <w:p w14:paraId="6C2E3796" w14:textId="77777777" w:rsidR="00995B2A" w:rsidRPr="00995B2A" w:rsidRDefault="00995B2A" w:rsidP="00995B2A">
            <w:pPr>
              <w:spacing w:after="0" w:line="240" w:lineRule="auto"/>
              <w:rPr>
                <w:b/>
              </w:rPr>
            </w:pPr>
            <w:r>
              <w:rPr>
                <w:b/>
              </w:rPr>
              <w:t>Yes</w:t>
            </w:r>
          </w:p>
        </w:tc>
      </w:tr>
    </w:tbl>
    <w:p w14:paraId="530AFF69" w14:textId="77777777" w:rsidR="00F2286B" w:rsidRDefault="00F2286B" w:rsidP="00995B2A">
      <w:pPr>
        <w:pStyle w:val="Heading2"/>
      </w:pPr>
    </w:p>
    <w:p w14:paraId="67F53F80" w14:textId="77777777" w:rsidR="00331664" w:rsidRPr="00F2286B" w:rsidRDefault="00F2286B" w:rsidP="00F2286B">
      <w:pPr>
        <w:rPr>
          <w:b/>
          <w:bCs/>
          <w:i/>
          <w:iCs/>
          <w:sz w:val="24"/>
          <w:szCs w:val="24"/>
        </w:rPr>
      </w:pPr>
      <w:r>
        <w:rPr>
          <w:sz w:val="24"/>
          <w:szCs w:val="24"/>
        </w:rPr>
        <w:br w:type="page"/>
      </w:r>
    </w:p>
    <w:p w14:paraId="469201F8" w14:textId="77777777" w:rsidR="00474FA4" w:rsidRPr="00474FA4" w:rsidRDefault="26DF661C" w:rsidP="00076836">
      <w:pPr>
        <w:pStyle w:val="Heading2"/>
      </w:pPr>
      <w:bookmarkStart w:id="223" w:name="_Toc1873494919"/>
      <w:bookmarkStart w:id="224" w:name="_Appendix_B-2"/>
      <w:bookmarkStart w:id="225" w:name="B2"/>
      <w:bookmarkStart w:id="226" w:name="_Toc212142199"/>
      <w:bookmarkStart w:id="227" w:name="_Toc225507739"/>
      <w:r>
        <w:lastRenderedPageBreak/>
        <w:t>Appendix B-2</w:t>
      </w:r>
      <w:bookmarkEnd w:id="223"/>
      <w:bookmarkEnd w:id="224"/>
      <w:r>
        <w:t xml:space="preserve">  </w:t>
      </w:r>
      <w:bookmarkEnd w:id="225"/>
      <w:r>
        <w:tab/>
        <w:t>Organizational Financial Conflicts of Interest</w:t>
      </w:r>
      <w:bookmarkEnd w:id="226"/>
      <w:bookmarkEnd w:id="227"/>
      <w:r>
        <w:t xml:space="preserve"> </w:t>
      </w:r>
    </w:p>
    <w:p w14:paraId="6A625338" w14:textId="77777777" w:rsidR="00474FA4" w:rsidRPr="00474FA4" w:rsidRDefault="00474FA4" w:rsidP="00474FA4">
      <w:pPr>
        <w:spacing w:after="0" w:line="240" w:lineRule="auto"/>
        <w:rPr>
          <w:b/>
          <w:smallCaps/>
        </w:rPr>
      </w:pPr>
    </w:p>
    <w:p w14:paraId="591F7A29" w14:textId="77777777" w:rsidR="00474FA4" w:rsidRPr="00474FA4" w:rsidRDefault="00474FA4" w:rsidP="00A07209">
      <w:pPr>
        <w:numPr>
          <w:ilvl w:val="0"/>
          <w:numId w:val="48"/>
        </w:numPr>
        <w:tabs>
          <w:tab w:val="num" w:pos="360"/>
        </w:tabs>
        <w:spacing w:after="0" w:line="240" w:lineRule="auto"/>
        <w:rPr>
          <w:b/>
          <w:smallCaps/>
        </w:rPr>
      </w:pPr>
      <w:r>
        <w:rPr>
          <w:b/>
        </w:rPr>
        <w:t>Overview</w:t>
      </w:r>
    </w:p>
    <w:p w14:paraId="279E6989" w14:textId="77777777" w:rsidR="00474FA4" w:rsidRPr="00474FA4" w:rsidRDefault="00474FA4" w:rsidP="00474FA4">
      <w:pPr>
        <w:spacing w:after="0" w:line="240" w:lineRule="auto"/>
      </w:pPr>
    </w:p>
    <w:p w14:paraId="0343832A" w14:textId="77777777" w:rsidR="00474FA4" w:rsidRPr="00474FA4" w:rsidRDefault="00474FA4" w:rsidP="00474FA4">
      <w:pPr>
        <w:spacing w:after="0" w:line="240" w:lineRule="auto"/>
        <w:ind w:left="360"/>
      </w:pPr>
      <w:r>
        <w:t>As an organization that conducts research involving human subjects, The Ohio State University has an obligation to protect the rights and welfare of research participants and to ensure the integrity of the research. The university and/or one or more of its key leaders may have a financial interest in or relationship with an external entity that has the potential to conflict with these obligations. For example, the university or one of its key leaders may have a financial interest in a company sponsoring human subjects research being conducted by the university or own proprietary technology that is being utilized in the research. Such financial or proprietary interests must be disclosed and managed in a way that meets the above obligations.</w:t>
      </w:r>
    </w:p>
    <w:p w14:paraId="500BA64B" w14:textId="77777777" w:rsidR="00474FA4" w:rsidRPr="00474FA4" w:rsidRDefault="00474FA4" w:rsidP="00474FA4">
      <w:pPr>
        <w:spacing w:after="0" w:line="240" w:lineRule="auto"/>
        <w:ind w:left="360"/>
      </w:pPr>
    </w:p>
    <w:p w14:paraId="69F76263" w14:textId="77777777" w:rsidR="00474FA4" w:rsidRPr="00474FA4" w:rsidRDefault="00474FA4" w:rsidP="00474FA4">
      <w:pPr>
        <w:spacing w:after="0" w:line="240" w:lineRule="auto"/>
        <w:ind w:left="360"/>
      </w:pPr>
      <w:r>
        <w:t>The purpose of this policy is to describe the process to identify, evaluate, manage, and minimize or eliminate the organization’s proprietary interests, financial investments or holdings, and the personal financial interests of key organizational leaders when such interests could conflict with the organization’s obligations to protect research participants, maintain the integrity of research, and ensure the credibility of the human research protection program.</w:t>
      </w:r>
    </w:p>
    <w:p w14:paraId="52866A52" w14:textId="77777777" w:rsidR="00474FA4" w:rsidRPr="00474FA4" w:rsidRDefault="00474FA4" w:rsidP="00474FA4">
      <w:pPr>
        <w:spacing w:after="0" w:line="240" w:lineRule="auto"/>
        <w:ind w:left="360"/>
        <w:rPr>
          <w:b/>
          <w:smallCaps/>
        </w:rPr>
      </w:pPr>
    </w:p>
    <w:p w14:paraId="09A9BD62" w14:textId="77777777" w:rsidR="00474FA4" w:rsidRPr="00F2286B" w:rsidRDefault="00474FA4" w:rsidP="00A07209">
      <w:pPr>
        <w:pStyle w:val="ListParagraph"/>
        <w:numPr>
          <w:ilvl w:val="0"/>
          <w:numId w:val="48"/>
        </w:numPr>
        <w:tabs>
          <w:tab w:val="num" w:pos="360"/>
        </w:tabs>
        <w:spacing w:after="0" w:line="240" w:lineRule="auto"/>
        <w:rPr>
          <w:b/>
          <w:smallCaps/>
        </w:rPr>
      </w:pPr>
      <w:r>
        <w:rPr>
          <w:b/>
        </w:rPr>
        <w:t>Definitions</w:t>
      </w:r>
    </w:p>
    <w:p w14:paraId="4FD31A2A" w14:textId="77777777" w:rsidR="00474FA4" w:rsidRPr="00474FA4" w:rsidRDefault="00474FA4" w:rsidP="00474FA4">
      <w:pPr>
        <w:spacing w:after="0" w:line="240" w:lineRule="auto"/>
        <w:ind w:left="360"/>
        <w:rPr>
          <w:b/>
          <w:smallCaps/>
        </w:rPr>
      </w:pPr>
    </w:p>
    <w:p w14:paraId="709F949F" w14:textId="77777777" w:rsidR="00474FA4" w:rsidRPr="00474FA4" w:rsidRDefault="00474FA4" w:rsidP="00474FA4">
      <w:pPr>
        <w:spacing w:after="0" w:line="240" w:lineRule="auto"/>
        <w:ind w:left="360"/>
      </w:pPr>
      <w:r>
        <w:rPr>
          <w:b/>
        </w:rPr>
        <w:t>Organizational Conflict of Interest (OCOI)</w:t>
      </w:r>
      <w:r>
        <w:t>: A situation in which the financial investments or holdings of an organization (including licenses, royalties, intellectual property rights, patents, certain gifts) or the personal financial interests or holdings of a key leader might affect or reasonably appear to affect organizational processes for the design, conduct, reporting, review, or oversight of human subjects research.</w:t>
      </w:r>
    </w:p>
    <w:p w14:paraId="35159006" w14:textId="77777777" w:rsidR="00474FA4" w:rsidRPr="00474FA4" w:rsidRDefault="00474FA4" w:rsidP="00474FA4">
      <w:pPr>
        <w:spacing w:after="0" w:line="240" w:lineRule="auto"/>
        <w:ind w:left="360"/>
        <w:rPr>
          <w:b/>
        </w:rPr>
      </w:pPr>
    </w:p>
    <w:p w14:paraId="1742FE30" w14:textId="77777777" w:rsidR="00474FA4" w:rsidRPr="00474FA4" w:rsidRDefault="00474FA4" w:rsidP="00474FA4">
      <w:pPr>
        <w:spacing w:after="0" w:line="240" w:lineRule="auto"/>
        <w:ind w:left="360"/>
        <w:rPr>
          <w:i/>
        </w:rPr>
      </w:pPr>
      <w:r>
        <w:rPr>
          <w:b/>
        </w:rPr>
        <w:t>Key Organizational Leader</w:t>
      </w:r>
      <w:r>
        <w:t>: For purposes of HRPP policy, a faculty member or administrator who has direct authority over personnel appointments, salaries, promotions, and/or allocation of organizational resources (e.g., funding, space, assignment of graduate students or other trainees) for individuals involved in the design, conduct, reporting, review, or oversight of human subjects research.</w:t>
      </w:r>
    </w:p>
    <w:p w14:paraId="001E4046" w14:textId="77777777" w:rsidR="00474FA4" w:rsidRPr="00474FA4" w:rsidRDefault="00474FA4" w:rsidP="00474FA4">
      <w:pPr>
        <w:tabs>
          <w:tab w:val="left" w:pos="2947"/>
        </w:tabs>
        <w:spacing w:after="0" w:line="240" w:lineRule="auto"/>
      </w:pPr>
    </w:p>
    <w:p w14:paraId="23945FD3" w14:textId="77777777" w:rsidR="00474FA4" w:rsidRPr="00F2286B" w:rsidRDefault="00474FA4" w:rsidP="00A07209">
      <w:pPr>
        <w:pStyle w:val="ListParagraph"/>
        <w:numPr>
          <w:ilvl w:val="0"/>
          <w:numId w:val="48"/>
        </w:numPr>
        <w:tabs>
          <w:tab w:val="num" w:pos="360"/>
        </w:tabs>
        <w:spacing w:after="0" w:line="240" w:lineRule="auto"/>
        <w:rPr>
          <w:b/>
        </w:rPr>
      </w:pPr>
      <w:r>
        <w:rPr>
          <w:b/>
        </w:rPr>
        <w:t>General Information</w:t>
      </w:r>
    </w:p>
    <w:p w14:paraId="0E2CE372" w14:textId="77777777" w:rsidR="00474FA4" w:rsidRPr="00474FA4" w:rsidRDefault="00474FA4" w:rsidP="00474FA4">
      <w:pPr>
        <w:spacing w:after="0" w:line="240" w:lineRule="auto"/>
        <w:ind w:left="792"/>
        <w:rPr>
          <w:b/>
        </w:rPr>
      </w:pPr>
    </w:p>
    <w:p w14:paraId="6B1E3A58" w14:textId="77777777" w:rsidR="00474FA4" w:rsidRPr="00474FA4" w:rsidRDefault="00474FA4" w:rsidP="00A07209">
      <w:pPr>
        <w:numPr>
          <w:ilvl w:val="1"/>
          <w:numId w:val="48"/>
        </w:numPr>
        <w:tabs>
          <w:tab w:val="num" w:pos="720"/>
        </w:tabs>
        <w:spacing w:after="0" w:line="240" w:lineRule="auto"/>
        <w:ind w:left="720"/>
        <w:rPr>
          <w:b/>
        </w:rPr>
      </w:pPr>
      <w:r>
        <w:t>When The Ohio State University licenses technology or other intellectual property, the university may receive a royalty or other fee as compensation for the use of that intellectual property or equity in a company as a result of that license. A potential organizational conflict of interest is created if an Ohio State researcher engages in human subjects research involving a drug, biologic, device, or other intellectual property or technology for which the university has a patent, has licensed the technology or intellectual property, or receives royalties or other fees from a third party for use of the university-owned technology or intellectual property.</w:t>
      </w:r>
    </w:p>
    <w:p w14:paraId="01B12913" w14:textId="77777777" w:rsidR="00474FA4" w:rsidRPr="00474FA4" w:rsidRDefault="00474FA4" w:rsidP="00474FA4">
      <w:pPr>
        <w:tabs>
          <w:tab w:val="num" w:pos="720"/>
        </w:tabs>
        <w:spacing w:after="0" w:line="240" w:lineRule="auto"/>
        <w:ind w:left="720" w:hanging="360"/>
        <w:rPr>
          <w:b/>
        </w:rPr>
      </w:pPr>
    </w:p>
    <w:p w14:paraId="04816EFC" w14:textId="77777777" w:rsidR="00474FA4" w:rsidRPr="00474FA4" w:rsidRDefault="00474FA4" w:rsidP="00A07209">
      <w:pPr>
        <w:numPr>
          <w:ilvl w:val="1"/>
          <w:numId w:val="48"/>
        </w:numPr>
        <w:tabs>
          <w:tab w:val="num" w:pos="720"/>
        </w:tabs>
        <w:spacing w:after="0" w:line="240" w:lineRule="auto"/>
        <w:ind w:left="720"/>
        <w:rPr>
          <w:b/>
        </w:rPr>
      </w:pPr>
      <w:r>
        <w:t xml:space="preserve">The Office of Advancement, with applicable college development offices, has responsibility for administering all gifts and in-kind donations from individuals and corporate entities, as well as gifts to the university's endowment. In addition, gifts made to The Ohio State University Wexner </w:t>
      </w:r>
      <w:r>
        <w:lastRenderedPageBreak/>
        <w:t xml:space="preserve">Medical Center by entities providing good or services must comply with the </w:t>
      </w:r>
      <w:hyperlink r:id="rId93" w:history="1">
        <w:r>
          <w:rPr>
            <w:color w:val="0000FF"/>
            <w:u w:val="single"/>
          </w:rPr>
          <w:t>Vendor Interaction Policy</w:t>
        </w:r>
      </w:hyperlink>
      <w:r>
        <w:t>.</w:t>
      </w:r>
    </w:p>
    <w:p w14:paraId="748B6C0C" w14:textId="77777777" w:rsidR="00474FA4" w:rsidRPr="00474FA4" w:rsidRDefault="00474FA4" w:rsidP="00474FA4">
      <w:pPr>
        <w:spacing w:after="0" w:line="240" w:lineRule="auto"/>
        <w:rPr>
          <w:b/>
        </w:rPr>
      </w:pPr>
    </w:p>
    <w:p w14:paraId="23BD0987" w14:textId="77777777" w:rsidR="00474FA4" w:rsidRPr="00F2286B" w:rsidRDefault="00474FA4" w:rsidP="00A07209">
      <w:pPr>
        <w:pStyle w:val="ListParagraph"/>
        <w:numPr>
          <w:ilvl w:val="0"/>
          <w:numId w:val="48"/>
        </w:numPr>
        <w:tabs>
          <w:tab w:val="num" w:pos="360"/>
        </w:tabs>
        <w:spacing w:after="0" w:line="240" w:lineRule="auto"/>
        <w:rPr>
          <w:b/>
          <w:color w:val="0D0D0D"/>
        </w:rPr>
      </w:pPr>
      <w:r>
        <w:rPr>
          <w:b/>
          <w:color w:val="0D0D0D"/>
        </w:rPr>
        <w:t>Procedures for Identifying and Reporting Potential Organizational Conflicts</w:t>
      </w:r>
    </w:p>
    <w:p w14:paraId="26235071" w14:textId="77777777" w:rsidR="00474FA4" w:rsidRPr="00474FA4" w:rsidRDefault="00474FA4" w:rsidP="00474FA4">
      <w:pPr>
        <w:spacing w:after="0" w:line="240" w:lineRule="auto"/>
        <w:ind w:left="720"/>
        <w:rPr>
          <w:color w:val="0D0D0D"/>
        </w:rPr>
      </w:pPr>
    </w:p>
    <w:p w14:paraId="33D1D512" w14:textId="77777777" w:rsidR="00474FA4" w:rsidRPr="00474FA4" w:rsidRDefault="00474FA4" w:rsidP="00474FA4">
      <w:pPr>
        <w:spacing w:after="0" w:line="240" w:lineRule="auto"/>
        <w:ind w:left="360"/>
        <w:rPr>
          <w:color w:val="0D0D0D"/>
        </w:rPr>
      </w:pPr>
      <w:r>
        <w:rPr>
          <w:color w:val="0D0D0D"/>
        </w:rPr>
        <w:t xml:space="preserve">Organizational financial interests and </w:t>
      </w:r>
      <w:r>
        <w:t>personal financial interests of key organizational leaders are identified and reported through various research compliance processes, as described below.</w:t>
      </w:r>
    </w:p>
    <w:p w14:paraId="13E7DB19" w14:textId="77777777" w:rsidR="00474FA4" w:rsidRPr="00474FA4" w:rsidRDefault="00474FA4" w:rsidP="00474FA4">
      <w:pPr>
        <w:spacing w:after="0" w:line="240" w:lineRule="auto"/>
        <w:ind w:left="720"/>
        <w:rPr>
          <w:color w:val="0D0D0D"/>
        </w:rPr>
      </w:pPr>
    </w:p>
    <w:p w14:paraId="40CD1377" w14:textId="77777777" w:rsidR="00474FA4" w:rsidRPr="00474FA4" w:rsidRDefault="00474FA4" w:rsidP="00A07209">
      <w:pPr>
        <w:numPr>
          <w:ilvl w:val="0"/>
          <w:numId w:val="50"/>
        </w:numPr>
        <w:spacing w:after="0" w:line="240" w:lineRule="auto"/>
        <w:rPr>
          <w:color w:val="1F497D"/>
        </w:rPr>
      </w:pPr>
      <w:r>
        <w:rPr>
          <w:color w:val="0D0D0D"/>
        </w:rPr>
        <w:t xml:space="preserve">Deans, department chairs, and/or their designees are required to review and sign off on research submitted by faculty in their colleges, departments, divisions, or institutes, including projects involving the use of human subjects. Deans and chairs also review annual conflict of interest disclosures (and updated disclosures), which are required for faculty and staff working as investigators or key personnel, as described by the university’s </w:t>
      </w:r>
      <w:hyperlink r:id="rId94" w:history="1">
        <w:r>
          <w:rPr>
            <w:color w:val="0000FF"/>
            <w:u w:val="single"/>
          </w:rPr>
          <w:t>Faculty Financial Conflict of Interest</w:t>
        </w:r>
      </w:hyperlink>
      <w:r>
        <w:rPr>
          <w:color w:val="0D0D0D"/>
        </w:rPr>
        <w:t xml:space="preserve"> policy and procedures (COI Policy). Any potential financial conflicts of interest involving key organizational leaders determined to be “significant” under the COI Policy (see </w:t>
      </w:r>
      <w:hyperlink w:anchor="Section5B" w:history="1">
        <w:r>
          <w:rPr>
            <w:color w:val="0000FF"/>
            <w:u w:val="single"/>
          </w:rPr>
          <w:t>Section 5.B.</w:t>
        </w:r>
      </w:hyperlink>
      <w:r>
        <w:rPr>
          <w:color w:val="0D0D0D"/>
        </w:rPr>
        <w:t xml:space="preserve"> below) will be reported to the conflict of interest administrator </w:t>
      </w:r>
      <w:r>
        <w:rPr>
          <w:color w:val="000000"/>
        </w:rPr>
        <w:t>(COI administrator)</w:t>
      </w:r>
      <w:r>
        <w:rPr>
          <w:color w:val="0D0D0D"/>
        </w:rPr>
        <w:t>.</w:t>
      </w:r>
    </w:p>
    <w:p w14:paraId="16709DB7" w14:textId="77777777" w:rsidR="00474FA4" w:rsidRPr="00474FA4" w:rsidDel="00004A81" w:rsidRDefault="00474FA4" w:rsidP="00474FA4">
      <w:pPr>
        <w:spacing w:after="0" w:line="240" w:lineRule="auto"/>
        <w:ind w:left="720"/>
        <w:rPr>
          <w:color w:val="1F497D"/>
        </w:rPr>
      </w:pPr>
    </w:p>
    <w:p w14:paraId="795F3504" w14:textId="77777777" w:rsidR="00474FA4" w:rsidRPr="00474FA4" w:rsidRDefault="00474FA4" w:rsidP="00A07209">
      <w:pPr>
        <w:numPr>
          <w:ilvl w:val="0"/>
          <w:numId w:val="54"/>
        </w:numPr>
        <w:spacing w:after="0" w:line="240" w:lineRule="auto"/>
        <w:rPr>
          <w:color w:val="1F497D"/>
        </w:rPr>
      </w:pPr>
      <w:r>
        <w:t xml:space="preserve">The university’s </w:t>
      </w:r>
      <w:r>
        <w:rPr>
          <w:i/>
        </w:rPr>
        <w:t>Authorization to Seek Off-Campus Funding</w:t>
      </w:r>
      <w:r>
        <w:t xml:space="preserve"> </w:t>
      </w:r>
      <w:r>
        <w:rPr>
          <w:i/>
        </w:rPr>
        <w:t>(ePA-005)</w:t>
      </w:r>
      <w:r>
        <w:t xml:space="preserve"> electronic form (available on the </w:t>
      </w:r>
      <w:hyperlink r:id="rId95" w:history="1">
        <w:r>
          <w:rPr>
            <w:color w:val="0000FF"/>
            <w:u w:val="single"/>
          </w:rPr>
          <w:t>Office of Sponsored Programs website</w:t>
        </w:r>
      </w:hyperlink>
      <w:r>
        <w:t xml:space="preserve">) requires principal investigators to disclose whether they or individuals named as co-investigators or key personnel on a project have a significant financial interest in the sponsor, or whether </w:t>
      </w:r>
      <w:r>
        <w:rPr>
          <w:color w:val="000000"/>
        </w:rPr>
        <w:t xml:space="preserve">any other company or organization is providing financial or in-kind assistance for the research. The </w:t>
      </w:r>
      <w:r>
        <w:rPr>
          <w:i/>
          <w:color w:val="000000"/>
        </w:rPr>
        <w:t>ePA-005</w:t>
      </w:r>
      <w:r>
        <w:rPr>
          <w:color w:val="000000"/>
        </w:rPr>
        <w:t xml:space="preserve"> also asks investigators whether the proposed research involves the use of Ohio State technology licensed by the Office of Innovation and Economic Development (OIED) to third parties. This information is routed electronically to the COI Administrator for review.</w:t>
      </w:r>
    </w:p>
    <w:p w14:paraId="5481DBDA" w14:textId="77777777" w:rsidR="00474FA4" w:rsidRPr="00474FA4" w:rsidDel="00004A81" w:rsidRDefault="00474FA4" w:rsidP="00474FA4">
      <w:pPr>
        <w:spacing w:after="0" w:line="240" w:lineRule="auto"/>
        <w:ind w:left="720"/>
        <w:rPr>
          <w:color w:val="1F497D"/>
        </w:rPr>
      </w:pPr>
    </w:p>
    <w:p w14:paraId="14DC2EB6" w14:textId="77777777" w:rsidR="00474FA4" w:rsidRPr="00474FA4" w:rsidRDefault="00474FA4" w:rsidP="00A07209">
      <w:pPr>
        <w:numPr>
          <w:ilvl w:val="0"/>
          <w:numId w:val="55"/>
        </w:numPr>
        <w:spacing w:after="0" w:line="240" w:lineRule="auto"/>
        <w:rPr>
          <w:color w:val="000000"/>
        </w:rPr>
      </w:pPr>
      <w:r>
        <w:rPr>
          <w:color w:val="000000"/>
        </w:rPr>
        <w:t>The initial review of human subjects research application and application for exemption require that investigators disclose whether any Ohio State investigator, key personnel,</w:t>
      </w:r>
      <w:r>
        <w:rPr>
          <w:b/>
          <w:bCs/>
          <w:color w:val="000000"/>
        </w:rPr>
        <w:t xml:space="preserve"> </w:t>
      </w:r>
      <w:r>
        <w:rPr>
          <w:color w:val="000000"/>
        </w:rPr>
        <w:t>or their immediate family members has a financial interest that would reasonably appear to be affected by the research. Such financial interests involving key organizational leaders, or other potential organizational conflicts of interest, are forwarded by the Office of Responsible Research Practices (ORRP) professional staff to the COI administrator for review.</w:t>
      </w:r>
    </w:p>
    <w:p w14:paraId="5DF8C0E6" w14:textId="77777777" w:rsidR="00474FA4" w:rsidRPr="00474FA4" w:rsidRDefault="00474FA4" w:rsidP="00474FA4">
      <w:pPr>
        <w:spacing w:after="0" w:line="240" w:lineRule="auto"/>
        <w:ind w:left="1080" w:hanging="360"/>
        <w:rPr>
          <w:color w:val="1F497D"/>
        </w:rPr>
      </w:pPr>
    </w:p>
    <w:p w14:paraId="2B0D2E05" w14:textId="77777777" w:rsidR="00474FA4" w:rsidRPr="00474FA4" w:rsidRDefault="00474FA4" w:rsidP="00A07209">
      <w:pPr>
        <w:numPr>
          <w:ilvl w:val="0"/>
          <w:numId w:val="55"/>
        </w:numPr>
        <w:spacing w:after="0" w:line="240" w:lineRule="auto"/>
        <w:rPr>
          <w:color w:val="000000"/>
        </w:rPr>
      </w:pPr>
      <w:r>
        <w:rPr>
          <w:color w:val="000000"/>
        </w:rPr>
        <w:t xml:space="preserve">The Office of Innovation and Economic Development (OIED) coordinates institutional interactions with companies commercializing university-owned technology as described in the </w:t>
      </w:r>
      <w:hyperlink r:id="rId96" w:history="1">
        <w:r>
          <w:rPr>
            <w:bCs/>
            <w:color w:val="0000FF"/>
            <w:u w:val="single"/>
          </w:rPr>
          <w:t>Rules Governing Faculty and Staff Participation in Companies Commercializing University Research (3335-13-07).</w:t>
        </w:r>
      </w:hyperlink>
      <w:r>
        <w:rPr>
          <w:b/>
          <w:bCs/>
        </w:rPr>
        <w:t xml:space="preserve"> </w:t>
      </w:r>
      <w:r>
        <w:rPr>
          <w:bCs/>
        </w:rPr>
        <w:t xml:space="preserve">As part of these management responsibilities, OIED maintains a list </w:t>
      </w:r>
      <w:r>
        <w:rPr>
          <w:color w:val="000000"/>
        </w:rPr>
        <w:t xml:space="preserve">of </w:t>
      </w:r>
      <w:r>
        <w:t xml:space="preserve">approved commercial entities (also known as “start-up companies”) that are owned in whole or in part by a university employee to develop and commercialize university-owned technology created by that employee (faculty and staff start-up companies). OIED will provide lists of approved faculty and staff start-up companies to the Office for Business and Industry Contracts and the </w:t>
      </w:r>
      <w:r>
        <w:rPr>
          <w:color w:val="000000"/>
        </w:rPr>
        <w:t>COI administrator.</w:t>
      </w:r>
    </w:p>
    <w:p w14:paraId="33AB2FF6" w14:textId="77777777" w:rsidR="00474FA4" w:rsidRPr="00474FA4" w:rsidRDefault="00474FA4" w:rsidP="00474FA4">
      <w:pPr>
        <w:spacing w:after="0" w:line="240" w:lineRule="auto"/>
        <w:ind w:left="1080" w:hanging="360"/>
        <w:rPr>
          <w:color w:val="000000"/>
        </w:rPr>
      </w:pPr>
    </w:p>
    <w:p w14:paraId="495BC868" w14:textId="77777777" w:rsidR="00474FA4" w:rsidRPr="00474FA4" w:rsidRDefault="00474FA4" w:rsidP="00A07209">
      <w:pPr>
        <w:numPr>
          <w:ilvl w:val="0"/>
          <w:numId w:val="55"/>
        </w:numPr>
        <w:spacing w:after="0" w:line="240" w:lineRule="auto"/>
        <w:rPr>
          <w:color w:val="000000"/>
        </w:rPr>
      </w:pPr>
      <w:r>
        <w:rPr>
          <w:color w:val="000000"/>
        </w:rPr>
        <w:lastRenderedPageBreak/>
        <w:t xml:space="preserve">All gifts and in-kind donations to the university of $10,000 or more in value, or those designated for specific activities, require the execution of a formal gift agreement reviewed and approved by the Office of Legal Affairs. Gifts </w:t>
      </w:r>
      <w:r>
        <w:t xml:space="preserve">identified by the Office of Advancement or Office of Legal Affairs as having been made by donors with an interest in specific Ohio State human subjects research projects </w:t>
      </w:r>
      <w:r>
        <w:rPr>
          <w:color w:val="000000"/>
        </w:rPr>
        <w:t>will be reviewed under this policy using the procedures described below.</w:t>
      </w:r>
    </w:p>
    <w:p w14:paraId="61242807" w14:textId="77777777" w:rsidR="00474FA4" w:rsidRPr="00474FA4" w:rsidRDefault="00474FA4" w:rsidP="00474FA4">
      <w:pPr>
        <w:spacing w:after="0" w:line="240" w:lineRule="auto"/>
        <w:ind w:left="810"/>
        <w:rPr>
          <w:color w:val="000000"/>
        </w:rPr>
      </w:pPr>
    </w:p>
    <w:p w14:paraId="4320841C" w14:textId="77777777" w:rsidR="00474FA4" w:rsidRPr="00474FA4" w:rsidRDefault="00474FA4" w:rsidP="00A07209">
      <w:pPr>
        <w:numPr>
          <w:ilvl w:val="0"/>
          <w:numId w:val="51"/>
        </w:numPr>
        <w:spacing w:after="0" w:line="240" w:lineRule="auto"/>
        <w:ind w:left="360"/>
        <w:rPr>
          <w:b/>
          <w:color w:val="0D0D0D"/>
        </w:rPr>
      </w:pPr>
      <w:r>
        <w:rPr>
          <w:b/>
          <w:color w:val="0D0D0D"/>
        </w:rPr>
        <w:t>Procedures for the Review and Management of Potential Organizational Conflicts</w:t>
      </w:r>
    </w:p>
    <w:p w14:paraId="517911C5" w14:textId="77777777" w:rsidR="00474FA4" w:rsidRPr="00474FA4" w:rsidRDefault="00474FA4" w:rsidP="00474FA4">
      <w:pPr>
        <w:spacing w:after="0" w:line="240" w:lineRule="auto"/>
      </w:pPr>
    </w:p>
    <w:p w14:paraId="2CAB861D" w14:textId="77777777" w:rsidR="00474FA4" w:rsidRPr="00474FA4" w:rsidRDefault="00474FA4" w:rsidP="00A07209">
      <w:pPr>
        <w:numPr>
          <w:ilvl w:val="0"/>
          <w:numId w:val="52"/>
        </w:numPr>
        <w:spacing w:after="0" w:line="240" w:lineRule="auto"/>
      </w:pPr>
      <w:r>
        <w:t xml:space="preserve">Organizational conflicts of interest identified through the above procedures will be initially reviewed by the </w:t>
      </w:r>
      <w:r>
        <w:rPr>
          <w:color w:val="000000"/>
        </w:rPr>
        <w:t>COI administrator.</w:t>
      </w:r>
    </w:p>
    <w:p w14:paraId="4B44CE51" w14:textId="77777777" w:rsidR="00474FA4" w:rsidRPr="00474FA4" w:rsidDel="00DF60C6" w:rsidRDefault="00474FA4" w:rsidP="00474FA4">
      <w:pPr>
        <w:spacing w:after="0" w:line="240" w:lineRule="auto"/>
        <w:ind w:left="720"/>
      </w:pPr>
    </w:p>
    <w:p w14:paraId="29ABD3B7" w14:textId="77777777" w:rsidR="00474FA4" w:rsidRPr="00474FA4" w:rsidRDefault="00474FA4" w:rsidP="00A07209">
      <w:pPr>
        <w:numPr>
          <w:ilvl w:val="0"/>
          <w:numId w:val="52"/>
        </w:numPr>
        <w:spacing w:after="60" w:line="240" w:lineRule="auto"/>
      </w:pPr>
      <w:bookmarkStart w:id="228" w:name="Section5B"/>
      <w:r>
        <w:t>Th</w:t>
      </w:r>
      <w:bookmarkEnd w:id="228"/>
      <w:r>
        <w:t xml:space="preserve">e </w:t>
      </w:r>
      <w:r>
        <w:rPr>
          <w:color w:val="000000"/>
        </w:rPr>
        <w:t xml:space="preserve">COI administrator, in consultation as necessary with the appropriate department chair, college dean, legal counsel in the Office of Legal Affairs, and/or the chair of the Conflict of Interest Advisory Committee (COIAC), will determine if an identified </w:t>
      </w:r>
      <w:r>
        <w:t>organizational conflict of interest is significant. For the purpose of this policy, an OCOI is “significant” if it involves any of the following:</w:t>
      </w:r>
    </w:p>
    <w:p w14:paraId="3FE5E899" w14:textId="77777777" w:rsidR="00474FA4" w:rsidRPr="00474FA4" w:rsidRDefault="00474FA4" w:rsidP="00A07209">
      <w:pPr>
        <w:numPr>
          <w:ilvl w:val="2"/>
          <w:numId w:val="49"/>
        </w:numPr>
        <w:spacing w:after="60" w:line="240" w:lineRule="auto"/>
      </w:pPr>
      <w:r>
        <w:t>Personal financial interests or holdings of a key organizational leader who has a direct role in reviewing the submission of a specific human subjects research project or internally-funded human subjects research, and the key organizational leader’s financial interest or holding meets the definition of “significant” under the current COI policy</w:t>
      </w:r>
    </w:p>
    <w:p w14:paraId="72191C9B" w14:textId="77777777" w:rsidR="00474FA4" w:rsidRPr="00474FA4" w:rsidRDefault="00474FA4" w:rsidP="00A07209">
      <w:pPr>
        <w:numPr>
          <w:ilvl w:val="2"/>
          <w:numId w:val="49"/>
        </w:numPr>
        <w:spacing w:after="60" w:line="240" w:lineRule="auto"/>
      </w:pPr>
      <w:r>
        <w:t>Any financial interest in a non-publicly traded company</w:t>
      </w:r>
    </w:p>
    <w:p w14:paraId="486B5D25" w14:textId="77777777" w:rsidR="00474FA4" w:rsidRPr="00474FA4" w:rsidRDefault="00474FA4" w:rsidP="00A07209">
      <w:pPr>
        <w:numPr>
          <w:ilvl w:val="2"/>
          <w:numId w:val="49"/>
        </w:numPr>
        <w:spacing w:after="60" w:line="240" w:lineRule="auto"/>
      </w:pPr>
      <w:r>
        <w:t>Any financial interest in an approved start-up company that is commercializing university-licensed technology</w:t>
      </w:r>
    </w:p>
    <w:p w14:paraId="59E13193" w14:textId="77777777" w:rsidR="00474FA4" w:rsidRPr="00474FA4" w:rsidRDefault="00474FA4" w:rsidP="00A07209">
      <w:pPr>
        <w:numPr>
          <w:ilvl w:val="2"/>
          <w:numId w:val="49"/>
        </w:numPr>
        <w:spacing w:after="60" w:line="240" w:lineRule="auto"/>
      </w:pPr>
      <w:r>
        <w:t>Current or pending ownership interest (including shares, partnership stakes, or derivative interests such as stock options) in a publicly traded company of $50,000 or more</w:t>
      </w:r>
    </w:p>
    <w:p w14:paraId="2F37CC24" w14:textId="77777777" w:rsidR="00474FA4" w:rsidRPr="00474FA4" w:rsidRDefault="00474FA4" w:rsidP="00A07209">
      <w:pPr>
        <w:numPr>
          <w:ilvl w:val="2"/>
          <w:numId w:val="49"/>
        </w:numPr>
        <w:spacing w:after="60" w:line="240" w:lineRule="auto"/>
      </w:pPr>
      <w:r>
        <w:t xml:space="preserve">A gift of $50,000 or more by an individual or third-party company that may reasonably be seen as directly benefitting from a specific human subjects research project </w:t>
      </w:r>
    </w:p>
    <w:p w14:paraId="0A9F3E99" w14:textId="77777777" w:rsidR="00474FA4" w:rsidRPr="00474FA4" w:rsidRDefault="00474FA4" w:rsidP="00A07209">
      <w:pPr>
        <w:numPr>
          <w:ilvl w:val="2"/>
          <w:numId w:val="49"/>
        </w:numPr>
        <w:spacing w:after="0" w:line="240" w:lineRule="auto"/>
      </w:pPr>
      <w:r>
        <w:t>The use of university technology licensed by OIED in human subjects research conducted at Ohio State or reviewed by a university IRB</w:t>
      </w:r>
    </w:p>
    <w:p w14:paraId="1A312BEE" w14:textId="77777777" w:rsidR="00474FA4" w:rsidRPr="00474FA4" w:rsidRDefault="00474FA4" w:rsidP="00474FA4">
      <w:pPr>
        <w:spacing w:after="0" w:line="240" w:lineRule="auto"/>
        <w:ind w:left="720"/>
      </w:pPr>
    </w:p>
    <w:p w14:paraId="6B6F13B6" w14:textId="77777777" w:rsidR="00474FA4" w:rsidRPr="00474FA4" w:rsidRDefault="00474FA4" w:rsidP="00A07209">
      <w:pPr>
        <w:numPr>
          <w:ilvl w:val="1"/>
          <w:numId w:val="53"/>
        </w:numPr>
        <w:spacing w:after="0" w:line="240" w:lineRule="auto"/>
      </w:pPr>
      <w:r>
        <w:t>Significant organizational conflicts will be reviewed by the COIAC under the procedures described in the COI policy. When necessary, the COIAC will develop formal management plans for OCOIs and provide these recommended plans to the reviewing IRB and to the institutional official for final approval.</w:t>
      </w:r>
    </w:p>
    <w:p w14:paraId="1F542D8C" w14:textId="77777777" w:rsidR="00474FA4" w:rsidRPr="00474FA4" w:rsidRDefault="00474FA4" w:rsidP="00474FA4">
      <w:pPr>
        <w:spacing w:after="0" w:line="240" w:lineRule="auto"/>
        <w:ind w:left="720"/>
      </w:pPr>
    </w:p>
    <w:p w14:paraId="7B641438" w14:textId="77777777" w:rsidR="00474FA4" w:rsidRPr="00474FA4" w:rsidRDefault="00474FA4" w:rsidP="00A07209">
      <w:pPr>
        <w:numPr>
          <w:ilvl w:val="1"/>
          <w:numId w:val="53"/>
        </w:numPr>
        <w:spacing w:after="60" w:line="240" w:lineRule="auto"/>
      </w:pPr>
      <w:r>
        <w:t>In reviewing potential organizational conflicts, the COIAC will evaluate relevant factors, including the following:</w:t>
      </w:r>
    </w:p>
    <w:p w14:paraId="4968A9AB" w14:textId="77777777" w:rsidR="00474FA4" w:rsidRPr="004F62DC" w:rsidRDefault="00474FA4" w:rsidP="00A07209">
      <w:pPr>
        <w:pStyle w:val="ListParagraph"/>
        <w:numPr>
          <w:ilvl w:val="2"/>
          <w:numId w:val="47"/>
        </w:numPr>
      </w:pPr>
      <w:r>
        <w:t>Level of risk to research participants</w:t>
      </w:r>
    </w:p>
    <w:p w14:paraId="4F41F2BE" w14:textId="77777777" w:rsidR="00474FA4" w:rsidRPr="004F62DC" w:rsidRDefault="00474FA4" w:rsidP="00A07209">
      <w:pPr>
        <w:pStyle w:val="ListParagraph"/>
        <w:numPr>
          <w:ilvl w:val="2"/>
          <w:numId w:val="47"/>
        </w:numPr>
      </w:pPr>
      <w:r>
        <w:t>Effect on the integrity and objectivity of the proposed human subjects research</w:t>
      </w:r>
    </w:p>
    <w:p w14:paraId="300A32E6" w14:textId="77777777" w:rsidR="00474FA4" w:rsidRPr="004F62DC" w:rsidRDefault="00474FA4" w:rsidP="00A07209">
      <w:pPr>
        <w:pStyle w:val="ListParagraph"/>
        <w:numPr>
          <w:ilvl w:val="2"/>
          <w:numId w:val="47"/>
        </w:numPr>
      </w:pPr>
      <w:r>
        <w:t>Level and type of financial interests or relationships held by the university and/or a key organizational leader</w:t>
      </w:r>
    </w:p>
    <w:p w14:paraId="124F6D29" w14:textId="77777777" w:rsidR="00474FA4" w:rsidRPr="004F62DC" w:rsidRDefault="00474FA4" w:rsidP="00A07209">
      <w:pPr>
        <w:pStyle w:val="ListParagraph"/>
        <w:numPr>
          <w:ilvl w:val="2"/>
          <w:numId w:val="47"/>
        </w:numPr>
      </w:pPr>
      <w:r>
        <w:lastRenderedPageBreak/>
        <w:t>How direct and immediate a key organizational leader’s authority is over the research or the investigator and research staff involved in conducting the research</w:t>
      </w:r>
    </w:p>
    <w:p w14:paraId="0C1B7BF0" w14:textId="77777777" w:rsidR="00474FA4" w:rsidRPr="004F62DC" w:rsidRDefault="00474FA4" w:rsidP="00A07209">
      <w:pPr>
        <w:pStyle w:val="ListParagraph"/>
        <w:numPr>
          <w:ilvl w:val="2"/>
          <w:numId w:val="47"/>
        </w:numPr>
      </w:pPr>
      <w:r>
        <w:t>Status of the third-party company (e.g., whether a privately held start-up company, small publicly traded company, or large publicly traded company)</w:t>
      </w:r>
    </w:p>
    <w:p w14:paraId="156E68F4" w14:textId="77777777" w:rsidR="00474FA4" w:rsidRPr="004F62DC" w:rsidRDefault="00474FA4" w:rsidP="00A07209">
      <w:pPr>
        <w:pStyle w:val="ListParagraph"/>
        <w:numPr>
          <w:ilvl w:val="2"/>
          <w:numId w:val="47"/>
        </w:numPr>
      </w:pPr>
      <w:r>
        <w:t>Perceived reputational risk to the university</w:t>
      </w:r>
    </w:p>
    <w:p w14:paraId="47BD060C" w14:textId="77777777" w:rsidR="00474FA4" w:rsidRPr="00474FA4" w:rsidRDefault="00474FA4" w:rsidP="00A07209">
      <w:pPr>
        <w:numPr>
          <w:ilvl w:val="0"/>
          <w:numId w:val="56"/>
        </w:numPr>
        <w:spacing w:after="60" w:line="240" w:lineRule="auto"/>
      </w:pPr>
      <w:r>
        <w:t>In managing potential organizational conflicts, the COIAC will follow current academic best practices, including the following:</w:t>
      </w:r>
    </w:p>
    <w:p w14:paraId="399DD70C" w14:textId="77777777" w:rsidR="00474FA4" w:rsidRPr="00474FA4" w:rsidRDefault="00474FA4" w:rsidP="00A07209">
      <w:pPr>
        <w:numPr>
          <w:ilvl w:val="2"/>
          <w:numId w:val="431"/>
        </w:numPr>
        <w:tabs>
          <w:tab w:val="num" w:pos="1440"/>
        </w:tabs>
        <w:spacing w:after="60" w:line="240" w:lineRule="auto"/>
      </w:pPr>
      <w:r>
        <w:t>The “rebuttable presumption” standard adopted by the Association of American Universities and the Association of American Medical Colleges (AAMC) on decisions about whether or not to move forward with a proposed human subjects research project in the presence of a significant OCOI</w:t>
      </w:r>
    </w:p>
    <w:p w14:paraId="774FB548" w14:textId="77777777" w:rsidR="00474FA4" w:rsidRPr="00474FA4" w:rsidRDefault="00474FA4" w:rsidP="00A07209">
      <w:pPr>
        <w:numPr>
          <w:ilvl w:val="2"/>
          <w:numId w:val="431"/>
        </w:numPr>
        <w:tabs>
          <w:tab w:val="num" w:pos="1440"/>
        </w:tabs>
        <w:spacing w:after="60" w:line="240" w:lineRule="auto"/>
      </w:pPr>
      <w:r>
        <w:t>Identification of the individuals (usually the investigator and the investigator’s chair or his/her designee) responsible for ensuring that the requirements of OCOI management plans are followed</w:t>
      </w:r>
    </w:p>
    <w:p w14:paraId="47EA87C3" w14:textId="77777777" w:rsidR="00474FA4" w:rsidRPr="00474FA4" w:rsidRDefault="00474FA4" w:rsidP="00A07209">
      <w:pPr>
        <w:numPr>
          <w:ilvl w:val="2"/>
          <w:numId w:val="431"/>
        </w:numPr>
        <w:tabs>
          <w:tab w:val="num" w:pos="1440"/>
        </w:tabs>
        <w:spacing w:after="60" w:line="240" w:lineRule="auto"/>
      </w:pPr>
      <w:r>
        <w:t>Formal recusal by a key organizational leader from his/her chain-of-authority over a project and from authority over salary, promotions, space, or trainee assignments of an affected investigator</w:t>
      </w:r>
    </w:p>
    <w:p w14:paraId="0B672061" w14:textId="77777777" w:rsidR="00474FA4" w:rsidRPr="00474FA4" w:rsidRDefault="00474FA4" w:rsidP="00A07209">
      <w:pPr>
        <w:numPr>
          <w:ilvl w:val="2"/>
          <w:numId w:val="431"/>
        </w:numPr>
        <w:tabs>
          <w:tab w:val="num" w:pos="1440"/>
        </w:tabs>
        <w:spacing w:after="60" w:line="240" w:lineRule="auto"/>
      </w:pPr>
      <w:r>
        <w:t>Disclosure of the potential OCOI in the informed consent document</w:t>
      </w:r>
    </w:p>
    <w:p w14:paraId="0E51E93B" w14:textId="77777777" w:rsidR="00474FA4" w:rsidRPr="00474FA4" w:rsidRDefault="00474FA4" w:rsidP="00A07209">
      <w:pPr>
        <w:numPr>
          <w:ilvl w:val="2"/>
          <w:numId w:val="431"/>
        </w:numPr>
        <w:tabs>
          <w:tab w:val="num" w:pos="1440"/>
        </w:tabs>
        <w:spacing w:after="60" w:line="240" w:lineRule="auto"/>
      </w:pPr>
      <w:r>
        <w:t>Disclosure of the potential OCOI to other centers in a multi-center trial</w:t>
      </w:r>
    </w:p>
    <w:p w14:paraId="776D348D" w14:textId="77777777" w:rsidR="00474FA4" w:rsidRPr="00474FA4" w:rsidRDefault="00474FA4" w:rsidP="00A07209">
      <w:pPr>
        <w:numPr>
          <w:ilvl w:val="2"/>
          <w:numId w:val="431"/>
        </w:numPr>
        <w:tabs>
          <w:tab w:val="num" w:pos="1440"/>
        </w:tabs>
        <w:spacing w:after="60" w:line="240" w:lineRule="auto"/>
      </w:pPr>
      <w:r>
        <w:t>Disclosure of the potential OCOI to sponsors, if required by federal law, agency policy, or the terms of a sponsored program agreement</w:t>
      </w:r>
    </w:p>
    <w:p w14:paraId="3386074D" w14:textId="77777777" w:rsidR="00474FA4" w:rsidRPr="00474FA4" w:rsidRDefault="00474FA4" w:rsidP="00A07209">
      <w:pPr>
        <w:numPr>
          <w:ilvl w:val="2"/>
          <w:numId w:val="431"/>
        </w:numPr>
        <w:tabs>
          <w:tab w:val="num" w:pos="1440"/>
        </w:tabs>
        <w:spacing w:after="60" w:line="240" w:lineRule="auto"/>
      </w:pPr>
      <w:r>
        <w:t>Formal commitment by the investigator(s) to disclose the OCOI in public presentations and publications</w:t>
      </w:r>
    </w:p>
    <w:p w14:paraId="37D2D50A" w14:textId="77777777" w:rsidR="00474FA4" w:rsidRPr="00474FA4" w:rsidRDefault="00474FA4" w:rsidP="00A07209">
      <w:pPr>
        <w:numPr>
          <w:ilvl w:val="2"/>
          <w:numId w:val="431"/>
        </w:numPr>
        <w:spacing w:after="0" w:line="240" w:lineRule="auto"/>
      </w:pPr>
      <w:r>
        <w:t>Any other requirements that the COIAC determines to be necessary</w:t>
      </w:r>
    </w:p>
    <w:p w14:paraId="2E439FB9" w14:textId="77777777" w:rsidR="00474FA4" w:rsidRPr="00474FA4" w:rsidRDefault="00474FA4" w:rsidP="00474FA4">
      <w:pPr>
        <w:spacing w:after="0" w:line="240" w:lineRule="auto"/>
        <w:ind w:left="720"/>
      </w:pPr>
    </w:p>
    <w:p w14:paraId="735353CC" w14:textId="77777777" w:rsidR="004F62DC" w:rsidRDefault="00474FA4" w:rsidP="00A07209">
      <w:pPr>
        <w:numPr>
          <w:ilvl w:val="0"/>
          <w:numId w:val="56"/>
        </w:numPr>
        <w:spacing w:after="60" w:line="240" w:lineRule="auto"/>
      </w:pPr>
      <w:r>
        <w:t xml:space="preserve">For more information on financial conflicts of interest in research, clinical care, and medical education, see AAMC’s Conflicts of Interest and Transparency Initiatives.   </w:t>
      </w:r>
    </w:p>
    <w:p w14:paraId="5EC29FE9" w14:textId="77777777" w:rsidR="004F62DC" w:rsidRPr="004F62DC" w:rsidRDefault="004F62DC" w:rsidP="004F62DC">
      <w:pPr>
        <w:spacing w:after="60" w:line="240" w:lineRule="auto"/>
        <w:ind w:left="1800"/>
      </w:pPr>
    </w:p>
    <w:p w14:paraId="6B7D8F93" w14:textId="77777777" w:rsidR="00474FA4" w:rsidRPr="004F62DC" w:rsidRDefault="00474FA4" w:rsidP="00A07209">
      <w:pPr>
        <w:pStyle w:val="ListParagraph"/>
        <w:numPr>
          <w:ilvl w:val="0"/>
          <w:numId w:val="51"/>
        </w:numPr>
        <w:spacing w:after="0" w:line="240" w:lineRule="auto"/>
        <w:ind w:left="360"/>
      </w:pPr>
      <w:r>
        <w:rPr>
          <w:b/>
        </w:rPr>
        <w:t>Applicable Regulations/Guidance</w:t>
      </w:r>
    </w:p>
    <w:p w14:paraId="4AF9E3C0" w14:textId="77777777" w:rsidR="00474FA4" w:rsidRPr="00474FA4" w:rsidRDefault="00474FA4" w:rsidP="00474FA4">
      <w:pPr>
        <w:spacing w:after="0" w:line="240" w:lineRule="auto"/>
      </w:pPr>
    </w:p>
    <w:p w14:paraId="6FA32592" w14:textId="77777777" w:rsidR="00474FA4" w:rsidRPr="00474FA4" w:rsidRDefault="00474FA4" w:rsidP="00474FA4">
      <w:pPr>
        <w:spacing w:after="0" w:line="240" w:lineRule="auto"/>
        <w:ind w:left="360"/>
      </w:pPr>
      <w:r>
        <w:t>42 CFR 50, Subpart F; 45 CFR 94; Association of American Universities and Association of American Medical Colleges “Protecting Patients, Preserving Integrity, Advancing Health: Accelerating the Implementation of COI Policies in Human Subjects” (02/08); The Ohio State University Wexner Medical Center “Vendor Interaction Policy” (05/18/17)</w:t>
      </w:r>
    </w:p>
    <w:p w14:paraId="60E556A9" w14:textId="77777777" w:rsidR="00474FA4" w:rsidRPr="00474FA4" w:rsidRDefault="00474FA4" w:rsidP="00474FA4">
      <w:pPr>
        <w:spacing w:after="0" w:line="240" w:lineRule="auto"/>
        <w:ind w:left="360"/>
      </w:pPr>
    </w:p>
    <w:p w14:paraId="593A7EB7" w14:textId="77777777" w:rsidR="00474FA4" w:rsidRPr="00474FA4" w:rsidRDefault="00474FA4" w:rsidP="00A07209">
      <w:pPr>
        <w:numPr>
          <w:ilvl w:val="0"/>
          <w:numId w:val="51"/>
        </w:numPr>
        <w:spacing w:after="0" w:line="240" w:lineRule="auto"/>
        <w:ind w:left="360"/>
        <w:rPr>
          <w:b/>
        </w:rPr>
      </w:pPr>
      <w:r>
        <w:rPr>
          <w:b/>
        </w:rPr>
        <w:t>History</w:t>
      </w:r>
    </w:p>
    <w:p w14:paraId="341C0CD8" w14:textId="77777777" w:rsidR="00474FA4" w:rsidRPr="00474FA4" w:rsidRDefault="00474FA4" w:rsidP="00474FA4">
      <w:pPr>
        <w:spacing w:after="0" w:line="240" w:lineRule="auto"/>
        <w:rPr>
          <w:b/>
        </w:rPr>
      </w:pPr>
    </w:p>
    <w:p w14:paraId="3325968F" w14:textId="77777777" w:rsidR="00474FA4" w:rsidRPr="00474FA4" w:rsidRDefault="00474FA4" w:rsidP="00474FA4">
      <w:pPr>
        <w:spacing w:after="0" w:line="240" w:lineRule="auto"/>
        <w:ind w:left="360"/>
      </w:pPr>
      <w:r>
        <w:t>Issued: 03/19/2012 IRB Policy Committee, 03/29/2012 COI Advisory Committee</w:t>
      </w:r>
    </w:p>
    <w:p w14:paraId="440DA87E" w14:textId="77777777" w:rsidR="00474FA4" w:rsidRPr="00474FA4" w:rsidRDefault="00474FA4" w:rsidP="00474FA4">
      <w:pPr>
        <w:spacing w:after="0" w:line="240" w:lineRule="auto"/>
        <w:ind w:left="360"/>
      </w:pPr>
      <w:r>
        <w:t>Edited: 10/17/2016, 05/01/2019, 01/14/2022, 04/20/2022</w:t>
      </w:r>
    </w:p>
    <w:p w14:paraId="5B05BA9F" w14:textId="77777777" w:rsidR="004F62DC" w:rsidRDefault="004F62DC">
      <w:pPr>
        <w:rPr>
          <w:b/>
        </w:rPr>
      </w:pPr>
      <w:r>
        <w:rPr>
          <w:b/>
        </w:rPr>
        <w:br w:type="page"/>
      </w:r>
    </w:p>
    <w:p w14:paraId="05D53F3B" w14:textId="77777777" w:rsidR="00474FA4" w:rsidRPr="00474FA4" w:rsidRDefault="26DF661C" w:rsidP="00F2286B">
      <w:pPr>
        <w:pStyle w:val="Heading2"/>
      </w:pPr>
      <w:bookmarkStart w:id="229" w:name="_Toc98020258"/>
      <w:bookmarkStart w:id="230" w:name="B3"/>
      <w:bookmarkStart w:id="231" w:name="_Toc212142200"/>
      <w:bookmarkStart w:id="232" w:name="_Toc225507740"/>
      <w:r>
        <w:lastRenderedPageBreak/>
        <w:t>Appendix B-3</w:t>
      </w:r>
      <w:bookmarkEnd w:id="229"/>
      <w:r>
        <w:t xml:space="preserve">  </w:t>
      </w:r>
      <w:bookmarkEnd w:id="230"/>
      <w:r>
        <w:tab/>
      </w:r>
      <w:r>
        <w:rPr>
          <w:smallCaps/>
        </w:rPr>
        <w:t>Noncompliance</w:t>
      </w:r>
      <w:bookmarkEnd w:id="231"/>
      <w:bookmarkEnd w:id="232"/>
    </w:p>
    <w:p w14:paraId="60E76943" w14:textId="77777777" w:rsidR="00474FA4" w:rsidRPr="00474FA4" w:rsidRDefault="00474FA4" w:rsidP="00076836">
      <w:pPr>
        <w:pStyle w:val="Heading2"/>
        <w:jc w:val="center"/>
      </w:pPr>
    </w:p>
    <w:p w14:paraId="28BE1D56" w14:textId="77777777" w:rsidR="00474FA4" w:rsidRPr="00474FA4" w:rsidRDefault="00474FA4" w:rsidP="00A07209">
      <w:pPr>
        <w:numPr>
          <w:ilvl w:val="1"/>
          <w:numId w:val="36"/>
        </w:numPr>
        <w:tabs>
          <w:tab w:val="clear" w:pos="792"/>
          <w:tab w:val="num" w:pos="360"/>
          <w:tab w:val="num" w:pos="720"/>
        </w:tabs>
        <w:spacing w:after="0" w:line="240" w:lineRule="auto"/>
        <w:ind w:left="360"/>
        <w:rPr>
          <w:b/>
          <w:smallCaps/>
        </w:rPr>
      </w:pPr>
      <w:r>
        <w:rPr>
          <w:b/>
        </w:rPr>
        <w:t>Overview</w:t>
      </w:r>
    </w:p>
    <w:p w14:paraId="20783899" w14:textId="77777777" w:rsidR="00474FA4" w:rsidRPr="00474FA4" w:rsidRDefault="00474FA4" w:rsidP="00474FA4">
      <w:pPr>
        <w:spacing w:after="0" w:line="240" w:lineRule="auto"/>
        <w:ind w:left="360"/>
        <w:rPr>
          <w:b/>
          <w:smallCaps/>
        </w:rPr>
      </w:pPr>
    </w:p>
    <w:p w14:paraId="3F1FFC94" w14:textId="77777777" w:rsidR="00474FA4" w:rsidRPr="00474FA4" w:rsidRDefault="00474FA4" w:rsidP="00474FA4">
      <w:pPr>
        <w:spacing w:after="0" w:line="240" w:lineRule="auto"/>
        <w:ind w:left="360"/>
      </w:pPr>
      <w:r>
        <w:t>Investigators, research staff, the IRBs, Office of Responsible Research Practices (ORRP), and the organization share responsibility for the ethical conduct of human subjects research and for compliance with federal regulations, applicable state and local laws, and university policy. The Ohio State University encourages all faculty, staff, students, and volunteers, acting in good faith, to report suspected or actual wrongful conduct associated with human subjects research.</w:t>
      </w:r>
    </w:p>
    <w:p w14:paraId="4929A00B" w14:textId="77777777" w:rsidR="00474FA4" w:rsidRPr="00474FA4" w:rsidRDefault="00474FA4" w:rsidP="00474FA4">
      <w:pPr>
        <w:spacing w:after="0" w:line="240" w:lineRule="auto"/>
        <w:rPr>
          <w:b/>
          <w:smallCaps/>
        </w:rPr>
      </w:pPr>
    </w:p>
    <w:p w14:paraId="5CED9D83" w14:textId="77777777" w:rsidR="00474FA4" w:rsidRPr="00474FA4" w:rsidRDefault="00474FA4" w:rsidP="00A07209">
      <w:pPr>
        <w:numPr>
          <w:ilvl w:val="1"/>
          <w:numId w:val="36"/>
        </w:numPr>
        <w:tabs>
          <w:tab w:val="clear" w:pos="792"/>
          <w:tab w:val="num" w:pos="360"/>
          <w:tab w:val="num" w:pos="720"/>
        </w:tabs>
        <w:spacing w:after="0" w:line="240" w:lineRule="auto"/>
        <w:ind w:left="360" w:hanging="342"/>
        <w:rPr>
          <w:b/>
          <w:smallCaps/>
        </w:rPr>
      </w:pPr>
      <w:r>
        <w:rPr>
          <w:b/>
        </w:rPr>
        <w:t>Definitions</w:t>
      </w:r>
    </w:p>
    <w:p w14:paraId="22C08A6D" w14:textId="77777777" w:rsidR="00474FA4" w:rsidRPr="00474FA4" w:rsidRDefault="00474FA4" w:rsidP="00474FA4">
      <w:pPr>
        <w:spacing w:after="0" w:line="240" w:lineRule="auto"/>
        <w:rPr>
          <w:b/>
          <w:u w:val="single"/>
        </w:rPr>
      </w:pPr>
    </w:p>
    <w:p w14:paraId="4F8B3749" w14:textId="77777777" w:rsidR="00474FA4" w:rsidRPr="00474FA4" w:rsidRDefault="00474FA4" w:rsidP="00474FA4">
      <w:pPr>
        <w:spacing w:after="0" w:line="240" w:lineRule="auto"/>
        <w:ind w:left="360"/>
      </w:pPr>
      <w:r>
        <w:rPr>
          <w:b/>
        </w:rPr>
        <w:t xml:space="preserve">Noncompliance: </w:t>
      </w:r>
      <w:r>
        <w:t>Failure (intentional or unintentional) to comply with applicable federal regulations, state or local laws, the requirements or determinations of the IRB, or university policy regarding research involving human subjects. Noncompliance can result from action or omission. Noncompliance may be non-serious (minor) or serious, and may also be continuing (see below).</w:t>
      </w:r>
    </w:p>
    <w:p w14:paraId="2AD4D47F" w14:textId="77777777" w:rsidR="00474FA4" w:rsidRPr="00474FA4" w:rsidRDefault="00474FA4" w:rsidP="00474FA4">
      <w:pPr>
        <w:spacing w:after="0" w:line="240" w:lineRule="auto"/>
        <w:ind w:left="360"/>
        <w:rPr>
          <w:b/>
        </w:rPr>
      </w:pPr>
    </w:p>
    <w:p w14:paraId="41E8D1F8" w14:textId="77777777" w:rsidR="00474FA4" w:rsidRPr="00474FA4" w:rsidRDefault="00474FA4" w:rsidP="00474FA4">
      <w:pPr>
        <w:spacing w:after="0" w:line="240" w:lineRule="auto"/>
        <w:ind w:left="360"/>
      </w:pPr>
      <w:r>
        <w:rPr>
          <w:b/>
        </w:rPr>
        <w:t xml:space="preserve">Non-serious or minor noncompliance: </w:t>
      </w:r>
      <w:r>
        <w:t>Noncompliance that does not increase risk to research participants, compromise participants’ rights or welfare, or affect the integrity of the research/data or the human research protection program. Examples of minor noncompliance may include, but are not limited to the following: lapses in continuing IRB approval, failure to obtain exempt determination before exempt research involving human subjects is conducted, minor changes in or deviations from an approved protocol, or administrative errors.</w:t>
      </w:r>
    </w:p>
    <w:p w14:paraId="1BCBFC06" w14:textId="77777777" w:rsidR="00474FA4" w:rsidRPr="00474FA4" w:rsidRDefault="00474FA4" w:rsidP="00474FA4">
      <w:pPr>
        <w:spacing w:after="0" w:line="240" w:lineRule="auto"/>
        <w:ind w:left="360"/>
        <w:rPr>
          <w:b/>
        </w:rPr>
      </w:pPr>
    </w:p>
    <w:p w14:paraId="7B903F5A" w14:textId="77777777" w:rsidR="00474FA4" w:rsidRPr="00474FA4" w:rsidRDefault="00474FA4" w:rsidP="00474FA4">
      <w:pPr>
        <w:spacing w:after="0" w:line="240" w:lineRule="auto"/>
        <w:ind w:left="360"/>
      </w:pPr>
      <w:r>
        <w:rPr>
          <w:b/>
        </w:rPr>
        <w:t xml:space="preserve">Serious noncompliance: </w:t>
      </w:r>
      <w:r>
        <w:t>Noncompliance that increases risk to research participants, compromises participants’ rights or welfare, or affects the integrity of the research/data or the human research protection program. Examples of serious noncompliance may include but are not limited to the following: conducting or continuing non-exempt human subjects research without IRB approval; lack of legally effective informed consent from research participants; failure to report or review serious adverse events, unanticipated problems, or substantive changes in research; or inappropriate oversight of the research to ensure the safety of human subjects and the integrity of the research/data.</w:t>
      </w:r>
    </w:p>
    <w:p w14:paraId="67DB6358" w14:textId="77777777" w:rsidR="00474FA4" w:rsidRPr="00474FA4" w:rsidRDefault="00474FA4" w:rsidP="00474FA4">
      <w:pPr>
        <w:spacing w:after="0" w:line="240" w:lineRule="auto"/>
        <w:ind w:left="360"/>
        <w:rPr>
          <w:b/>
        </w:rPr>
      </w:pPr>
    </w:p>
    <w:p w14:paraId="667F065A" w14:textId="77777777" w:rsidR="00474FA4" w:rsidRPr="00474FA4" w:rsidRDefault="00474FA4" w:rsidP="00474FA4">
      <w:pPr>
        <w:spacing w:after="0" w:line="240" w:lineRule="auto"/>
        <w:ind w:left="360"/>
      </w:pPr>
      <w:r>
        <w:rPr>
          <w:b/>
        </w:rPr>
        <w:t xml:space="preserve">Continuing noncompliance: </w:t>
      </w:r>
      <w:r>
        <w:t>Noncompliance (serious or non-serious) that has been previously reported, or a pattern of ongoing activities that indicate a lack of understanding of human subjects protection requirements that may affect research participants or the validity of the research and suggest the potential for future noncompliance without intervention. Examples of continuing noncompliance may include but are not limited to the following: repeated failures to provide or review progress reports resulting in lapses of IRB approval, inadequate oversight of ongoing research, or failure to respond to or resolve previous allegations or findings of noncompliance.</w:t>
      </w:r>
    </w:p>
    <w:p w14:paraId="32238D4D" w14:textId="77777777" w:rsidR="00474FA4" w:rsidRPr="00474FA4" w:rsidRDefault="00474FA4" w:rsidP="00474FA4">
      <w:pPr>
        <w:spacing w:after="0" w:line="240" w:lineRule="auto"/>
        <w:ind w:left="360"/>
      </w:pPr>
    </w:p>
    <w:p w14:paraId="18F09E50" w14:textId="77777777" w:rsidR="00474FA4" w:rsidRPr="00474FA4" w:rsidRDefault="00474FA4" w:rsidP="00474FA4">
      <w:pPr>
        <w:spacing w:after="0" w:line="240" w:lineRule="auto"/>
        <w:ind w:left="360"/>
      </w:pPr>
      <w:r>
        <w:rPr>
          <w:b/>
        </w:rPr>
        <w:t xml:space="preserve">Allegation of noncompliance: </w:t>
      </w:r>
      <w:r>
        <w:t>An unconfirmed report of noncompliance.</w:t>
      </w:r>
    </w:p>
    <w:p w14:paraId="61F626A5" w14:textId="77777777" w:rsidR="00474FA4" w:rsidRPr="00474FA4" w:rsidRDefault="00474FA4" w:rsidP="00474FA4">
      <w:pPr>
        <w:spacing w:after="0" w:line="240" w:lineRule="auto"/>
        <w:ind w:left="360"/>
      </w:pPr>
    </w:p>
    <w:p w14:paraId="3B358200" w14:textId="77777777" w:rsidR="00474FA4" w:rsidRPr="00474FA4" w:rsidRDefault="00474FA4" w:rsidP="00474FA4">
      <w:pPr>
        <w:spacing w:after="0" w:line="240" w:lineRule="auto"/>
        <w:ind w:left="360"/>
      </w:pPr>
      <w:r>
        <w:rPr>
          <w:b/>
        </w:rPr>
        <w:t xml:space="preserve">Finding of noncompliance: </w:t>
      </w:r>
      <w:r>
        <w:t>An occurrence or determination of noncompliance that does not require further confirmation or investigation (e.g., failure to respond to the IRB within established deadlines, allegation of noncompliance determined by the IRB to be true).</w:t>
      </w:r>
    </w:p>
    <w:p w14:paraId="0EC90FB9" w14:textId="77777777" w:rsidR="00474FA4" w:rsidRPr="00474FA4" w:rsidRDefault="00474FA4" w:rsidP="00474FA4">
      <w:pPr>
        <w:spacing w:after="0" w:line="240" w:lineRule="auto"/>
        <w:ind w:left="360"/>
      </w:pPr>
    </w:p>
    <w:p w14:paraId="526CD7E4" w14:textId="77777777" w:rsidR="00474FA4" w:rsidRPr="00474FA4" w:rsidRDefault="00474FA4" w:rsidP="00A07209">
      <w:pPr>
        <w:numPr>
          <w:ilvl w:val="1"/>
          <w:numId w:val="36"/>
        </w:numPr>
        <w:tabs>
          <w:tab w:val="clear" w:pos="792"/>
          <w:tab w:val="num" w:pos="360"/>
          <w:tab w:val="num" w:pos="720"/>
        </w:tabs>
        <w:spacing w:after="0" w:line="240" w:lineRule="auto"/>
        <w:ind w:left="360"/>
        <w:rPr>
          <w:u w:val="single"/>
        </w:rPr>
      </w:pPr>
      <w:r>
        <w:rPr>
          <w:b/>
        </w:rPr>
        <w:t>Handling Allegations and Findings of Noncompliance</w:t>
      </w:r>
    </w:p>
    <w:p w14:paraId="34A31BB2" w14:textId="77777777" w:rsidR="00474FA4" w:rsidRPr="00474FA4" w:rsidRDefault="00474FA4" w:rsidP="00474FA4">
      <w:pPr>
        <w:spacing w:after="0" w:line="240" w:lineRule="auto"/>
        <w:ind w:left="360"/>
      </w:pPr>
    </w:p>
    <w:p w14:paraId="706A5BA5" w14:textId="77777777" w:rsidR="00474FA4" w:rsidRPr="00474FA4" w:rsidRDefault="00474FA4" w:rsidP="00474FA4">
      <w:pPr>
        <w:spacing w:after="0" w:line="240" w:lineRule="auto"/>
        <w:ind w:left="360"/>
      </w:pPr>
      <w:r>
        <w:t xml:space="preserve">Allegations of noncompliance should be forwarded to the Office of Responsible Research Practices. ORRP staff will process all allegations and findings of noncompliance, whether these reports arise internally (e.g., from faculty, staff, ORRP staff, IRB members, or investigator self-reports) or from outside the university (e.g., research participants or regulators). Allegations of noncompliance will remain confidential to the extent permitted by Ohio law, consistent with the need to conduct an adequate investigation. The university will take reasonable steps to protect persons who file reports in good faith from retaliatory actions based on such filing, in accordance with state law and </w:t>
      </w:r>
      <w:hyperlink r:id="rId97" w:history="1">
        <w:r>
          <w:rPr>
            <w:color w:val="0000FF"/>
            <w:u w:val="single"/>
          </w:rPr>
          <w:t>The Ohio State University Whistleblower Policy 1.40</w:t>
        </w:r>
      </w:hyperlink>
      <w:r>
        <w:t>.</w:t>
      </w:r>
    </w:p>
    <w:p w14:paraId="3B4ABCEE" w14:textId="77777777" w:rsidR="00474FA4" w:rsidRPr="00474FA4" w:rsidRDefault="00474FA4" w:rsidP="00474FA4">
      <w:pPr>
        <w:spacing w:after="0" w:line="240" w:lineRule="auto"/>
        <w:ind w:left="360"/>
      </w:pPr>
    </w:p>
    <w:p w14:paraId="3D3ED732" w14:textId="77777777" w:rsidR="00474FA4" w:rsidRPr="00474FA4" w:rsidRDefault="00474FA4" w:rsidP="00474FA4">
      <w:pPr>
        <w:spacing w:after="0" w:line="240" w:lineRule="auto"/>
        <w:ind w:left="360"/>
      </w:pPr>
      <w:r>
        <w:t>Actions undertaken in response to an allegation or finding of noncompliance will be completed in a timely manner, based on the circumstances and seriousness of the potential noncompliance. Under federal regulations, the IRB has the authority to suspend or terminate approval of research that is not being conducted in accordance with the IRB's requirements or that has been associated with unexpected serious harm to subjects. The IRB chair or vice chair, IRB Investigative Subcommittee, or IRB may suspend or terminate approval of an investigator’s research and/or secure critical documents at any time during or following an inquiry or investigation if necessary to assure the protection of research participants. The Office of Research will assure that the necessary resources are available to conduct a thorough review of all noncompliance.</w:t>
      </w:r>
    </w:p>
    <w:p w14:paraId="2ED25FBF" w14:textId="77777777" w:rsidR="00474FA4" w:rsidRPr="00474FA4" w:rsidRDefault="00474FA4" w:rsidP="00474FA4">
      <w:pPr>
        <w:spacing w:after="0" w:line="240" w:lineRule="auto"/>
      </w:pPr>
    </w:p>
    <w:p w14:paraId="57B00045" w14:textId="77777777" w:rsidR="00474FA4" w:rsidRPr="00474FA4" w:rsidRDefault="00474FA4" w:rsidP="00A07209">
      <w:pPr>
        <w:numPr>
          <w:ilvl w:val="2"/>
          <w:numId w:val="82"/>
        </w:numPr>
        <w:tabs>
          <w:tab w:val="num" w:pos="720"/>
        </w:tabs>
        <w:spacing w:after="0" w:line="240" w:lineRule="auto"/>
        <w:ind w:left="720" w:hanging="360"/>
        <w:rPr>
          <w:b/>
        </w:rPr>
      </w:pPr>
      <w:r>
        <w:rPr>
          <w:b/>
        </w:rPr>
        <w:t>Initial Inquiry</w:t>
      </w:r>
    </w:p>
    <w:p w14:paraId="160747C3" w14:textId="77777777" w:rsidR="00474FA4" w:rsidRPr="00474FA4" w:rsidRDefault="00474FA4" w:rsidP="00474FA4">
      <w:pPr>
        <w:spacing w:after="0" w:line="240" w:lineRule="auto"/>
      </w:pPr>
    </w:p>
    <w:p w14:paraId="3058BE83" w14:textId="77777777" w:rsidR="00474FA4" w:rsidRPr="00474FA4" w:rsidRDefault="00474FA4" w:rsidP="00A07209">
      <w:pPr>
        <w:numPr>
          <w:ilvl w:val="0"/>
          <w:numId w:val="87"/>
        </w:numPr>
        <w:spacing w:after="0" w:line="240" w:lineRule="auto"/>
        <w:ind w:left="1080"/>
      </w:pPr>
      <w:r>
        <w:t xml:space="preserve">ORRP staff will consult with the chair or vice chair of the IRB responsible for reviewing the research, and as necessary university counsel, on all allegations or findings of noncompliance. Any individual with a potential conflict of interest may not participate in the initial inquiry. The principal investigator (PI) and co-investigator(s), as applicable, may be informed of an allegation of noncompliance or contacted for a response during the initial inquiry. </w:t>
      </w:r>
    </w:p>
    <w:p w14:paraId="579163AE" w14:textId="77777777" w:rsidR="00474FA4" w:rsidRPr="00474FA4" w:rsidRDefault="00474FA4" w:rsidP="00474FA4">
      <w:pPr>
        <w:spacing w:after="0" w:line="240" w:lineRule="auto"/>
        <w:ind w:left="1080"/>
      </w:pPr>
    </w:p>
    <w:p w14:paraId="7FA9FDF9" w14:textId="77777777" w:rsidR="00474FA4" w:rsidRPr="00474FA4" w:rsidRDefault="00474FA4" w:rsidP="00474FA4">
      <w:pPr>
        <w:spacing w:after="0" w:line="240" w:lineRule="auto"/>
        <w:ind w:left="1080"/>
      </w:pPr>
      <w:r>
        <w:rPr>
          <w:i/>
        </w:rPr>
        <w:t>Note: Minor noncompliance determinations may be made during expedited IRB review; however, serious and/or continuing noncompliance allegations identified during expedited IRB review will be forwarded to the IRB chair or vice chair for further consideration.</w:t>
      </w:r>
      <w:r>
        <w:t xml:space="preserve"> </w:t>
      </w:r>
    </w:p>
    <w:p w14:paraId="37812BA6" w14:textId="77777777" w:rsidR="00474FA4" w:rsidRPr="00474FA4" w:rsidRDefault="00474FA4" w:rsidP="00474FA4">
      <w:pPr>
        <w:spacing w:after="0" w:line="240" w:lineRule="auto"/>
        <w:ind w:left="720"/>
      </w:pPr>
    </w:p>
    <w:p w14:paraId="7174523F" w14:textId="77777777" w:rsidR="00474FA4" w:rsidRPr="00474FA4" w:rsidRDefault="00474FA4" w:rsidP="00A07209">
      <w:pPr>
        <w:numPr>
          <w:ilvl w:val="0"/>
          <w:numId w:val="87"/>
        </w:numPr>
        <w:spacing w:after="60" w:line="240" w:lineRule="auto"/>
        <w:ind w:left="1080"/>
      </w:pPr>
      <w:r>
        <w:t>Possible outcomes of the initial inquiry include:</w:t>
      </w:r>
    </w:p>
    <w:p w14:paraId="16843E04" w14:textId="77777777" w:rsidR="00474FA4" w:rsidRPr="00474FA4" w:rsidRDefault="00474FA4" w:rsidP="00A07209">
      <w:pPr>
        <w:numPr>
          <w:ilvl w:val="0"/>
          <w:numId w:val="57"/>
        </w:numPr>
        <w:tabs>
          <w:tab w:val="num" w:pos="1800"/>
        </w:tabs>
        <w:spacing w:after="60" w:line="240" w:lineRule="auto"/>
        <w:ind w:left="1800"/>
      </w:pPr>
      <w:r>
        <w:t>Dismissal of the allegation (i.e., unsubstantiated)</w:t>
      </w:r>
    </w:p>
    <w:p w14:paraId="6A4BCE22" w14:textId="77777777" w:rsidR="00474FA4" w:rsidRPr="00474FA4" w:rsidRDefault="00474FA4" w:rsidP="00A07209">
      <w:pPr>
        <w:numPr>
          <w:ilvl w:val="0"/>
          <w:numId w:val="57"/>
        </w:numPr>
        <w:tabs>
          <w:tab w:val="num" w:pos="1800"/>
        </w:tabs>
        <w:spacing w:after="60" w:line="240" w:lineRule="auto"/>
        <w:ind w:left="1800"/>
      </w:pPr>
      <w:r>
        <w:t>Referral to other appropriate university process (e.g., misconduct review)</w:t>
      </w:r>
    </w:p>
    <w:p w14:paraId="792FCE68" w14:textId="77777777" w:rsidR="00474FA4" w:rsidRPr="00474FA4" w:rsidRDefault="00474FA4" w:rsidP="00A07209">
      <w:pPr>
        <w:numPr>
          <w:ilvl w:val="0"/>
          <w:numId w:val="57"/>
        </w:numPr>
        <w:tabs>
          <w:tab w:val="num" w:pos="1800"/>
        </w:tabs>
        <w:spacing w:after="60" w:line="240" w:lineRule="auto"/>
        <w:ind w:left="1800"/>
      </w:pPr>
      <w:r>
        <w:t>No further action required (i.e., for minor violations)</w:t>
      </w:r>
    </w:p>
    <w:p w14:paraId="3A0E66BD" w14:textId="77777777" w:rsidR="00474FA4" w:rsidRPr="00474FA4" w:rsidRDefault="00474FA4" w:rsidP="00A07209">
      <w:pPr>
        <w:numPr>
          <w:ilvl w:val="0"/>
          <w:numId w:val="57"/>
        </w:numPr>
        <w:tabs>
          <w:tab w:val="num" w:pos="1800"/>
        </w:tabs>
        <w:spacing w:after="60" w:line="240" w:lineRule="auto"/>
        <w:ind w:left="1800"/>
      </w:pPr>
      <w:r>
        <w:t>Corrective action(s) recommended (i.e., for minor violations)</w:t>
      </w:r>
    </w:p>
    <w:p w14:paraId="55883D58" w14:textId="77777777" w:rsidR="00474FA4" w:rsidRPr="00474FA4" w:rsidRDefault="00474FA4" w:rsidP="00A07209">
      <w:pPr>
        <w:numPr>
          <w:ilvl w:val="0"/>
          <w:numId w:val="57"/>
        </w:numPr>
        <w:tabs>
          <w:tab w:val="num" w:pos="1800"/>
        </w:tabs>
        <w:spacing w:after="60" w:line="240" w:lineRule="auto"/>
        <w:ind w:left="1800"/>
      </w:pPr>
      <w:r>
        <w:t>Review by convened IRB required (i.e., noncompliance may be serious and/or continuing but further investigation is not needed)</w:t>
      </w:r>
    </w:p>
    <w:p w14:paraId="66A64D41" w14:textId="77777777" w:rsidR="00474FA4" w:rsidRPr="00474FA4" w:rsidRDefault="00474FA4" w:rsidP="00A07209">
      <w:pPr>
        <w:numPr>
          <w:ilvl w:val="0"/>
          <w:numId w:val="57"/>
        </w:numPr>
        <w:tabs>
          <w:tab w:val="num" w:pos="1800"/>
        </w:tabs>
        <w:spacing w:after="120" w:line="240" w:lineRule="auto"/>
        <w:ind w:left="1800"/>
      </w:pPr>
      <w:r>
        <w:t>Referral to the IRB Investigative Subcommittee</w:t>
      </w:r>
    </w:p>
    <w:p w14:paraId="14EEB339" w14:textId="77777777" w:rsidR="00474FA4" w:rsidRPr="00474FA4" w:rsidRDefault="00474FA4" w:rsidP="00A07209">
      <w:pPr>
        <w:numPr>
          <w:ilvl w:val="0"/>
          <w:numId w:val="57"/>
        </w:numPr>
        <w:tabs>
          <w:tab w:val="num" w:pos="1800"/>
        </w:tabs>
        <w:spacing w:after="120" w:line="240" w:lineRule="auto"/>
        <w:ind w:left="1800"/>
      </w:pPr>
      <w:r>
        <w:t>Further investigation required</w:t>
      </w:r>
    </w:p>
    <w:p w14:paraId="245E47CF" w14:textId="77777777" w:rsidR="00474FA4" w:rsidRPr="00474FA4" w:rsidRDefault="00474FA4" w:rsidP="00474FA4">
      <w:pPr>
        <w:tabs>
          <w:tab w:val="left" w:pos="270"/>
          <w:tab w:val="left" w:pos="1080"/>
        </w:tabs>
        <w:spacing w:after="0" w:line="240" w:lineRule="auto"/>
        <w:ind w:left="1080"/>
      </w:pPr>
      <w:r>
        <w:t>Further investigation will be undertaken when the results of the initial inquiry indicate that additional fact-finding is required to assess the alleged or reported noncompliance.</w:t>
      </w:r>
    </w:p>
    <w:p w14:paraId="4FF58938" w14:textId="77777777" w:rsidR="00474FA4" w:rsidRPr="00474FA4" w:rsidRDefault="00474FA4" w:rsidP="00474FA4">
      <w:pPr>
        <w:tabs>
          <w:tab w:val="left" w:pos="270"/>
          <w:tab w:val="left" w:pos="1170"/>
        </w:tabs>
        <w:spacing w:after="0" w:line="240" w:lineRule="auto"/>
        <w:ind w:left="720"/>
      </w:pPr>
    </w:p>
    <w:p w14:paraId="199E0BF4" w14:textId="77777777" w:rsidR="00474FA4" w:rsidRPr="00474FA4" w:rsidRDefault="00474FA4" w:rsidP="00A07209">
      <w:pPr>
        <w:numPr>
          <w:ilvl w:val="0"/>
          <w:numId w:val="87"/>
        </w:numPr>
        <w:spacing w:after="0" w:line="240" w:lineRule="auto"/>
        <w:ind w:left="1080"/>
      </w:pPr>
      <w:r>
        <w:t>When further investigation or convened IRB review is not warranted (e.g., dismissal of the allegation or minor violations), the investigator(s) will be notified in writing of the allegation/finding of noncompliance and the outcome of the initial inquiry including required corrective actions, as applicable. The institutional official, investigator(s)’ dean, department chair (or equivalent), and/or research collaborators may also be informed, at the discretion of the IRB chair or vice chair. Notification will be sent to the person(s) originating the report of noncompliance, as applicable. In some cases, the convened IRB or IPC may be asked to recommend corrective actions. Suspended IRB approval may be reinstated, as appropriate, based on the outcome of the initial inquiry and the response of the investigator(s). Reinstatement of IRB approval(s) will be reported by ORRP staff to those previously informed of the suspension (i.e., Institutional Official, OHRP, any other sponsoring federal department or agency, etc.) and others (e.g., Office of Sponsored Programs), as necessary.</w:t>
      </w:r>
    </w:p>
    <w:p w14:paraId="5F3D449D" w14:textId="77777777" w:rsidR="00474FA4" w:rsidRPr="00474FA4" w:rsidRDefault="00474FA4" w:rsidP="00474FA4">
      <w:pPr>
        <w:tabs>
          <w:tab w:val="left" w:pos="270"/>
          <w:tab w:val="left" w:pos="1170"/>
        </w:tabs>
        <w:spacing w:after="0" w:line="240" w:lineRule="auto"/>
      </w:pPr>
    </w:p>
    <w:p w14:paraId="4C7E24FC" w14:textId="77777777" w:rsidR="00474FA4" w:rsidRPr="00474FA4" w:rsidRDefault="00474FA4" w:rsidP="00A07209">
      <w:pPr>
        <w:numPr>
          <w:ilvl w:val="0"/>
          <w:numId w:val="87"/>
        </w:numPr>
        <w:tabs>
          <w:tab w:val="left" w:pos="270"/>
          <w:tab w:val="left" w:pos="1080"/>
        </w:tabs>
        <w:spacing w:after="0" w:line="240" w:lineRule="auto"/>
        <w:ind w:left="1080"/>
      </w:pPr>
      <w:r>
        <w:t>If the investigator(s) is contacted for a response during the initial inquiry, a written response will be requested. If the potential noncompliance is reviewed by the convened IRB, the PI and co-investigator(s) may respond in person at the meeting during which the review will take place. A personal advisor or legal counsel may accompany the investigator(s), but the advisor or legal counsel may not participate in the discussion.</w:t>
      </w:r>
    </w:p>
    <w:p w14:paraId="1E5DAB3F" w14:textId="77777777" w:rsidR="00474FA4" w:rsidRPr="00474FA4" w:rsidRDefault="00474FA4" w:rsidP="00474FA4">
      <w:pPr>
        <w:tabs>
          <w:tab w:val="left" w:pos="270"/>
          <w:tab w:val="left" w:pos="1170"/>
        </w:tabs>
        <w:spacing w:after="0" w:line="240" w:lineRule="auto"/>
        <w:ind w:left="720"/>
      </w:pPr>
    </w:p>
    <w:p w14:paraId="0A7F3F3F" w14:textId="77777777" w:rsidR="00474FA4" w:rsidRPr="00474FA4" w:rsidRDefault="00474FA4" w:rsidP="00A07209">
      <w:pPr>
        <w:numPr>
          <w:ilvl w:val="0"/>
          <w:numId w:val="87"/>
        </w:numPr>
        <w:tabs>
          <w:tab w:val="left" w:pos="270"/>
          <w:tab w:val="left" w:pos="1080"/>
        </w:tabs>
        <w:spacing w:after="0" w:line="240" w:lineRule="auto"/>
        <w:ind w:left="1080"/>
      </w:pPr>
      <w:r>
        <w:t>Initial inquiries will be completed promptly; however, the timing is dependent on the finding of noncompliance and on the nature of the potential noncompliance.</w:t>
      </w:r>
    </w:p>
    <w:p w14:paraId="4EA9FF92" w14:textId="77777777" w:rsidR="00474FA4" w:rsidRPr="00474FA4" w:rsidRDefault="00474FA4" w:rsidP="00474FA4">
      <w:pPr>
        <w:spacing w:after="0" w:line="240" w:lineRule="auto"/>
      </w:pPr>
    </w:p>
    <w:p w14:paraId="6ABE59E8" w14:textId="77777777" w:rsidR="00474FA4" w:rsidRPr="00474FA4" w:rsidRDefault="00474FA4" w:rsidP="00A07209">
      <w:pPr>
        <w:numPr>
          <w:ilvl w:val="2"/>
          <w:numId w:val="83"/>
        </w:numPr>
        <w:tabs>
          <w:tab w:val="left" w:pos="270"/>
          <w:tab w:val="num" w:pos="720"/>
        </w:tabs>
        <w:spacing w:after="0" w:line="240" w:lineRule="auto"/>
        <w:ind w:left="720"/>
        <w:rPr>
          <w:b/>
        </w:rPr>
      </w:pPr>
      <w:r>
        <w:rPr>
          <w:b/>
        </w:rPr>
        <w:t>Investigation and Investigative Subcommittee</w:t>
      </w:r>
    </w:p>
    <w:p w14:paraId="238BF944" w14:textId="77777777" w:rsidR="00474FA4" w:rsidRPr="00474FA4" w:rsidRDefault="00474FA4" w:rsidP="00474FA4">
      <w:pPr>
        <w:spacing w:after="0" w:line="240" w:lineRule="auto"/>
      </w:pPr>
    </w:p>
    <w:p w14:paraId="4BE67354" w14:textId="77777777" w:rsidR="00474FA4" w:rsidRPr="00474FA4" w:rsidRDefault="00474FA4" w:rsidP="00A07209">
      <w:pPr>
        <w:numPr>
          <w:ilvl w:val="0"/>
          <w:numId w:val="88"/>
        </w:numPr>
        <w:spacing w:after="0" w:line="240" w:lineRule="auto"/>
        <w:ind w:left="1080"/>
      </w:pPr>
      <w:r>
        <w:t xml:space="preserve">The IRB chair may request that additional fact-finding be conducted by ORRP staff based upon the results of the initial inquiry and the nature of the potential noncompliance. </w:t>
      </w:r>
    </w:p>
    <w:p w14:paraId="62E33E3F" w14:textId="77777777" w:rsidR="00474FA4" w:rsidRPr="00474FA4" w:rsidRDefault="00474FA4" w:rsidP="00474FA4">
      <w:pPr>
        <w:spacing w:after="0" w:line="240" w:lineRule="auto"/>
        <w:ind w:left="1080"/>
      </w:pPr>
    </w:p>
    <w:p w14:paraId="42D7E3D5" w14:textId="77777777" w:rsidR="00474FA4" w:rsidRPr="00474FA4" w:rsidRDefault="00474FA4" w:rsidP="00A07209">
      <w:pPr>
        <w:numPr>
          <w:ilvl w:val="0"/>
          <w:numId w:val="88"/>
        </w:numPr>
        <w:tabs>
          <w:tab w:val="left" w:pos="270"/>
          <w:tab w:val="left" w:pos="1080"/>
        </w:tabs>
        <w:spacing w:after="0" w:line="240" w:lineRule="auto"/>
        <w:ind w:left="1080"/>
      </w:pPr>
      <w:r>
        <w:t>The IRB chair may also request that an Investigative Subcommittee of the IRB be formed to further investigate allegations or reports of noncompliance. The chair or vice chair of the IRB responsible for reviewing the research will chair the investigation, and the chairs or vice chairs or designees (member or alternate) of the other two Ohio State IRBs will compose the subcommittee. When research was reviewed externally or without any prior approval, the chair or vice chair with the appropriate expertise will chair the investigation. The subcommittee will be facilitated by ORRP staff and advised by university counsel as necessary. Any individual with a potential conflict of interest may not participate in the investigation. At least one IRB member should possess expertise appropriate for review of the potential noncompliance; additional IRB members or external consultants may also be included as determined necessary by the subcommittee chair. The Investigative Subcommittee will meet as necessary to ensure timely review of pending allegations.</w:t>
      </w:r>
    </w:p>
    <w:p w14:paraId="6F4C4043" w14:textId="77777777" w:rsidR="00474FA4" w:rsidRPr="00474FA4" w:rsidRDefault="00474FA4" w:rsidP="00474FA4">
      <w:pPr>
        <w:tabs>
          <w:tab w:val="left" w:pos="270"/>
          <w:tab w:val="left" w:pos="1080"/>
        </w:tabs>
        <w:spacing w:after="0" w:line="240" w:lineRule="auto"/>
        <w:ind w:left="720"/>
      </w:pPr>
    </w:p>
    <w:p w14:paraId="5B4A3B08" w14:textId="77777777" w:rsidR="00474FA4" w:rsidRPr="00474FA4" w:rsidRDefault="00474FA4" w:rsidP="00A07209">
      <w:pPr>
        <w:numPr>
          <w:ilvl w:val="0"/>
          <w:numId w:val="88"/>
        </w:numPr>
        <w:tabs>
          <w:tab w:val="left" w:pos="270"/>
          <w:tab w:val="left" w:pos="1080"/>
        </w:tabs>
        <w:spacing w:after="0" w:line="240" w:lineRule="auto"/>
        <w:ind w:left="1080"/>
      </w:pPr>
      <w:r>
        <w:t>The investigator(s) will be informed in writing of the allegation and further investigation. A written response will be requested, depending on the nature of the potential noncompliance, to facilitate review and conclusion of the investigation. The PI, research staff, or others may be interviewed and/or an audit of the investigator(s)’ research may be conducted during the investigation, as necessary.</w:t>
      </w:r>
    </w:p>
    <w:p w14:paraId="49C782F0" w14:textId="77777777" w:rsidR="00474FA4" w:rsidRPr="00474FA4" w:rsidRDefault="00474FA4" w:rsidP="00474FA4">
      <w:pPr>
        <w:tabs>
          <w:tab w:val="left" w:pos="270"/>
          <w:tab w:val="left" w:pos="1170"/>
        </w:tabs>
        <w:spacing w:after="0" w:line="240" w:lineRule="auto"/>
        <w:ind w:left="720"/>
      </w:pPr>
    </w:p>
    <w:p w14:paraId="05F713A6" w14:textId="77777777" w:rsidR="00474FA4" w:rsidRPr="00474FA4" w:rsidRDefault="00474FA4" w:rsidP="00A07209">
      <w:pPr>
        <w:numPr>
          <w:ilvl w:val="0"/>
          <w:numId w:val="88"/>
        </w:numPr>
        <w:tabs>
          <w:tab w:val="left" w:pos="270"/>
          <w:tab w:val="left" w:pos="1080"/>
        </w:tabs>
        <w:spacing w:after="0" w:line="240" w:lineRule="auto"/>
        <w:ind w:left="1080"/>
      </w:pPr>
      <w:r>
        <w:lastRenderedPageBreak/>
        <w:t>The Investigative Subcommittee will consider materials and recommendations from the initial inquiry, the investigator(s)’ response, and other information relevant to the investigation (e.g., interviews, audit reports, literature searches, etc.). A summary report that includes the allegation, information considered by the Investigative Subcommittee, and its conclusions and recommendations will be prepared.</w:t>
      </w:r>
    </w:p>
    <w:p w14:paraId="72B96E57" w14:textId="77777777" w:rsidR="00474FA4" w:rsidRPr="00474FA4" w:rsidRDefault="00474FA4" w:rsidP="00474FA4">
      <w:pPr>
        <w:tabs>
          <w:tab w:val="left" w:pos="270"/>
          <w:tab w:val="left" w:pos="1170"/>
        </w:tabs>
        <w:spacing w:after="0" w:line="240" w:lineRule="auto"/>
        <w:ind w:left="720"/>
      </w:pPr>
    </w:p>
    <w:p w14:paraId="4ECAF1CC" w14:textId="77777777" w:rsidR="00474FA4" w:rsidRPr="00474FA4" w:rsidRDefault="00474FA4" w:rsidP="00A07209">
      <w:pPr>
        <w:numPr>
          <w:ilvl w:val="0"/>
          <w:numId w:val="88"/>
        </w:numPr>
        <w:tabs>
          <w:tab w:val="left" w:pos="270"/>
          <w:tab w:val="left" w:pos="1080"/>
        </w:tabs>
        <w:spacing w:after="60" w:line="240" w:lineRule="auto"/>
        <w:ind w:left="1080"/>
      </w:pPr>
      <w:r>
        <w:t>Possible outcomes of the investigation as determined by the chair, vice chair, or IRB Investigative Subcommittee include:</w:t>
      </w:r>
    </w:p>
    <w:p w14:paraId="5AAAF20E" w14:textId="77777777" w:rsidR="00474FA4" w:rsidRPr="00474FA4" w:rsidRDefault="00474FA4" w:rsidP="00A07209">
      <w:pPr>
        <w:numPr>
          <w:ilvl w:val="0"/>
          <w:numId w:val="85"/>
        </w:numPr>
        <w:tabs>
          <w:tab w:val="num" w:pos="1440"/>
          <w:tab w:val="left" w:pos="1800"/>
        </w:tabs>
        <w:spacing w:after="60" w:line="240" w:lineRule="auto"/>
        <w:ind w:left="1800"/>
      </w:pPr>
      <w:r>
        <w:t>Dismissal of the allegation (i.e., unsubstantiated)</w:t>
      </w:r>
    </w:p>
    <w:p w14:paraId="6B14DFD8" w14:textId="77777777" w:rsidR="00474FA4" w:rsidRPr="00474FA4" w:rsidRDefault="00474FA4" w:rsidP="00A07209">
      <w:pPr>
        <w:numPr>
          <w:ilvl w:val="0"/>
          <w:numId w:val="85"/>
        </w:numPr>
        <w:tabs>
          <w:tab w:val="left" w:pos="720"/>
          <w:tab w:val="left" w:pos="900"/>
          <w:tab w:val="num" w:pos="1440"/>
          <w:tab w:val="left" w:pos="1800"/>
        </w:tabs>
        <w:spacing w:after="60" w:line="240" w:lineRule="auto"/>
        <w:ind w:left="1800"/>
      </w:pPr>
      <w:r>
        <w:t>Referral to other appropriate university process (e.g., misconduct review)</w:t>
      </w:r>
    </w:p>
    <w:p w14:paraId="1ADC5CBA" w14:textId="77777777" w:rsidR="00474FA4" w:rsidRPr="00474FA4" w:rsidRDefault="00474FA4" w:rsidP="00A07209">
      <w:pPr>
        <w:numPr>
          <w:ilvl w:val="0"/>
          <w:numId w:val="85"/>
        </w:numPr>
        <w:tabs>
          <w:tab w:val="num" w:pos="1440"/>
          <w:tab w:val="left" w:pos="1800"/>
        </w:tabs>
        <w:spacing w:after="60" w:line="240" w:lineRule="auto"/>
        <w:ind w:left="1800"/>
      </w:pPr>
      <w:r>
        <w:t>No further action required (i.e., for minor violations)</w:t>
      </w:r>
    </w:p>
    <w:p w14:paraId="12DE1DC5" w14:textId="77777777" w:rsidR="00474FA4" w:rsidRPr="00474FA4" w:rsidRDefault="00474FA4" w:rsidP="00A07209">
      <w:pPr>
        <w:numPr>
          <w:ilvl w:val="0"/>
          <w:numId w:val="85"/>
        </w:numPr>
        <w:tabs>
          <w:tab w:val="left" w:pos="720"/>
          <w:tab w:val="left" w:pos="990"/>
          <w:tab w:val="left" w:pos="1800"/>
        </w:tabs>
        <w:spacing w:after="60" w:line="240" w:lineRule="auto"/>
        <w:ind w:left="1800"/>
      </w:pPr>
      <w:r>
        <w:t>Corrective action(s) required (i.e., minor violations)</w:t>
      </w:r>
    </w:p>
    <w:p w14:paraId="6E28CC01" w14:textId="77777777" w:rsidR="00474FA4" w:rsidRPr="00474FA4" w:rsidRDefault="00474FA4" w:rsidP="00A07209">
      <w:pPr>
        <w:numPr>
          <w:ilvl w:val="0"/>
          <w:numId w:val="85"/>
        </w:numPr>
        <w:tabs>
          <w:tab w:val="left" w:pos="990"/>
          <w:tab w:val="left" w:pos="1800"/>
        </w:tabs>
        <w:spacing w:after="0" w:line="240" w:lineRule="auto"/>
        <w:ind w:left="1800"/>
      </w:pPr>
      <w:r>
        <w:t>Review by convened IRB required (i.e., noncompliance is considered to be serious and/or continuing)</w:t>
      </w:r>
    </w:p>
    <w:p w14:paraId="2E274078" w14:textId="77777777" w:rsidR="00474FA4" w:rsidRPr="00474FA4" w:rsidRDefault="00474FA4" w:rsidP="00474FA4">
      <w:pPr>
        <w:spacing w:after="0" w:line="240" w:lineRule="auto"/>
      </w:pPr>
    </w:p>
    <w:p w14:paraId="32E10A0B" w14:textId="77777777" w:rsidR="00474FA4" w:rsidRPr="00474FA4" w:rsidRDefault="00474FA4" w:rsidP="00A07209">
      <w:pPr>
        <w:numPr>
          <w:ilvl w:val="0"/>
          <w:numId w:val="88"/>
        </w:numPr>
        <w:spacing w:after="0" w:line="240" w:lineRule="auto"/>
        <w:ind w:left="1080"/>
      </w:pPr>
      <w:r>
        <w:t>When the Investigative Subcommittee believes that serious and/or continuing noncompliance has occurred, the subcommittee’s summary report will be forwarded to the investigator(s) and the IRB responsible for reviewing the research. The PI and co-investigator(s), as applicable, will be given an opportunity to respond to the subcommittee’s findings in writing. The investigator(s) may also respond in person to the IRB at the convened meeting during which the noncompliance review will take place, to be scheduled following the receipt of the investigator(s)’ response. A personal advisor or legal counsel may accompany the investigator(s), but the advisor or legal counsel may not participate in the discussion.</w:t>
      </w:r>
    </w:p>
    <w:p w14:paraId="7E4B28A6" w14:textId="77777777" w:rsidR="00474FA4" w:rsidRPr="00474FA4" w:rsidRDefault="00474FA4" w:rsidP="00474FA4">
      <w:pPr>
        <w:spacing w:after="0" w:line="240" w:lineRule="auto"/>
        <w:ind w:left="720"/>
      </w:pPr>
    </w:p>
    <w:p w14:paraId="246374A6" w14:textId="77777777" w:rsidR="00474FA4" w:rsidRPr="00474FA4" w:rsidRDefault="00474FA4" w:rsidP="00A07209">
      <w:pPr>
        <w:numPr>
          <w:ilvl w:val="0"/>
          <w:numId w:val="88"/>
        </w:numPr>
        <w:spacing w:after="0" w:line="240" w:lineRule="auto"/>
        <w:ind w:left="1080"/>
      </w:pPr>
      <w:r>
        <w:t>When review by the convened IRB is not warranted (e.g., dismissal of the allegation or minor violations), the investigator(s) will be notified in writing of the results of the investigation and required corrective actions, as applicable. The institutional official, investigator(s)’ dean, department chair (or equivalent), and/or research collaborators may also be informed, at the discretion of the chair of the Investigative Subcommittee. Notification will be sent to the person(s) originating the report of noncompliance within 30 days, as applicable. In some cases, the convened IRB or IPC may be asked to recommend corrective actions. Suspended IRB approval may be reinstated, as appropriate, based on the determinations of the Investigative Subcommittee and the response of the investigator(s). Reinstatement of IRB approval(s) will be reported by ORRP staff within 30 days of the action to those previously informed of the suspension (i.e., institutional official, OHRP, any other sponsoring federal department or agency, etc.) and others (e.g., Office of Sponsored Programs), as necessary.</w:t>
      </w:r>
    </w:p>
    <w:p w14:paraId="167EC007" w14:textId="77777777" w:rsidR="00474FA4" w:rsidRPr="00474FA4" w:rsidRDefault="00474FA4" w:rsidP="00474FA4">
      <w:pPr>
        <w:spacing w:after="0" w:line="240" w:lineRule="auto"/>
        <w:ind w:left="720"/>
      </w:pPr>
    </w:p>
    <w:p w14:paraId="1799771B" w14:textId="77777777" w:rsidR="00474FA4" w:rsidRPr="00474FA4" w:rsidRDefault="00474FA4" w:rsidP="00A07209">
      <w:pPr>
        <w:numPr>
          <w:ilvl w:val="0"/>
          <w:numId w:val="88"/>
        </w:numPr>
        <w:spacing w:after="0" w:line="240" w:lineRule="auto"/>
        <w:ind w:left="1080"/>
      </w:pPr>
      <w:r>
        <w:t>Investigations will be completed promptly; however, the timing is dependent on the nature of the potential noncompliance and the complexity of the investigation.</w:t>
      </w:r>
    </w:p>
    <w:p w14:paraId="757B00E0" w14:textId="77777777" w:rsidR="00474FA4" w:rsidRPr="00474FA4" w:rsidRDefault="00474FA4" w:rsidP="00474FA4">
      <w:pPr>
        <w:spacing w:after="0" w:line="240" w:lineRule="auto"/>
        <w:ind w:left="720"/>
        <w:contextualSpacing/>
      </w:pPr>
    </w:p>
    <w:p w14:paraId="0ADD88D0" w14:textId="77777777" w:rsidR="00474FA4" w:rsidRPr="00474FA4" w:rsidRDefault="00474FA4" w:rsidP="00A07209">
      <w:pPr>
        <w:numPr>
          <w:ilvl w:val="2"/>
          <w:numId w:val="84"/>
        </w:numPr>
        <w:tabs>
          <w:tab w:val="num" w:pos="720"/>
        </w:tabs>
        <w:spacing w:after="0" w:line="240" w:lineRule="auto"/>
        <w:ind w:left="720" w:hanging="360"/>
        <w:rPr>
          <w:b/>
        </w:rPr>
      </w:pPr>
      <w:r>
        <w:rPr>
          <w:b/>
        </w:rPr>
        <w:t>Convened IRB Review</w:t>
      </w:r>
    </w:p>
    <w:p w14:paraId="6FD65BB7" w14:textId="77777777" w:rsidR="00474FA4" w:rsidRPr="00474FA4" w:rsidRDefault="00474FA4" w:rsidP="00474FA4">
      <w:pPr>
        <w:spacing w:after="0" w:line="240" w:lineRule="auto"/>
      </w:pPr>
    </w:p>
    <w:p w14:paraId="0D89789D" w14:textId="77777777" w:rsidR="00474FA4" w:rsidRPr="00474FA4" w:rsidRDefault="00474FA4" w:rsidP="00A07209">
      <w:pPr>
        <w:numPr>
          <w:ilvl w:val="0"/>
          <w:numId w:val="89"/>
        </w:numPr>
        <w:spacing w:after="0" w:line="240" w:lineRule="auto"/>
        <w:ind w:left="1080"/>
      </w:pPr>
      <w:r>
        <w:t xml:space="preserve">At a convened meeting, the IRB responsible for reviewing the research will review allegations or findings of noncompliance following initial inquiry or further investigation. The IRB will consider the information from the initial inquiry, further investigations, summary </w:t>
      </w:r>
      <w:r>
        <w:lastRenderedPageBreak/>
        <w:t>report from the Investigative Subcommittee (if any), the investigator(s)’ response (if any), and any other relevant materials (e.g., research protocol, consent form, etc.) to assess the seriousness of the potential noncompliance and to consider possible corrective action(s). The primary reviewer will lead discussion; materials as described above will be distributed to all scheduled attendees in advance of the meeting. The IRB will make final determinations in closed session by majority vote of a quorum of the members/alternates at the convened meeting.</w:t>
      </w:r>
    </w:p>
    <w:p w14:paraId="6DE4DFB2" w14:textId="77777777" w:rsidR="00474FA4" w:rsidRPr="00474FA4" w:rsidRDefault="00474FA4" w:rsidP="00474FA4">
      <w:pPr>
        <w:spacing w:after="0" w:line="240" w:lineRule="auto"/>
        <w:ind w:left="720"/>
      </w:pPr>
    </w:p>
    <w:p w14:paraId="0066A681" w14:textId="77777777" w:rsidR="00474FA4" w:rsidRPr="00474FA4" w:rsidRDefault="00474FA4" w:rsidP="00A07209">
      <w:pPr>
        <w:numPr>
          <w:ilvl w:val="0"/>
          <w:numId w:val="89"/>
        </w:numPr>
        <w:spacing w:after="0" w:line="240" w:lineRule="auto"/>
        <w:ind w:left="1080"/>
      </w:pPr>
      <w:r>
        <w:t xml:space="preserve">The investigator(s) will be notified in writing of the final decision of the IRB. Notification will also be sent to the person(s) originating the report of noncompliance within 30 days, as applicable. If not previously reported, any suspension or termination of IRB approval or noncompliance that is determined to be serious or continuing will be reported by ORRP staff as described in </w:t>
      </w:r>
      <w:hyperlink w:anchor="Reporting" w:history="1">
        <w:r>
          <w:rPr>
            <w:color w:val="0000FF"/>
            <w:u w:val="single"/>
          </w:rPr>
          <w:t>section 6</w:t>
        </w:r>
      </w:hyperlink>
      <w:r>
        <w:t xml:space="preserve"> below.</w:t>
      </w:r>
    </w:p>
    <w:p w14:paraId="7D0E59A2" w14:textId="77777777" w:rsidR="00474FA4" w:rsidRPr="00474FA4" w:rsidRDefault="00474FA4" w:rsidP="00474FA4">
      <w:pPr>
        <w:spacing w:after="0" w:line="240" w:lineRule="auto"/>
      </w:pPr>
    </w:p>
    <w:p w14:paraId="2A919397"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Corrective Actions</w:t>
      </w:r>
    </w:p>
    <w:p w14:paraId="2DD7D3C2" w14:textId="77777777" w:rsidR="00474FA4" w:rsidRPr="00474FA4" w:rsidRDefault="00474FA4" w:rsidP="00474FA4">
      <w:pPr>
        <w:spacing w:after="0" w:line="240" w:lineRule="auto"/>
        <w:ind w:left="360"/>
      </w:pPr>
    </w:p>
    <w:p w14:paraId="4BE39364" w14:textId="77777777" w:rsidR="00474FA4" w:rsidRPr="00474FA4" w:rsidRDefault="00474FA4" w:rsidP="00474FA4">
      <w:pPr>
        <w:tabs>
          <w:tab w:val="left" w:pos="720"/>
        </w:tabs>
        <w:spacing w:after="60" w:line="240" w:lineRule="auto"/>
        <w:ind w:left="720" w:hanging="360"/>
      </w:pPr>
      <w:r>
        <w:rPr>
          <w:b/>
        </w:rPr>
        <w:t>A</w:t>
      </w:r>
      <w:r>
        <w:t>.</w:t>
      </w:r>
      <w:r>
        <w:tab/>
        <w:t>Corrective action(s) will be based on the nature of the noncompliance, degree to which research participants were placed at risk, occurrence of previous noncompliance, etc. The range of possible corrective actions that the chair, vice chair, IRB Investigative Subcommittee, or IRB may consider includes, but is not limited to the following:</w:t>
      </w:r>
    </w:p>
    <w:p w14:paraId="749A3BF7" w14:textId="77777777" w:rsidR="00474FA4" w:rsidRPr="00474FA4" w:rsidRDefault="00474FA4" w:rsidP="00A07209">
      <w:pPr>
        <w:numPr>
          <w:ilvl w:val="0"/>
          <w:numId w:val="86"/>
        </w:numPr>
        <w:tabs>
          <w:tab w:val="num" w:pos="1440"/>
        </w:tabs>
        <w:spacing w:after="60" w:line="240" w:lineRule="auto"/>
        <w:ind w:left="1440"/>
      </w:pPr>
      <w:r>
        <w:t>Modification(s) of the research protocol or procedures</w:t>
      </w:r>
    </w:p>
    <w:p w14:paraId="5BFB6E5C" w14:textId="77777777" w:rsidR="00474FA4" w:rsidRPr="00474FA4" w:rsidRDefault="00474FA4" w:rsidP="00A07209">
      <w:pPr>
        <w:numPr>
          <w:ilvl w:val="0"/>
          <w:numId w:val="86"/>
        </w:numPr>
        <w:tabs>
          <w:tab w:val="num" w:pos="1440"/>
        </w:tabs>
        <w:spacing w:after="60" w:line="240" w:lineRule="auto"/>
        <w:ind w:left="1440"/>
      </w:pPr>
      <w:r>
        <w:t>Modification(s) of the consent process or consent form</w:t>
      </w:r>
    </w:p>
    <w:p w14:paraId="57C5B489" w14:textId="77777777" w:rsidR="00474FA4" w:rsidRPr="00474FA4" w:rsidRDefault="00474FA4" w:rsidP="00A07209">
      <w:pPr>
        <w:numPr>
          <w:ilvl w:val="0"/>
          <w:numId w:val="86"/>
        </w:numPr>
        <w:tabs>
          <w:tab w:val="num" w:pos="1440"/>
        </w:tabs>
        <w:spacing w:after="60" w:line="240" w:lineRule="auto"/>
        <w:ind w:left="1440"/>
      </w:pPr>
      <w:r>
        <w:t>Providing additional information to current research participants (required when such information may relate to their willingness to continue in the research)</w:t>
      </w:r>
    </w:p>
    <w:p w14:paraId="56ABC1F0" w14:textId="77777777" w:rsidR="00474FA4" w:rsidRPr="00474FA4" w:rsidRDefault="00474FA4" w:rsidP="00A07209">
      <w:pPr>
        <w:numPr>
          <w:ilvl w:val="0"/>
          <w:numId w:val="86"/>
        </w:numPr>
        <w:tabs>
          <w:tab w:val="num" w:pos="1440"/>
        </w:tabs>
        <w:spacing w:after="60" w:line="240" w:lineRule="auto"/>
        <w:ind w:left="1440"/>
      </w:pPr>
      <w:r>
        <w:t>Providing additional information to past research participants</w:t>
      </w:r>
    </w:p>
    <w:p w14:paraId="163BE9AF" w14:textId="77777777" w:rsidR="00474FA4" w:rsidRPr="00474FA4" w:rsidRDefault="00474FA4" w:rsidP="00A07209">
      <w:pPr>
        <w:numPr>
          <w:ilvl w:val="0"/>
          <w:numId w:val="86"/>
        </w:numPr>
        <w:tabs>
          <w:tab w:val="num" w:pos="1440"/>
        </w:tabs>
        <w:spacing w:after="60" w:line="240" w:lineRule="auto"/>
        <w:ind w:left="1440"/>
      </w:pPr>
      <w:r>
        <w:t>Reconfirming consent of current research participants</w:t>
      </w:r>
    </w:p>
    <w:p w14:paraId="13809BB8" w14:textId="77777777" w:rsidR="00474FA4" w:rsidRPr="00474FA4" w:rsidRDefault="00474FA4" w:rsidP="00A07209">
      <w:pPr>
        <w:numPr>
          <w:ilvl w:val="0"/>
          <w:numId w:val="86"/>
        </w:numPr>
        <w:tabs>
          <w:tab w:val="num" w:pos="1440"/>
        </w:tabs>
        <w:spacing w:after="60" w:line="240" w:lineRule="auto"/>
        <w:ind w:left="1440"/>
      </w:pPr>
      <w:r>
        <w:t>Requiring additional follow-up/monitoring for current and/or past research participants</w:t>
      </w:r>
    </w:p>
    <w:p w14:paraId="47E29DB6" w14:textId="77777777" w:rsidR="00474FA4" w:rsidRPr="00474FA4" w:rsidRDefault="00474FA4" w:rsidP="00A07209">
      <w:pPr>
        <w:numPr>
          <w:ilvl w:val="0"/>
          <w:numId w:val="86"/>
        </w:numPr>
        <w:tabs>
          <w:tab w:val="num" w:pos="1440"/>
        </w:tabs>
        <w:spacing w:after="60" w:line="240" w:lineRule="auto"/>
        <w:ind w:left="1440"/>
      </w:pPr>
      <w:r>
        <w:t>Monitoring of the research (including audits) or consent process</w:t>
      </w:r>
    </w:p>
    <w:p w14:paraId="5BC92DFA" w14:textId="77777777" w:rsidR="00474FA4" w:rsidRPr="00474FA4" w:rsidRDefault="00474FA4" w:rsidP="00A07209">
      <w:pPr>
        <w:numPr>
          <w:ilvl w:val="0"/>
          <w:numId w:val="86"/>
        </w:numPr>
        <w:tabs>
          <w:tab w:val="num" w:pos="1440"/>
        </w:tabs>
        <w:spacing w:after="60" w:line="240" w:lineRule="auto"/>
        <w:ind w:left="1440"/>
      </w:pPr>
      <w:r>
        <w:t>Education or mentoring for the principal investigator and/or research staff</w:t>
      </w:r>
    </w:p>
    <w:p w14:paraId="4FF5A803" w14:textId="77777777" w:rsidR="00474FA4" w:rsidRPr="00474FA4" w:rsidRDefault="00474FA4" w:rsidP="00A07209">
      <w:pPr>
        <w:numPr>
          <w:ilvl w:val="0"/>
          <w:numId w:val="86"/>
        </w:numPr>
        <w:tabs>
          <w:tab w:val="num" w:pos="1440"/>
        </w:tabs>
        <w:spacing w:after="60" w:line="240" w:lineRule="auto"/>
        <w:ind w:left="1440"/>
      </w:pPr>
      <w:r>
        <w:t xml:space="preserve">Additional reporting, including modifications of the continuing review schedule </w:t>
      </w:r>
    </w:p>
    <w:p w14:paraId="1E3B4CEA" w14:textId="77777777" w:rsidR="00474FA4" w:rsidRPr="00474FA4" w:rsidRDefault="00474FA4" w:rsidP="00A07209">
      <w:pPr>
        <w:numPr>
          <w:ilvl w:val="0"/>
          <w:numId w:val="86"/>
        </w:numPr>
        <w:tabs>
          <w:tab w:val="num" w:pos="1440"/>
        </w:tabs>
        <w:spacing w:after="60" w:line="240" w:lineRule="auto"/>
        <w:ind w:left="1440"/>
      </w:pPr>
      <w:r>
        <w:t>Requiring additional resources to support the investigator’s research activities</w:t>
      </w:r>
    </w:p>
    <w:p w14:paraId="64026DF8" w14:textId="77777777" w:rsidR="00474FA4" w:rsidRPr="00474FA4" w:rsidRDefault="00474FA4" w:rsidP="00A07209">
      <w:pPr>
        <w:numPr>
          <w:ilvl w:val="0"/>
          <w:numId w:val="86"/>
        </w:numPr>
        <w:tabs>
          <w:tab w:val="num" w:pos="1440"/>
        </w:tabs>
        <w:spacing w:after="60" w:line="240" w:lineRule="auto"/>
        <w:ind w:left="1440"/>
      </w:pPr>
      <w:r>
        <w:t>Placing limitations (e.g., restriction to co-investigator status) on the investigator’s research activities or use of research data</w:t>
      </w:r>
    </w:p>
    <w:p w14:paraId="4C41AF71" w14:textId="77777777" w:rsidR="00474FA4" w:rsidRPr="00474FA4" w:rsidRDefault="00474FA4" w:rsidP="00A07209">
      <w:pPr>
        <w:numPr>
          <w:ilvl w:val="0"/>
          <w:numId w:val="86"/>
        </w:numPr>
        <w:tabs>
          <w:tab w:val="num" w:pos="1440"/>
        </w:tabs>
        <w:spacing w:after="60" w:line="240" w:lineRule="auto"/>
        <w:ind w:left="1440"/>
      </w:pPr>
      <w:r>
        <w:t>Suspension of IRB approval for one or more of the investigator(s)’ studies</w:t>
      </w:r>
    </w:p>
    <w:p w14:paraId="0EF44E8E" w14:textId="77777777" w:rsidR="00474FA4" w:rsidRPr="00474FA4" w:rsidRDefault="00474FA4" w:rsidP="00A07209">
      <w:pPr>
        <w:numPr>
          <w:ilvl w:val="0"/>
          <w:numId w:val="86"/>
        </w:numPr>
        <w:tabs>
          <w:tab w:val="num" w:pos="1440"/>
        </w:tabs>
        <w:spacing w:after="0" w:line="240" w:lineRule="auto"/>
        <w:ind w:left="1440"/>
      </w:pPr>
      <w:r>
        <w:t>Termination of IRB approval for one or more of the investigator(s)’ studies</w:t>
      </w:r>
    </w:p>
    <w:p w14:paraId="4D766285" w14:textId="77777777" w:rsidR="00474FA4" w:rsidRPr="00474FA4" w:rsidRDefault="00474FA4" w:rsidP="00474FA4">
      <w:pPr>
        <w:spacing w:after="0" w:line="240" w:lineRule="auto"/>
        <w:ind w:left="720"/>
      </w:pPr>
    </w:p>
    <w:p w14:paraId="51AE665A" w14:textId="77777777" w:rsidR="00474FA4" w:rsidRPr="00474FA4" w:rsidRDefault="00474FA4" w:rsidP="00A07209">
      <w:pPr>
        <w:numPr>
          <w:ilvl w:val="0"/>
          <w:numId w:val="90"/>
        </w:numPr>
        <w:spacing w:after="0" w:line="240" w:lineRule="auto"/>
      </w:pPr>
      <w:r>
        <w:t>The chair or vice chair of the IRB responsible for reviewing the research, Investigative Subcommittee, or convened IRB may review the investigator(s)’ response to corrective actions. If the PI and co-investigator(s), as applicable, do not comply with the required corrective action(s) within the time specified in the corrective action plan, additional action may be required, including suspension or termination of IRB approval(s) for ongoing human subjects research activities. The investigator(s) will be notified of resolution of corrective actions or the need for additional action(s). If not previously reported, any suspension or termination of IRB approval will be reported by ORRP staff.</w:t>
      </w:r>
    </w:p>
    <w:p w14:paraId="2A9962F6" w14:textId="77777777" w:rsidR="00474FA4" w:rsidRPr="00474FA4" w:rsidRDefault="00474FA4" w:rsidP="00474FA4">
      <w:pPr>
        <w:spacing w:after="0" w:line="240" w:lineRule="auto"/>
      </w:pPr>
    </w:p>
    <w:p w14:paraId="59765028"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lastRenderedPageBreak/>
        <w:t>Investigator Appeals</w:t>
      </w:r>
    </w:p>
    <w:p w14:paraId="2AEDF1BD" w14:textId="77777777" w:rsidR="00474FA4" w:rsidRPr="00474FA4" w:rsidRDefault="00474FA4" w:rsidP="00474FA4">
      <w:pPr>
        <w:spacing w:after="0" w:line="240" w:lineRule="auto"/>
        <w:ind w:left="360"/>
      </w:pPr>
    </w:p>
    <w:p w14:paraId="055FA606" w14:textId="77777777" w:rsidR="00474FA4" w:rsidRPr="00474FA4" w:rsidRDefault="00474FA4" w:rsidP="00474FA4">
      <w:pPr>
        <w:spacing w:after="0" w:line="240" w:lineRule="auto"/>
        <w:ind w:left="360"/>
      </w:pPr>
      <w:r>
        <w:t>As required by regulations, any decision of the IRB with respect to research involving human subjects is final. However, the convened IRB may review an investigator’s request for reconsideration or appeal to a determination regarding noncompliance and/or corrective actions as warranted by the presentation of new information or unusual circumstances. All investigator petitions must be made within 30 days of his/her notification of the IRB’s findings. The IRB will review an investigator’s request or appeal within 30 days, and the investigator will be notified in writing of the IRB’s decision within 14 days of the review. For more information on appeals, see “Investigator Appeals/Requests for Reconsideration” in HRPP policy [</w:t>
      </w:r>
      <w:hyperlink r:id="rId98" w:history="1">
        <w:r>
          <w:rPr>
            <w:color w:val="0000FF"/>
            <w:u w:val="single"/>
          </w:rPr>
          <w:t>Review of Research by the Convened IRB</w:t>
        </w:r>
      </w:hyperlink>
      <w:r>
        <w:t>].</w:t>
      </w:r>
    </w:p>
    <w:p w14:paraId="4170D6CC" w14:textId="77777777" w:rsidR="00474FA4" w:rsidRPr="00474FA4" w:rsidRDefault="00474FA4" w:rsidP="00474FA4">
      <w:pPr>
        <w:spacing w:after="0" w:line="240" w:lineRule="auto"/>
      </w:pPr>
    </w:p>
    <w:p w14:paraId="20ED26CE" w14:textId="77777777" w:rsidR="00474FA4" w:rsidRPr="00474FA4" w:rsidRDefault="00474FA4" w:rsidP="00A07209">
      <w:pPr>
        <w:numPr>
          <w:ilvl w:val="1"/>
          <w:numId w:val="36"/>
        </w:numPr>
        <w:tabs>
          <w:tab w:val="clear" w:pos="792"/>
          <w:tab w:val="num" w:pos="360"/>
          <w:tab w:val="num" w:pos="720"/>
        </w:tabs>
        <w:spacing w:after="0" w:line="240" w:lineRule="auto"/>
        <w:ind w:left="360"/>
        <w:rPr>
          <w:b/>
          <w:smallCaps/>
        </w:rPr>
      </w:pPr>
      <w:bookmarkStart w:id="233" w:name="Reporting"/>
      <w:bookmarkEnd w:id="233"/>
      <w:r>
        <w:rPr>
          <w:b/>
        </w:rPr>
        <w:t>Reporting</w:t>
      </w:r>
    </w:p>
    <w:p w14:paraId="44F66662" w14:textId="77777777" w:rsidR="00474FA4" w:rsidRPr="00474FA4" w:rsidRDefault="00474FA4" w:rsidP="00474FA4">
      <w:pPr>
        <w:spacing w:after="0" w:line="240" w:lineRule="auto"/>
        <w:ind w:left="360"/>
      </w:pPr>
    </w:p>
    <w:p w14:paraId="3BC28442" w14:textId="77777777" w:rsidR="00474FA4" w:rsidRPr="00474FA4" w:rsidRDefault="00474FA4" w:rsidP="00474FA4">
      <w:pPr>
        <w:spacing w:after="0" w:line="240" w:lineRule="auto"/>
        <w:ind w:left="360"/>
      </w:pPr>
      <w:r>
        <w:t>Noncompliance determined to be serious and/or continuing or any suspension or termination of IRB approval will be  reported by ORRP staff within 30 days of the finding to the investigator(s), IRB, institutional official, investigator(s)’ dean and department chair (or equivalent), research collaborators, OHRP, FDA (as applicable for FDA-regulated research), any other sponsoring federal department or agency, and others (e.g., Office of Sponsored Programs) as necessary, in accordance with The Ohio State University’s Federalwide Assurance.</w:t>
      </w:r>
    </w:p>
    <w:p w14:paraId="3058BCD5" w14:textId="77777777" w:rsidR="00474FA4" w:rsidRPr="00474FA4" w:rsidRDefault="00474FA4" w:rsidP="00474FA4">
      <w:pPr>
        <w:spacing w:after="0" w:line="240" w:lineRule="auto"/>
        <w:ind w:left="360"/>
      </w:pPr>
    </w:p>
    <w:p w14:paraId="5750FD96"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Record Retention</w:t>
      </w:r>
    </w:p>
    <w:p w14:paraId="591D44E6" w14:textId="77777777" w:rsidR="00474FA4" w:rsidRPr="00474FA4" w:rsidRDefault="00474FA4" w:rsidP="00474FA4">
      <w:pPr>
        <w:spacing w:after="0" w:line="240" w:lineRule="auto"/>
        <w:ind w:left="360"/>
        <w:rPr>
          <w:b/>
        </w:rPr>
      </w:pPr>
    </w:p>
    <w:p w14:paraId="52E90A7D" w14:textId="77777777" w:rsidR="00474FA4" w:rsidRPr="00474FA4" w:rsidRDefault="00474FA4" w:rsidP="00474FA4">
      <w:pPr>
        <w:spacing w:after="0" w:line="240" w:lineRule="auto"/>
        <w:ind w:left="360"/>
      </w:pPr>
      <w:r>
        <w:t>Records relating to review and investigation of noncompliance will be retained by the Office of Responsible Research Practices for a minimum of three years after completion of the research or any corrective actions (whichever is longer), in keeping federal regulation, applicable state and local law, and university policy.</w:t>
      </w:r>
    </w:p>
    <w:p w14:paraId="51443C91" w14:textId="77777777" w:rsidR="00474FA4" w:rsidRPr="00474FA4" w:rsidRDefault="00474FA4" w:rsidP="00474FA4">
      <w:pPr>
        <w:spacing w:after="0" w:line="240" w:lineRule="auto"/>
        <w:ind w:left="360"/>
      </w:pPr>
    </w:p>
    <w:p w14:paraId="41D47ABD" w14:textId="77777777" w:rsidR="00474FA4" w:rsidRPr="00474FA4" w:rsidRDefault="00474FA4" w:rsidP="00A07209">
      <w:pPr>
        <w:numPr>
          <w:ilvl w:val="1"/>
          <w:numId w:val="36"/>
        </w:numPr>
        <w:tabs>
          <w:tab w:val="clear" w:pos="792"/>
          <w:tab w:val="num" w:pos="360"/>
          <w:tab w:val="num" w:pos="720"/>
        </w:tabs>
        <w:spacing w:after="0" w:line="240" w:lineRule="auto"/>
        <w:ind w:left="360"/>
      </w:pPr>
      <w:r>
        <w:rPr>
          <w:b/>
        </w:rPr>
        <w:t>Applicable Regulations/Guidance</w:t>
      </w:r>
    </w:p>
    <w:p w14:paraId="0F758C5D" w14:textId="77777777" w:rsidR="00474FA4" w:rsidRPr="00474FA4" w:rsidRDefault="00474FA4" w:rsidP="00474FA4">
      <w:pPr>
        <w:spacing w:after="0" w:line="240" w:lineRule="auto"/>
        <w:ind w:left="360"/>
      </w:pPr>
    </w:p>
    <w:p w14:paraId="2B968E40" w14:textId="77777777" w:rsidR="00474FA4" w:rsidRPr="00474FA4" w:rsidRDefault="00474FA4" w:rsidP="00474FA4">
      <w:pPr>
        <w:spacing w:after="0" w:line="240" w:lineRule="auto"/>
        <w:ind w:left="360"/>
      </w:pPr>
      <w:r>
        <w:t>21 CFR 50.25(b)(5), 21 CFR 56.108(b)(2), 21 CFR 56.112, 21 CFR 56.113, 21 CFR 56.115(b), 45 CFR 46.103(b)(5)(i), 45 CFR 46.111(b)(5), 45 CFR 46.112, 45 CFR 46.113, 45 CFR 46.115(b), “Guidance on Reporting Incidents to OHRP” (06/20/11), The Ohio State University Whistleblower Policy 1.40 (01/22/21)</w:t>
      </w:r>
    </w:p>
    <w:p w14:paraId="49DBE525" w14:textId="77777777" w:rsidR="00F2286B" w:rsidRDefault="00F2286B">
      <w:r>
        <w:br w:type="page"/>
      </w:r>
    </w:p>
    <w:p w14:paraId="13F2A99D" w14:textId="77777777" w:rsidR="00474FA4" w:rsidRPr="00474FA4" w:rsidRDefault="26DF661C" w:rsidP="00F2286B">
      <w:pPr>
        <w:pStyle w:val="Heading2"/>
      </w:pPr>
      <w:bookmarkStart w:id="234" w:name="_Toc489247390"/>
      <w:bookmarkStart w:id="235" w:name="_Appendix_B-4_"/>
      <w:bookmarkStart w:id="236" w:name="B4"/>
      <w:bookmarkStart w:id="237" w:name="_Toc212142201"/>
      <w:bookmarkStart w:id="238" w:name="_Toc225507741"/>
      <w:r>
        <w:lastRenderedPageBreak/>
        <w:t>Appendix B-4</w:t>
      </w:r>
      <w:bookmarkEnd w:id="234"/>
      <w:bookmarkEnd w:id="235"/>
      <w:r>
        <w:t xml:space="preserve">  </w:t>
      </w:r>
      <w:bookmarkEnd w:id="236"/>
      <w:r>
        <w:tab/>
        <w:t xml:space="preserve">Responsibilities of Principal Investigators, </w:t>
      </w:r>
      <w:r>
        <w:br/>
        <w:t>Co-Investigators, and Key Personnel</w:t>
      </w:r>
      <w:bookmarkEnd w:id="237"/>
      <w:bookmarkEnd w:id="238"/>
    </w:p>
    <w:p w14:paraId="5F61B876" w14:textId="77777777" w:rsidR="00474FA4" w:rsidRPr="00474FA4" w:rsidRDefault="00474FA4" w:rsidP="00474FA4">
      <w:pPr>
        <w:spacing w:after="0" w:line="240" w:lineRule="auto"/>
        <w:rPr>
          <w:b/>
          <w:smallCaps/>
        </w:rPr>
      </w:pPr>
    </w:p>
    <w:p w14:paraId="42EE6B32" w14:textId="77777777" w:rsidR="00474FA4" w:rsidRPr="00E53C48" w:rsidRDefault="00474FA4" w:rsidP="00A07209">
      <w:pPr>
        <w:pStyle w:val="ListParagraph"/>
        <w:numPr>
          <w:ilvl w:val="3"/>
          <w:numId w:val="90"/>
        </w:numPr>
        <w:tabs>
          <w:tab w:val="num" w:pos="792"/>
        </w:tabs>
        <w:spacing w:after="0" w:line="240" w:lineRule="auto"/>
        <w:ind w:left="360"/>
        <w:rPr>
          <w:b/>
          <w:smallCaps/>
        </w:rPr>
      </w:pPr>
      <w:r>
        <w:rPr>
          <w:b/>
        </w:rPr>
        <w:t>Overview</w:t>
      </w:r>
    </w:p>
    <w:p w14:paraId="4F933F52" w14:textId="77777777" w:rsidR="00474FA4" w:rsidRPr="00474FA4" w:rsidRDefault="00474FA4" w:rsidP="00474FA4">
      <w:pPr>
        <w:spacing w:after="0" w:line="240" w:lineRule="auto"/>
        <w:ind w:left="360"/>
        <w:rPr>
          <w:b/>
          <w:smallCaps/>
        </w:rPr>
      </w:pPr>
    </w:p>
    <w:p w14:paraId="5EF104AE" w14:textId="77777777" w:rsidR="00474FA4" w:rsidRPr="00474FA4" w:rsidRDefault="00474FA4" w:rsidP="00474FA4">
      <w:pPr>
        <w:spacing w:after="0" w:line="240" w:lineRule="auto"/>
        <w:ind w:left="360"/>
      </w:pPr>
      <w:r>
        <w:t>Principal investigators (PIs) at The Ohio State University are ultimately responsible for the ethical conduct of human subjects research and for compliance with federal regulations, applicable state and local law, and university policies. These responsibilities are shared with investigators’ research staffs and the university’s Human Research Protection Program (HRPP), including the institutional review boards (IRBs) and Office of Responsible Research Practices (ORRP). This policy describes the scope of responsibilities for principal investigators, co-investigators, and key personnel (collectively, “researchers”) who conduct human subjects research at The Ohio State University.</w:t>
      </w:r>
    </w:p>
    <w:p w14:paraId="5F4D6385" w14:textId="77777777" w:rsidR="00474FA4" w:rsidRPr="00474FA4" w:rsidRDefault="00474FA4" w:rsidP="00474FA4">
      <w:pPr>
        <w:spacing w:after="0" w:line="240" w:lineRule="auto"/>
        <w:rPr>
          <w:b/>
          <w:smallCaps/>
        </w:rPr>
      </w:pPr>
    </w:p>
    <w:p w14:paraId="36EFDD21" w14:textId="77777777" w:rsidR="00474FA4" w:rsidRPr="00E53C48" w:rsidRDefault="00474FA4" w:rsidP="00A07209">
      <w:pPr>
        <w:pStyle w:val="ListParagraph"/>
        <w:numPr>
          <w:ilvl w:val="3"/>
          <w:numId w:val="90"/>
        </w:numPr>
        <w:tabs>
          <w:tab w:val="num" w:pos="792"/>
        </w:tabs>
        <w:spacing w:after="0" w:line="240" w:lineRule="auto"/>
        <w:ind w:left="360"/>
        <w:rPr>
          <w:b/>
          <w:smallCaps/>
        </w:rPr>
      </w:pPr>
      <w:r>
        <w:rPr>
          <w:b/>
        </w:rPr>
        <w:t>Definitions</w:t>
      </w:r>
    </w:p>
    <w:p w14:paraId="2B02FF79" w14:textId="77777777" w:rsidR="00474FA4" w:rsidRPr="00474FA4" w:rsidRDefault="00474FA4" w:rsidP="00474FA4">
      <w:pPr>
        <w:spacing w:after="0" w:line="240" w:lineRule="auto"/>
        <w:rPr>
          <w:b/>
          <w:u w:val="single"/>
        </w:rPr>
      </w:pPr>
    </w:p>
    <w:p w14:paraId="2D0F9F8C" w14:textId="77777777" w:rsidR="00474FA4" w:rsidRPr="00474FA4" w:rsidRDefault="00474FA4" w:rsidP="00474FA4">
      <w:pPr>
        <w:spacing w:after="0" w:line="240" w:lineRule="auto"/>
        <w:ind w:left="360"/>
        <w:rPr>
          <w:i/>
        </w:rPr>
      </w:pPr>
      <w:r>
        <w:rPr>
          <w:b/>
        </w:rPr>
        <w:t xml:space="preserve">Principal Investigator: </w:t>
      </w:r>
      <w:r>
        <w:t xml:space="preserve">An individual with the appropriate scientific and/or scholarly training and expertise to assume direct responsibility for the ethical conduct of a study involving human subjects, providing technical and administrative oversight of the research and making important study-related decisions. </w:t>
      </w:r>
    </w:p>
    <w:p w14:paraId="4B68887D" w14:textId="77777777" w:rsidR="00474FA4" w:rsidRPr="00474FA4" w:rsidRDefault="00474FA4" w:rsidP="00474FA4">
      <w:pPr>
        <w:spacing w:after="0" w:line="240" w:lineRule="auto"/>
      </w:pPr>
    </w:p>
    <w:p w14:paraId="0448F9F5" w14:textId="77777777" w:rsidR="00474FA4" w:rsidRPr="00474FA4" w:rsidRDefault="00474FA4" w:rsidP="00A07209">
      <w:pPr>
        <w:numPr>
          <w:ilvl w:val="0"/>
          <w:numId w:val="91"/>
        </w:numPr>
        <w:spacing w:after="0" w:line="240" w:lineRule="auto"/>
      </w:pPr>
      <w:r>
        <w:rPr>
          <w:b/>
        </w:rPr>
        <w:t>General Information</w:t>
      </w:r>
    </w:p>
    <w:p w14:paraId="7EA9D79C" w14:textId="77777777" w:rsidR="00474FA4" w:rsidRPr="00474FA4" w:rsidRDefault="00474FA4" w:rsidP="00474FA4">
      <w:pPr>
        <w:tabs>
          <w:tab w:val="left" w:pos="720"/>
        </w:tabs>
        <w:spacing w:after="0" w:line="240" w:lineRule="auto"/>
        <w:ind w:left="360"/>
      </w:pPr>
    </w:p>
    <w:p w14:paraId="54C170EF" w14:textId="77777777" w:rsidR="00474FA4" w:rsidRPr="00474FA4" w:rsidRDefault="00474FA4" w:rsidP="00A07209">
      <w:pPr>
        <w:numPr>
          <w:ilvl w:val="0"/>
          <w:numId w:val="94"/>
        </w:numPr>
        <w:tabs>
          <w:tab w:val="left" w:pos="360"/>
          <w:tab w:val="left" w:pos="720"/>
        </w:tabs>
        <w:spacing w:after="0" w:line="240" w:lineRule="auto"/>
      </w:pPr>
      <w:r>
        <w:t xml:space="preserve">All investigators and key personnel will adhere to the principles outlined in the National Commission for the Protection of Human Subjects of Biomedical and Behavioral Research report entitled, </w:t>
      </w:r>
      <w:hyperlink r:id="rId99" w:history="1">
        <w:r>
          <w:rPr>
            <w:i/>
            <w:color w:val="0000FF"/>
            <w:u w:val="single"/>
          </w:rPr>
          <w:t>Ethical Principles and Guidelines for the Protection of Human Subjects of Research</w:t>
        </w:r>
      </w:hyperlink>
      <w:r>
        <w:t xml:space="preserve"> (“Belmont Report”) when conducting research involving human subjects.</w:t>
      </w:r>
    </w:p>
    <w:p w14:paraId="1C166502" w14:textId="77777777" w:rsidR="00474FA4" w:rsidRPr="00474FA4" w:rsidRDefault="00474FA4" w:rsidP="00474FA4">
      <w:pPr>
        <w:tabs>
          <w:tab w:val="left" w:pos="360"/>
          <w:tab w:val="left" w:pos="720"/>
        </w:tabs>
        <w:spacing w:after="0" w:line="240" w:lineRule="auto"/>
      </w:pPr>
    </w:p>
    <w:p w14:paraId="222DAB96" w14:textId="77777777" w:rsidR="00474FA4" w:rsidRPr="00474FA4" w:rsidRDefault="00474FA4" w:rsidP="00A07209">
      <w:pPr>
        <w:numPr>
          <w:ilvl w:val="0"/>
          <w:numId w:val="94"/>
        </w:numPr>
        <w:tabs>
          <w:tab w:val="left" w:pos="360"/>
          <w:tab w:val="left" w:pos="720"/>
        </w:tabs>
        <w:spacing w:after="0" w:line="240" w:lineRule="auto"/>
      </w:pPr>
      <w:r>
        <w:t xml:space="preserve">All investigators and key personnel will conduct research according to all applicable university policies and </w:t>
      </w:r>
      <w:hyperlink r:id="rId100" w:history="1">
        <w:r>
          <w:rPr>
            <w:color w:val="0000FF"/>
            <w:u w:val="single"/>
          </w:rPr>
          <w:t>Human Research Protection Program Policies</w:t>
        </w:r>
      </w:hyperlink>
      <w:r>
        <w:t>, as well as federal, state, and local laws and guidance for the protection of human subjects in research. Researchers will also consider the applicable professional practice standards of their disciplines and other generally accepted good research practice guidelines in the development and performance of human research studies.</w:t>
      </w:r>
    </w:p>
    <w:p w14:paraId="4D1C5343" w14:textId="77777777" w:rsidR="00474FA4" w:rsidRPr="00474FA4" w:rsidRDefault="00474FA4" w:rsidP="00474FA4">
      <w:pPr>
        <w:tabs>
          <w:tab w:val="left" w:pos="720"/>
        </w:tabs>
        <w:spacing w:after="0" w:line="240" w:lineRule="auto"/>
        <w:ind w:left="360"/>
      </w:pPr>
    </w:p>
    <w:p w14:paraId="52B30CE7" w14:textId="77777777" w:rsidR="00474FA4" w:rsidRPr="00474FA4" w:rsidRDefault="00474FA4" w:rsidP="00A07209">
      <w:pPr>
        <w:numPr>
          <w:ilvl w:val="0"/>
          <w:numId w:val="91"/>
        </w:numPr>
        <w:spacing w:after="0" w:line="240" w:lineRule="auto"/>
      </w:pPr>
      <w:r>
        <w:rPr>
          <w:b/>
        </w:rPr>
        <w:t>Principal Investigator Qualifications, Oversight, and Resources</w:t>
      </w:r>
    </w:p>
    <w:p w14:paraId="3A02D269" w14:textId="77777777" w:rsidR="00474FA4" w:rsidRPr="00474FA4" w:rsidRDefault="00474FA4" w:rsidP="00474FA4">
      <w:pPr>
        <w:tabs>
          <w:tab w:val="left" w:pos="720"/>
        </w:tabs>
        <w:spacing w:after="0" w:line="240" w:lineRule="auto"/>
        <w:ind w:left="360"/>
      </w:pPr>
    </w:p>
    <w:p w14:paraId="194ECD7B" w14:textId="77777777" w:rsidR="00474FA4" w:rsidRPr="00474FA4" w:rsidRDefault="00474FA4" w:rsidP="00A07209">
      <w:pPr>
        <w:numPr>
          <w:ilvl w:val="0"/>
          <w:numId w:val="95"/>
        </w:numPr>
        <w:spacing w:after="0" w:line="240" w:lineRule="auto"/>
      </w:pPr>
      <w:r>
        <w:t xml:space="preserve">Principal investigators will have appropriate education, training, and experience to assume overall responsibility for the ethical conduct of their human subjects research. This includes training in human subjects protection requirements, as described by </w:t>
      </w:r>
      <w:hyperlink r:id="rId101" w:history="1">
        <w:r>
          <w:rPr>
            <w:color w:val="0000FF"/>
            <w:u w:val="single"/>
          </w:rPr>
          <w:t>study team requirements</w:t>
        </w:r>
      </w:hyperlink>
      <w:r>
        <w:t xml:space="preserve"> on the ORRP website. Additional training requirements may also apply for investigators receiving funding from specific sponsors (e.g., NIH or NSF requirements for instruction in the responsible conduct of research for certain training grants or requirements for good clinical practice training for NIH awardees involved in NIH-funded clinical trials).</w:t>
      </w:r>
    </w:p>
    <w:p w14:paraId="7F2D9829" w14:textId="77777777" w:rsidR="00474FA4" w:rsidRPr="00474FA4" w:rsidRDefault="00474FA4" w:rsidP="00474FA4">
      <w:pPr>
        <w:spacing w:after="0" w:line="240" w:lineRule="auto"/>
        <w:ind w:left="360"/>
      </w:pPr>
    </w:p>
    <w:p w14:paraId="13334ABE" w14:textId="77777777" w:rsidR="00474FA4" w:rsidRPr="00474FA4" w:rsidRDefault="00474FA4" w:rsidP="00A07209">
      <w:pPr>
        <w:numPr>
          <w:ilvl w:val="0"/>
          <w:numId w:val="95"/>
        </w:numPr>
        <w:spacing w:after="0" w:line="240" w:lineRule="auto"/>
      </w:pPr>
      <w:r>
        <w:lastRenderedPageBreak/>
        <w:t xml:space="preserve">For purposes of HRPP policy, only one individual is designated as the principal investigator of a human research study. For the university’s guidelines on requirements for PI status, see </w:t>
      </w:r>
      <w:hyperlink r:id="rId102" w:history="1">
        <w:r>
          <w:rPr>
            <w:color w:val="0000FF"/>
            <w:u w:val="single"/>
          </w:rPr>
          <w:t>Principal Investigator Status Appointments</w:t>
        </w:r>
      </w:hyperlink>
      <w:r>
        <w:t>.</w:t>
      </w:r>
    </w:p>
    <w:p w14:paraId="31C71997" w14:textId="77777777" w:rsidR="00474FA4" w:rsidRPr="00474FA4" w:rsidRDefault="00474FA4" w:rsidP="00474FA4">
      <w:pPr>
        <w:spacing w:after="0" w:line="240" w:lineRule="auto"/>
        <w:ind w:left="360"/>
      </w:pPr>
    </w:p>
    <w:p w14:paraId="3E2D8308" w14:textId="77777777" w:rsidR="00474FA4" w:rsidRPr="00474FA4" w:rsidRDefault="00474FA4" w:rsidP="00A07209">
      <w:pPr>
        <w:numPr>
          <w:ilvl w:val="0"/>
          <w:numId w:val="95"/>
        </w:numPr>
        <w:spacing w:after="0" w:line="240" w:lineRule="auto"/>
      </w:pPr>
      <w:r>
        <w:t>Principal investigators are responsible for knowing when proposed activities are defined as “research involving human subjects” by HRPP policy [</w:t>
      </w:r>
      <w:hyperlink r:id="rId103" w:history="1">
        <w:r>
          <w:rPr>
            <w:color w:val="0000FF"/>
            <w:u w:val="single"/>
          </w:rPr>
          <w:t>Research Involving Human Subjects</w:t>
        </w:r>
      </w:hyperlink>
      <w:r>
        <w:t>] or for seeking guidance, as appropriate. PIs will provide the IRB (or designees) with sufficient information and materials to make the determinations required by HRPP policies [</w:t>
      </w:r>
      <w:hyperlink r:id="rId104" w:history="1">
        <w:r>
          <w:rPr>
            <w:color w:val="0000FF"/>
            <w:u w:val="single"/>
          </w:rPr>
          <w:t>Review of Research by the Convened IRB</w:t>
        </w:r>
      </w:hyperlink>
      <w:r>
        <w:t>] and [</w:t>
      </w:r>
      <w:hyperlink r:id="rId105" w:history="1">
        <w:r>
          <w:rPr>
            <w:color w:val="0000FF"/>
            <w:u w:val="single"/>
          </w:rPr>
          <w:t>Exempt Research</w:t>
        </w:r>
      </w:hyperlink>
      <w:r>
        <w:t>]. PIs will ensure that research does not begin until IRB approval or exemption has been obtained.</w:t>
      </w:r>
    </w:p>
    <w:p w14:paraId="7308A730" w14:textId="77777777" w:rsidR="00474FA4" w:rsidRPr="00474FA4" w:rsidRDefault="00474FA4" w:rsidP="00474FA4">
      <w:pPr>
        <w:spacing w:after="0" w:line="240" w:lineRule="auto"/>
      </w:pPr>
    </w:p>
    <w:p w14:paraId="2E02E21C" w14:textId="77777777" w:rsidR="00474FA4" w:rsidRPr="00474FA4" w:rsidRDefault="00474FA4" w:rsidP="00A07209">
      <w:pPr>
        <w:numPr>
          <w:ilvl w:val="0"/>
          <w:numId w:val="95"/>
        </w:numPr>
        <w:spacing w:after="0" w:line="240" w:lineRule="auto"/>
      </w:pPr>
      <w:r>
        <w:t>Principal investigators are responsible for the selection and training of individuals who may assist with their research and will obtain IRB approval for the involvement of (and any changes in) co-investigators and key personnel. Training of study personnel should provide staff a general familiarity with the research methods and objectives (as applicable), as well as study-specific information relevant to the tasks to be performed.</w:t>
      </w:r>
    </w:p>
    <w:p w14:paraId="3FA927CF" w14:textId="77777777" w:rsidR="00474FA4" w:rsidRPr="00474FA4" w:rsidRDefault="00474FA4" w:rsidP="00474FA4">
      <w:pPr>
        <w:spacing w:after="0" w:line="240" w:lineRule="auto"/>
      </w:pPr>
    </w:p>
    <w:p w14:paraId="57690FA8" w14:textId="77777777" w:rsidR="00474FA4" w:rsidRPr="00474FA4" w:rsidRDefault="00474FA4" w:rsidP="00A07209">
      <w:pPr>
        <w:numPr>
          <w:ilvl w:val="0"/>
          <w:numId w:val="95"/>
        </w:numPr>
        <w:tabs>
          <w:tab w:val="num" w:pos="720"/>
        </w:tabs>
        <w:spacing w:after="0" w:line="240" w:lineRule="auto"/>
      </w:pPr>
      <w:r>
        <w:t>Principal investigators may delegate study-related tasks to appropriately qualified and trained study personnel. PIs will maintain oversight of and retain ultimate responsibility for the conduct of those who perform delegated functions.</w:t>
      </w:r>
    </w:p>
    <w:p w14:paraId="748A899A" w14:textId="77777777" w:rsidR="00474FA4" w:rsidRPr="00474FA4" w:rsidRDefault="00474FA4" w:rsidP="00474FA4">
      <w:pPr>
        <w:tabs>
          <w:tab w:val="num" w:pos="720"/>
        </w:tabs>
        <w:spacing w:after="0" w:line="240" w:lineRule="auto"/>
      </w:pPr>
    </w:p>
    <w:p w14:paraId="01CDD687" w14:textId="77777777" w:rsidR="00474FA4" w:rsidRPr="00474FA4" w:rsidRDefault="00474FA4" w:rsidP="00A07209">
      <w:pPr>
        <w:numPr>
          <w:ilvl w:val="0"/>
          <w:numId w:val="95"/>
        </w:numPr>
        <w:tabs>
          <w:tab w:val="num" w:pos="720"/>
        </w:tabs>
        <w:spacing w:after="0" w:line="240" w:lineRule="auto"/>
      </w:pPr>
      <w:r>
        <w:t>Principal investigators will ensure that all researchers assisting in the conduct of the study are informed of their obligations for following the IRB-approved protocol and applicable regulations, laws, and policies. PIs will keep co-investigators and key personnel informed of any changes made to the research while the study is ongoing.</w:t>
      </w:r>
    </w:p>
    <w:p w14:paraId="50ABBD01" w14:textId="77777777" w:rsidR="00474FA4" w:rsidRPr="00474FA4" w:rsidRDefault="00474FA4" w:rsidP="00474FA4">
      <w:pPr>
        <w:tabs>
          <w:tab w:val="num" w:pos="720"/>
        </w:tabs>
        <w:spacing w:after="0" w:line="240" w:lineRule="auto"/>
      </w:pPr>
    </w:p>
    <w:p w14:paraId="677E9F89" w14:textId="77777777" w:rsidR="00474FA4" w:rsidRPr="00474FA4" w:rsidRDefault="00474FA4" w:rsidP="00A07209">
      <w:pPr>
        <w:numPr>
          <w:ilvl w:val="0"/>
          <w:numId w:val="95"/>
        </w:numPr>
        <w:tabs>
          <w:tab w:val="num" w:pos="720"/>
        </w:tabs>
        <w:spacing w:after="0" w:line="240" w:lineRule="auto"/>
      </w:pPr>
      <w:r>
        <w:t>Principal investigators will ensure that they have sufficient time to properly conduct and/or supervise proposed research and study personnel and that adequate resources (e.g., qualified staff, facilities, medical/psychosocial services) are available to safely carry out the approved project.</w:t>
      </w:r>
    </w:p>
    <w:p w14:paraId="7FBB493F" w14:textId="77777777" w:rsidR="00474FA4" w:rsidRPr="00474FA4" w:rsidRDefault="00474FA4" w:rsidP="00474FA4">
      <w:pPr>
        <w:tabs>
          <w:tab w:val="num" w:pos="720"/>
        </w:tabs>
        <w:spacing w:after="0" w:line="240" w:lineRule="auto"/>
      </w:pPr>
    </w:p>
    <w:p w14:paraId="4EF5E71A" w14:textId="77777777" w:rsidR="00474FA4" w:rsidRPr="00474FA4" w:rsidRDefault="00474FA4" w:rsidP="00A07209">
      <w:pPr>
        <w:numPr>
          <w:ilvl w:val="0"/>
          <w:numId w:val="95"/>
        </w:numPr>
        <w:tabs>
          <w:tab w:val="num" w:pos="720"/>
        </w:tabs>
        <w:spacing w:after="0" w:line="240" w:lineRule="auto"/>
      </w:pPr>
      <w:r>
        <w:t>If a principal investigator leaves the university or is unavailable to personally conduct or supervise ongoing research (e.g., on sabbatical or extended leave), he/she must make arrangements to amend (including a change in PI) or terminate the research, as appropriate. Primary research data and research-related records will be retained at the university (see “</w:t>
      </w:r>
      <w:hyperlink w:anchor="reporting" w:history="1">
        <w:r>
          <w:rPr>
            <w:color w:val="0000FF"/>
            <w:u w:val="single"/>
          </w:rPr>
          <w:t>Reporting and Recordkeeping Requirements</w:t>
        </w:r>
      </w:hyperlink>
      <w:r>
        <w:t>” below).</w:t>
      </w:r>
    </w:p>
    <w:p w14:paraId="4AAFBBF8" w14:textId="77777777" w:rsidR="00474FA4" w:rsidRPr="00474FA4" w:rsidRDefault="00474FA4" w:rsidP="00474FA4">
      <w:pPr>
        <w:tabs>
          <w:tab w:val="num" w:pos="720"/>
        </w:tabs>
        <w:spacing w:after="0" w:line="240" w:lineRule="auto"/>
      </w:pPr>
    </w:p>
    <w:p w14:paraId="52CAE5AB" w14:textId="77777777" w:rsidR="00474FA4" w:rsidRPr="00474FA4" w:rsidRDefault="00474FA4" w:rsidP="00A07209">
      <w:pPr>
        <w:numPr>
          <w:ilvl w:val="0"/>
          <w:numId w:val="95"/>
        </w:numPr>
        <w:spacing w:after="0" w:line="240" w:lineRule="auto"/>
      </w:pPr>
      <w:r>
        <w:t>Principal investigators and their co-investigators and key personnel will disclose all personal financial interests relevant to their institutional commitments, as required by regulations and university policy, and will work to eliminate or manage potential conflicts of interest when applicable. For more information, see university policy on</w:t>
      </w:r>
      <w:hyperlink r:id="rId106" w:history="1">
        <w:r>
          <w:rPr>
            <w:color w:val="0000FF"/>
            <w:u w:val="single"/>
          </w:rPr>
          <w:t xml:space="preserve"> Faculty Financial Conflict of Interest</w:t>
        </w:r>
      </w:hyperlink>
      <w:r>
        <w:rPr>
          <w:color w:val="0000FF"/>
        </w:rPr>
        <w:t>.</w:t>
      </w:r>
      <w:r>
        <w:t xml:space="preserve"> </w:t>
      </w:r>
    </w:p>
    <w:p w14:paraId="4CD9C363" w14:textId="77777777" w:rsidR="00474FA4" w:rsidRPr="00474FA4" w:rsidRDefault="00474FA4" w:rsidP="00474FA4">
      <w:pPr>
        <w:spacing w:after="0" w:line="240" w:lineRule="auto"/>
      </w:pPr>
    </w:p>
    <w:p w14:paraId="592986E1" w14:textId="77777777" w:rsidR="00474FA4" w:rsidRPr="00474FA4" w:rsidRDefault="00474FA4" w:rsidP="00A07209">
      <w:pPr>
        <w:numPr>
          <w:ilvl w:val="0"/>
          <w:numId w:val="91"/>
        </w:numPr>
        <w:spacing w:after="0" w:line="240" w:lineRule="auto"/>
      </w:pPr>
      <w:r>
        <w:rPr>
          <w:b/>
        </w:rPr>
        <w:t>Conduct of Human Subjects Research</w:t>
      </w:r>
    </w:p>
    <w:p w14:paraId="29283E61" w14:textId="77777777" w:rsidR="00474FA4" w:rsidRPr="00474FA4" w:rsidRDefault="00474FA4" w:rsidP="00474FA4">
      <w:pPr>
        <w:spacing w:after="0" w:line="240" w:lineRule="auto"/>
      </w:pPr>
    </w:p>
    <w:p w14:paraId="07EDE483" w14:textId="77777777" w:rsidR="00474FA4" w:rsidRPr="00474FA4" w:rsidRDefault="00474FA4" w:rsidP="00A07209">
      <w:pPr>
        <w:numPr>
          <w:ilvl w:val="1"/>
          <w:numId w:val="91"/>
        </w:numPr>
        <w:spacing w:after="0" w:line="240" w:lineRule="auto"/>
      </w:pPr>
      <w:r>
        <w:t xml:space="preserve">Investigators are responsible for designing and conducting research in a manner that minimizes risks, using sound research design and generally accepted scientific and/or scholarly standards. Investigators performing research involving investigational drugs, </w:t>
      </w:r>
      <w:r>
        <w:lastRenderedPageBreak/>
        <w:t>biologics, or devices will comply with applicable FDA regulations and HRPP policies [</w:t>
      </w:r>
      <w:hyperlink r:id="rId107" w:history="1">
        <w:r>
          <w:rPr>
            <w:color w:val="0000FF"/>
            <w:u w:val="single"/>
          </w:rPr>
          <w:t>Research Involving Investigational Drugs</w:t>
        </w:r>
      </w:hyperlink>
      <w:r>
        <w:t>] and [</w:t>
      </w:r>
      <w:hyperlink r:id="rId108" w:history="1">
        <w:r>
          <w:rPr>
            <w:color w:val="0000FF"/>
            <w:u w:val="single"/>
          </w:rPr>
          <w:t>Research Involving Medical Devices</w:t>
        </w:r>
      </w:hyperlink>
      <w:r>
        <w:t>].</w:t>
      </w:r>
    </w:p>
    <w:p w14:paraId="4C641DD3" w14:textId="77777777" w:rsidR="00474FA4" w:rsidRPr="00474FA4" w:rsidRDefault="00474FA4" w:rsidP="00474FA4">
      <w:pPr>
        <w:spacing w:after="0" w:line="240" w:lineRule="auto"/>
        <w:ind w:left="720"/>
      </w:pPr>
    </w:p>
    <w:p w14:paraId="37D9163F" w14:textId="77777777" w:rsidR="00474FA4" w:rsidRPr="00474FA4" w:rsidRDefault="00474FA4" w:rsidP="00A07209">
      <w:pPr>
        <w:numPr>
          <w:ilvl w:val="1"/>
          <w:numId w:val="91"/>
        </w:numPr>
        <w:spacing w:after="0" w:line="240" w:lineRule="auto"/>
      </w:pPr>
      <w:r>
        <w:t>Investigators and key personnel will perform the research as approved (or as determined exempt) and will follow the terms of an associated grant, contract, and/or signed funding agreement, if any. Researchers will not make changes to the research or informed consent process until approved by the IRB, except where necessary to eliminate apparent immediate hazards to participants, and will inform the IRB (and sponsor as applicable) of any such changes.</w:t>
      </w:r>
    </w:p>
    <w:p w14:paraId="1E374CA0" w14:textId="77777777" w:rsidR="00474FA4" w:rsidRPr="00474FA4" w:rsidRDefault="00474FA4" w:rsidP="00474FA4">
      <w:pPr>
        <w:spacing w:after="0" w:line="240" w:lineRule="auto"/>
      </w:pPr>
    </w:p>
    <w:p w14:paraId="4A835284" w14:textId="77777777" w:rsidR="00474FA4" w:rsidRPr="00474FA4" w:rsidRDefault="00474FA4" w:rsidP="00A07209">
      <w:pPr>
        <w:numPr>
          <w:ilvl w:val="1"/>
          <w:numId w:val="91"/>
        </w:numPr>
        <w:spacing w:after="0" w:line="240" w:lineRule="auto"/>
      </w:pPr>
      <w:r>
        <w:t xml:space="preserve">Investigators will obtain continuing review and approval of ongoing non-exempt research (i.e., </w:t>
      </w:r>
      <w:r>
        <w:rPr>
          <w:color w:val="000000"/>
        </w:rPr>
        <w:t>until research-related interactions/interventions with human subjects or analysis of individually identifiable private information have been completed)</w:t>
      </w:r>
      <w:r>
        <w:t xml:space="preserve"> at the interval determined by the IRB (at least annually) to avoid expiration of IRB approval and cessation of all research activities.</w:t>
      </w:r>
    </w:p>
    <w:p w14:paraId="2B017B3B" w14:textId="77777777" w:rsidR="00474FA4" w:rsidRPr="00474FA4" w:rsidRDefault="00474FA4" w:rsidP="00474FA4">
      <w:pPr>
        <w:spacing w:after="0" w:line="240" w:lineRule="auto"/>
      </w:pPr>
    </w:p>
    <w:p w14:paraId="72E141C6" w14:textId="77777777" w:rsidR="00474FA4" w:rsidRPr="00474FA4" w:rsidRDefault="00474FA4" w:rsidP="00A07209">
      <w:pPr>
        <w:numPr>
          <w:ilvl w:val="0"/>
          <w:numId w:val="91"/>
        </w:numPr>
        <w:spacing w:after="0" w:line="240" w:lineRule="auto"/>
      </w:pPr>
      <w:r>
        <w:rPr>
          <w:b/>
        </w:rPr>
        <w:t>Protecting the Rights, Safety, and Welfare of Research Participants</w:t>
      </w:r>
    </w:p>
    <w:p w14:paraId="46A543BD" w14:textId="77777777" w:rsidR="00474FA4" w:rsidRPr="00474FA4" w:rsidRDefault="00474FA4" w:rsidP="00474FA4">
      <w:pPr>
        <w:spacing w:after="0" w:line="240" w:lineRule="auto"/>
      </w:pPr>
    </w:p>
    <w:p w14:paraId="4D247869" w14:textId="77777777" w:rsidR="00474FA4" w:rsidRPr="00474FA4" w:rsidRDefault="00474FA4" w:rsidP="00A07209">
      <w:pPr>
        <w:numPr>
          <w:ilvl w:val="1"/>
          <w:numId w:val="91"/>
        </w:numPr>
        <w:spacing w:after="0" w:line="240" w:lineRule="auto"/>
      </w:pPr>
      <w:r>
        <w:t xml:space="preserve">Investigators and research staff will recruit participants in a fair and equitable manner that avoids the potential for coercion and undue influence. </w:t>
      </w:r>
      <w:r>
        <w:rPr>
          <w:color w:val="000000"/>
        </w:rPr>
        <w:t>For more information on equitable selection and recruitment, see HRPP policy [</w:t>
      </w:r>
      <w:hyperlink r:id="rId109" w:history="1">
        <w:r>
          <w:rPr>
            <w:color w:val="0000FF"/>
            <w:u w:val="single"/>
          </w:rPr>
          <w:t>Recruiting Methods, Recruitment Materials, and Participant Compensation</w:t>
        </w:r>
      </w:hyperlink>
      <w:r>
        <w:rPr>
          <w:color w:val="000000"/>
        </w:rPr>
        <w:t>].</w:t>
      </w:r>
    </w:p>
    <w:p w14:paraId="0B2C2A51" w14:textId="77777777" w:rsidR="00474FA4" w:rsidRPr="00474FA4" w:rsidRDefault="00474FA4" w:rsidP="00474FA4">
      <w:pPr>
        <w:spacing w:after="0" w:line="240" w:lineRule="auto"/>
        <w:ind w:left="720"/>
      </w:pPr>
    </w:p>
    <w:p w14:paraId="3860148E" w14:textId="77777777" w:rsidR="00474FA4" w:rsidRPr="00474FA4" w:rsidRDefault="00474FA4" w:rsidP="00A07209">
      <w:pPr>
        <w:numPr>
          <w:ilvl w:val="1"/>
          <w:numId w:val="91"/>
        </w:numPr>
        <w:spacing w:after="0" w:line="240" w:lineRule="auto"/>
      </w:pPr>
      <w:r>
        <w:t>Using the IRB-approved consent process(es), investigators and research staff will obtain and document informed consent (unless waived) and HIPAA research authorization (when applicable) from participants or their legally authorized representatives prior to the participants’ involvement in the research. Researchers will provide participants or representatives sufficient opportunity to consider whether to participate and will ensure that participants’ (or representatives’) choices are voluntary and based upon informed decisions. For more information, see HRPP policies [</w:t>
      </w:r>
      <w:hyperlink r:id="rId110" w:history="1">
        <w:r>
          <w:rPr>
            <w:color w:val="0000FF"/>
            <w:u w:val="single"/>
          </w:rPr>
          <w:t>Informed Consent Process and the Elements of Informed Consent</w:t>
        </w:r>
      </w:hyperlink>
      <w:r>
        <w:t>] and [</w:t>
      </w:r>
      <w:hyperlink r:id="rId111" w:history="1">
        <w:r>
          <w:rPr>
            <w:color w:val="0000FF"/>
            <w:u w:val="single"/>
          </w:rPr>
          <w:t>Documentation of the Informed Consent Process</w:t>
        </w:r>
      </w:hyperlink>
      <w:r>
        <w:t>].</w:t>
      </w:r>
    </w:p>
    <w:p w14:paraId="59016F17" w14:textId="77777777" w:rsidR="00474FA4" w:rsidRPr="00474FA4" w:rsidRDefault="00474FA4" w:rsidP="00474FA4">
      <w:pPr>
        <w:tabs>
          <w:tab w:val="left" w:pos="270"/>
          <w:tab w:val="left" w:pos="810"/>
        </w:tabs>
        <w:spacing w:after="0" w:line="240" w:lineRule="auto"/>
      </w:pPr>
    </w:p>
    <w:p w14:paraId="270FA797" w14:textId="77777777" w:rsidR="00474FA4" w:rsidRPr="00474FA4" w:rsidRDefault="00474FA4" w:rsidP="00A07209">
      <w:pPr>
        <w:numPr>
          <w:ilvl w:val="1"/>
          <w:numId w:val="91"/>
        </w:numPr>
        <w:spacing w:after="0" w:line="240" w:lineRule="auto"/>
      </w:pPr>
      <w:r>
        <w:t xml:space="preserve">To minimize risks to participants, investigators and key personnel will follow procedures to protect the privacy of participants and maintain the confidentiality of research data </w:t>
      </w:r>
      <w:r>
        <w:rPr>
          <w:color w:val="000000"/>
        </w:rPr>
        <w:t>as described by HRPP policy [</w:t>
      </w:r>
      <w:hyperlink r:id="rId112" w:history="1">
        <w:r>
          <w:rPr>
            <w:color w:val="0000FF"/>
            <w:u w:val="single"/>
          </w:rPr>
          <w:t>Privacy and Confidentiality</w:t>
        </w:r>
      </w:hyperlink>
      <w:r>
        <w:rPr>
          <w:color w:val="000000"/>
        </w:rPr>
        <w:t>].</w:t>
      </w:r>
    </w:p>
    <w:p w14:paraId="1E9D045B" w14:textId="77777777" w:rsidR="00474FA4" w:rsidRPr="00474FA4" w:rsidRDefault="00474FA4" w:rsidP="00474FA4">
      <w:pPr>
        <w:spacing w:after="0" w:line="240" w:lineRule="auto"/>
      </w:pPr>
    </w:p>
    <w:p w14:paraId="08BCC8E4" w14:textId="77777777" w:rsidR="00474FA4" w:rsidRPr="00474FA4" w:rsidRDefault="00474FA4" w:rsidP="00A07209">
      <w:pPr>
        <w:numPr>
          <w:ilvl w:val="1"/>
          <w:numId w:val="91"/>
        </w:numPr>
        <w:spacing w:after="0" w:line="240" w:lineRule="auto"/>
      </w:pPr>
      <w:r>
        <w:t>When populations</w:t>
      </w:r>
      <w:r>
        <w:rPr>
          <w:color w:val="000000"/>
        </w:rPr>
        <w:t xml:space="preserve"> vulnerable to coercion or undue influence, such as children, prisoners, individuals with impaired decision-making capacity, or economically or educationally disadvantaged persons</w:t>
      </w:r>
      <w:r>
        <w:t xml:space="preserve"> are included in research, investigators will provide additional required protections.</w:t>
      </w:r>
    </w:p>
    <w:p w14:paraId="4D737E49" w14:textId="77777777" w:rsidR="00474FA4" w:rsidRPr="00474FA4" w:rsidRDefault="00474FA4" w:rsidP="00474FA4">
      <w:pPr>
        <w:tabs>
          <w:tab w:val="left" w:pos="810"/>
        </w:tabs>
        <w:spacing w:after="0" w:line="240" w:lineRule="auto"/>
        <w:ind w:left="720"/>
      </w:pPr>
    </w:p>
    <w:p w14:paraId="62C09DD8" w14:textId="77777777" w:rsidR="00474FA4" w:rsidRPr="00474FA4" w:rsidRDefault="00474FA4" w:rsidP="00A07209">
      <w:pPr>
        <w:numPr>
          <w:ilvl w:val="1"/>
          <w:numId w:val="91"/>
        </w:numPr>
        <w:spacing w:after="0" w:line="240" w:lineRule="auto"/>
      </w:pPr>
      <w:r>
        <w:t>For greater than minimal risk research, investigators will appropriately monitor research data to ensure participant safety as described by HRPP policy [</w:t>
      </w:r>
      <w:hyperlink r:id="rId113" w:history="1">
        <w:r>
          <w:rPr>
            <w:color w:val="0000FF"/>
            <w:u w:val="single"/>
          </w:rPr>
          <w:t>Data and Safety Monitoring</w:t>
        </w:r>
      </w:hyperlink>
      <w:r>
        <w:t>].</w:t>
      </w:r>
    </w:p>
    <w:p w14:paraId="127453D1" w14:textId="77777777" w:rsidR="00474FA4" w:rsidRPr="00474FA4" w:rsidRDefault="00474FA4" w:rsidP="00474FA4">
      <w:pPr>
        <w:spacing w:after="0" w:line="240" w:lineRule="auto"/>
      </w:pPr>
    </w:p>
    <w:p w14:paraId="13C0456E" w14:textId="77777777" w:rsidR="00474FA4" w:rsidRPr="00474FA4" w:rsidRDefault="00474FA4" w:rsidP="00A07209">
      <w:pPr>
        <w:numPr>
          <w:ilvl w:val="1"/>
          <w:numId w:val="91"/>
        </w:numPr>
        <w:spacing w:after="0" w:line="240" w:lineRule="auto"/>
      </w:pPr>
      <w:r>
        <w:t>Investigators and research staff will be available to participants to address concerns or complaints and to answer participants’ questions during the research. Researchers will involve the IRB (or designees) in their responses when appropriate.</w:t>
      </w:r>
    </w:p>
    <w:p w14:paraId="523451E5" w14:textId="77777777" w:rsidR="00474FA4" w:rsidRPr="00474FA4" w:rsidRDefault="00474FA4" w:rsidP="00474FA4">
      <w:pPr>
        <w:tabs>
          <w:tab w:val="left" w:pos="810"/>
        </w:tabs>
        <w:spacing w:after="0" w:line="240" w:lineRule="auto"/>
      </w:pPr>
    </w:p>
    <w:p w14:paraId="3C369C3A" w14:textId="77777777" w:rsidR="00474FA4" w:rsidRPr="00474FA4" w:rsidRDefault="00474FA4" w:rsidP="00A07209">
      <w:pPr>
        <w:numPr>
          <w:ilvl w:val="1"/>
          <w:numId w:val="91"/>
        </w:numPr>
        <w:spacing w:after="0" w:line="240" w:lineRule="auto"/>
      </w:pPr>
      <w:r>
        <w:lastRenderedPageBreak/>
        <w:t>During and following the conduct of the research, investigators will provide subjects with significant new findings that may relate to the subjects’ well-being and/or willingness to continue to participate.</w:t>
      </w:r>
    </w:p>
    <w:p w14:paraId="16143557" w14:textId="77777777" w:rsidR="00474FA4" w:rsidRPr="00474FA4" w:rsidRDefault="00474FA4" w:rsidP="00474FA4">
      <w:pPr>
        <w:tabs>
          <w:tab w:val="left" w:pos="720"/>
        </w:tabs>
        <w:spacing w:after="0" w:line="240" w:lineRule="auto"/>
      </w:pPr>
    </w:p>
    <w:p w14:paraId="204EFD09" w14:textId="77777777" w:rsidR="00474FA4" w:rsidRPr="00474FA4" w:rsidRDefault="00474FA4" w:rsidP="00A07209">
      <w:pPr>
        <w:numPr>
          <w:ilvl w:val="0"/>
          <w:numId w:val="91"/>
        </w:numPr>
        <w:spacing w:after="0" w:line="240" w:lineRule="auto"/>
      </w:pPr>
      <w:r>
        <w:rPr>
          <w:b/>
        </w:rPr>
        <w:t>Reporting and Recordkeeping Requirements</w:t>
      </w:r>
    </w:p>
    <w:p w14:paraId="114DFF1D" w14:textId="77777777" w:rsidR="00474FA4" w:rsidRPr="00474FA4" w:rsidRDefault="00474FA4" w:rsidP="00474FA4">
      <w:pPr>
        <w:spacing w:after="0" w:line="240" w:lineRule="auto"/>
        <w:ind w:left="360"/>
      </w:pPr>
    </w:p>
    <w:p w14:paraId="7840C1E4" w14:textId="77777777" w:rsidR="00474FA4" w:rsidRPr="00474FA4" w:rsidRDefault="00474FA4" w:rsidP="00A07209">
      <w:pPr>
        <w:numPr>
          <w:ilvl w:val="0"/>
          <w:numId w:val="92"/>
        </w:numPr>
        <w:spacing w:after="0" w:line="240" w:lineRule="auto"/>
      </w:pPr>
      <w:r>
        <w:t>Investigators and key personnel will follow HRPP policy [</w:t>
      </w:r>
      <w:hyperlink r:id="rId114" w:history="1">
        <w:r>
          <w:rPr>
            <w:color w:val="0000FF"/>
            <w:u w:val="single"/>
          </w:rPr>
          <w:t>Event Reporting-Unanticipated Problems Involving Risks to Subjects or Others, Adverse Events, and Other Problems</w:t>
        </w:r>
      </w:hyperlink>
      <w:r>
        <w:t>] for reporting problems to the IRB.</w:t>
      </w:r>
    </w:p>
    <w:p w14:paraId="675B372B" w14:textId="77777777" w:rsidR="00474FA4" w:rsidRPr="00474FA4" w:rsidRDefault="00474FA4" w:rsidP="00474FA4">
      <w:pPr>
        <w:spacing w:after="0" w:line="240" w:lineRule="auto"/>
        <w:ind w:left="360"/>
      </w:pPr>
    </w:p>
    <w:p w14:paraId="316069D4" w14:textId="77777777" w:rsidR="00474FA4" w:rsidRPr="00474FA4" w:rsidRDefault="00474FA4" w:rsidP="00A07209">
      <w:pPr>
        <w:numPr>
          <w:ilvl w:val="0"/>
          <w:numId w:val="92"/>
        </w:numPr>
        <w:spacing w:after="0" w:line="240" w:lineRule="auto"/>
      </w:pPr>
      <w:r>
        <w:t>Investigators and key personnel will follow HRPP policy [</w:t>
      </w:r>
      <w:hyperlink r:id="rId115" w:history="1">
        <w:r>
          <w:rPr>
            <w:color w:val="0000FF"/>
            <w:u w:val="single"/>
          </w:rPr>
          <w:t>Noncompliance</w:t>
        </w:r>
      </w:hyperlink>
      <w:r>
        <w:t>] for reporting to the IRB any potential noncompliance with applicable regulations, state or local laws, university policies, HRPP policies, or the requirements or determinations of the IRB.</w:t>
      </w:r>
    </w:p>
    <w:p w14:paraId="5AC8B17F" w14:textId="77777777" w:rsidR="00474FA4" w:rsidRPr="00474FA4" w:rsidRDefault="00474FA4" w:rsidP="00474FA4">
      <w:pPr>
        <w:spacing w:after="0" w:line="240" w:lineRule="auto"/>
      </w:pPr>
    </w:p>
    <w:p w14:paraId="604E39EA" w14:textId="77777777" w:rsidR="00474FA4" w:rsidRPr="00474FA4" w:rsidRDefault="00474FA4" w:rsidP="00A07209">
      <w:pPr>
        <w:numPr>
          <w:ilvl w:val="0"/>
          <w:numId w:val="92"/>
        </w:numPr>
        <w:spacing w:after="0" w:line="240" w:lineRule="auto"/>
      </w:pPr>
      <w:r>
        <w:t>Investigators will provide a final study report to the IRB and any other required reports to sponsors or funding/regulatory agencies, as applicable, when all research activities have ended (including data analysis with individually identifiable private information).</w:t>
      </w:r>
    </w:p>
    <w:p w14:paraId="3410AB9D" w14:textId="77777777" w:rsidR="00474FA4" w:rsidRPr="00474FA4" w:rsidRDefault="00474FA4" w:rsidP="00474FA4">
      <w:pPr>
        <w:spacing w:after="0" w:line="240" w:lineRule="auto"/>
        <w:ind w:left="720"/>
      </w:pPr>
    </w:p>
    <w:p w14:paraId="7E946532" w14:textId="77777777" w:rsidR="00474FA4" w:rsidRPr="00474FA4" w:rsidRDefault="00474FA4" w:rsidP="00A07209">
      <w:pPr>
        <w:numPr>
          <w:ilvl w:val="0"/>
          <w:numId w:val="92"/>
        </w:numPr>
        <w:spacing w:after="0" w:line="240" w:lineRule="auto"/>
      </w:pPr>
      <w:r>
        <w:t xml:space="preserve">Investigators will report to the IRB (or designees) requests for audits, inspections, or other research-related inquiries from a federal agency. For information on preparing for FDA inspections, see </w:t>
      </w:r>
      <w:hyperlink r:id="rId116" w:history="1">
        <w:r>
          <w:rPr>
            <w:color w:val="0000FF"/>
            <w:u w:val="single"/>
          </w:rPr>
          <w:t>Investigator/Staff Guidance for FDA Inspections</w:t>
        </w:r>
      </w:hyperlink>
      <w:r>
        <w:t xml:space="preserve"> on the ORRP website.</w:t>
      </w:r>
    </w:p>
    <w:p w14:paraId="1DFB3417" w14:textId="77777777" w:rsidR="00474FA4" w:rsidRPr="00474FA4" w:rsidRDefault="00474FA4" w:rsidP="00474FA4">
      <w:pPr>
        <w:spacing w:after="0" w:line="240" w:lineRule="auto"/>
        <w:ind w:left="360"/>
      </w:pPr>
    </w:p>
    <w:p w14:paraId="490A12D3" w14:textId="77777777" w:rsidR="00474FA4" w:rsidRPr="00474FA4" w:rsidRDefault="00474FA4" w:rsidP="00A07209">
      <w:pPr>
        <w:numPr>
          <w:ilvl w:val="0"/>
          <w:numId w:val="92"/>
        </w:numPr>
        <w:spacing w:after="0" w:line="240" w:lineRule="auto"/>
      </w:pPr>
      <w:r>
        <w:t>Investigators will maintain research-related records (including original or “source” documents) in a manner that documents the validity of the research and integrity of the data collected, while protecting the data’s confidentiality and the privacy of research participants. Investigators are responsible for the accuracy, completeness, legibility, and timeliness of the data recorded and reported in research and in research publications.</w:t>
      </w:r>
    </w:p>
    <w:p w14:paraId="2280F289" w14:textId="77777777" w:rsidR="00474FA4" w:rsidRPr="00474FA4" w:rsidRDefault="00474FA4" w:rsidP="00474FA4">
      <w:pPr>
        <w:spacing w:after="0" w:line="240" w:lineRule="auto"/>
      </w:pPr>
    </w:p>
    <w:p w14:paraId="47E528FE" w14:textId="77777777" w:rsidR="00474FA4" w:rsidRPr="00474FA4" w:rsidRDefault="00474FA4" w:rsidP="00A07209">
      <w:pPr>
        <w:numPr>
          <w:ilvl w:val="0"/>
          <w:numId w:val="92"/>
        </w:numPr>
        <w:spacing w:after="0" w:line="240" w:lineRule="auto"/>
      </w:pPr>
      <w:r>
        <w:t xml:space="preserve">Investigators will retain research-related records (e.g., the study protocol, consent forms, IRB correspondence, etc.) at the university for audit or inspection for a period of at least three years after the research has ended (or longer, according to sponsor or publication requirements). Such records may be preserved in hardcopy, electronic, or other media form that comply with sponsor, federal, and university requirements. Combined informed consent and HIPAA research authorization forms or stand-alone HIPAA research authorization forms must be retained for a period of at least six years after the study is closed. Primary research data will be retained for a minimum of five years after final project closeout. Arrangements will be made for appropriate transfer of data/record retention responsibilities for investigators who leave the university. For more information on data retention or transfer in the event an investigator leaves the university, see the university </w:t>
      </w:r>
      <w:hyperlink r:id="rId117" w:history="1">
        <w:r>
          <w:rPr>
            <w:color w:val="0000FF"/>
            <w:u w:val="single"/>
          </w:rPr>
          <w:t>Research Data</w:t>
        </w:r>
      </w:hyperlink>
      <w:r>
        <w:rPr>
          <w:color w:val="000000"/>
        </w:rPr>
        <w:t xml:space="preserve"> policy. </w:t>
      </w:r>
      <w:r>
        <w:rPr>
          <w:color w:val="000000"/>
        </w:rPr>
        <w:br/>
      </w:r>
      <w:r>
        <w:rPr>
          <w:i/>
          <w:iCs/>
          <w:color w:val="000000"/>
        </w:rPr>
        <w:t>Note: Electronic FDA-regulated research records must comply with 21 CFR Part 11.</w:t>
      </w:r>
      <w:r>
        <w:rPr>
          <w:color w:val="000000"/>
        </w:rPr>
        <w:t xml:space="preserve"> </w:t>
      </w:r>
    </w:p>
    <w:p w14:paraId="3D626D18" w14:textId="77777777" w:rsidR="00474FA4" w:rsidRPr="00474FA4" w:rsidRDefault="00474FA4" w:rsidP="00474FA4">
      <w:pPr>
        <w:spacing w:after="0" w:line="240" w:lineRule="auto"/>
      </w:pPr>
    </w:p>
    <w:p w14:paraId="03FFFCE0" w14:textId="77777777" w:rsidR="00474FA4" w:rsidRPr="00474FA4" w:rsidRDefault="00474FA4" w:rsidP="00A07209">
      <w:pPr>
        <w:numPr>
          <w:ilvl w:val="0"/>
          <w:numId w:val="92"/>
        </w:numPr>
        <w:spacing w:after="0" w:line="240" w:lineRule="auto"/>
      </w:pPr>
      <w:r>
        <w:rPr>
          <w:color w:val="000000"/>
        </w:rPr>
        <w:t xml:space="preserve">Methods for handling and storing data (including the use of personal computers and portable storage devices) must comply with university policies on </w:t>
      </w:r>
      <w:hyperlink r:id="rId118" w:history="1">
        <w:r>
          <w:rPr>
            <w:color w:val="0000FF"/>
            <w:u w:val="single"/>
          </w:rPr>
          <w:t>Institutional Data</w:t>
        </w:r>
      </w:hyperlink>
      <w:r>
        <w:rPr>
          <w:color w:val="000000"/>
        </w:rPr>
        <w:t xml:space="preserve"> and </w:t>
      </w:r>
      <w:hyperlink r:id="rId119" w:history="1">
        <w:r>
          <w:rPr>
            <w:color w:val="0000FF"/>
            <w:u w:val="single"/>
          </w:rPr>
          <w:t>Research Data</w:t>
        </w:r>
      </w:hyperlink>
      <w:r>
        <w:rPr>
          <w:color w:val="0000FF"/>
          <w:u w:val="single"/>
        </w:rPr>
        <w:t>.</w:t>
      </w:r>
      <w:r>
        <w:rPr>
          <w:color w:val="0000FF"/>
          <w:u w:val="single"/>
        </w:rPr>
        <w:br/>
      </w:r>
      <w:r>
        <w:rPr>
          <w:color w:val="0000FF"/>
          <w:u w:val="single"/>
        </w:rPr>
        <w:br/>
      </w:r>
    </w:p>
    <w:p w14:paraId="0E94D7F9" w14:textId="77777777" w:rsidR="00474FA4" w:rsidRPr="00474FA4" w:rsidRDefault="00474FA4" w:rsidP="00474FA4">
      <w:pPr>
        <w:spacing w:after="0" w:line="240" w:lineRule="auto"/>
        <w:ind w:left="360"/>
        <w:rPr>
          <w:b/>
        </w:rPr>
      </w:pPr>
    </w:p>
    <w:p w14:paraId="7F2E2094" w14:textId="77777777" w:rsidR="00474FA4" w:rsidRPr="00474FA4" w:rsidRDefault="00474FA4" w:rsidP="00A07209">
      <w:pPr>
        <w:numPr>
          <w:ilvl w:val="0"/>
          <w:numId w:val="91"/>
        </w:numPr>
        <w:spacing w:after="0" w:line="240" w:lineRule="auto"/>
        <w:rPr>
          <w:b/>
        </w:rPr>
      </w:pPr>
      <w:r>
        <w:rPr>
          <w:b/>
          <w:bCs/>
        </w:rPr>
        <w:lastRenderedPageBreak/>
        <w:t>Additional Requirements for Investigators Following ICH-GCP Guidance</w:t>
      </w:r>
    </w:p>
    <w:p w14:paraId="27A4C5A7" w14:textId="77777777" w:rsidR="00474FA4" w:rsidRPr="00474FA4" w:rsidRDefault="00474FA4" w:rsidP="00474FA4">
      <w:pPr>
        <w:spacing w:after="0" w:line="240" w:lineRule="auto"/>
        <w:ind w:left="1080"/>
        <w:rPr>
          <w:b/>
        </w:rPr>
      </w:pPr>
    </w:p>
    <w:p w14:paraId="773F631E" w14:textId="77777777" w:rsidR="00474FA4" w:rsidRPr="00474FA4" w:rsidRDefault="00474FA4" w:rsidP="00A07209">
      <w:pPr>
        <w:numPr>
          <w:ilvl w:val="0"/>
          <w:numId w:val="93"/>
        </w:numPr>
        <w:spacing w:after="0" w:line="240" w:lineRule="auto"/>
        <w:rPr>
          <w:b/>
        </w:rPr>
      </w:pPr>
      <w:r>
        <w:t>Good Clinical Practice (GCP) guidance developed by the International Conference on Harmonisation of Technical Requirements for the Registration of Pharmaceuticals for Human Use (ICH) defines the roles and responsibilities of IRBs, investigators, monitors, and sponsors in clinical trials involving human subjects. The responsibilities described by ICH-GCP guidance include requirements for investigators conducting clinical trials in addition to those of DHHS and FDA regulations and HRPP policies. For a list of the added investigator responsibilities required by ICH-GCP guidance, see HRPP policy [</w:t>
      </w:r>
      <w:hyperlink r:id="rId120" w:history="1">
        <w:r>
          <w:rPr>
            <w:color w:val="0000FF"/>
            <w:u w:val="single"/>
          </w:rPr>
          <w:t>Additional Requirements for Clinical Research ICH-GCP</w:t>
        </w:r>
      </w:hyperlink>
      <w:r>
        <w:t>].</w:t>
      </w:r>
    </w:p>
    <w:p w14:paraId="55CA72BA" w14:textId="77777777" w:rsidR="00474FA4" w:rsidRPr="00474FA4" w:rsidRDefault="00474FA4" w:rsidP="00474FA4">
      <w:pPr>
        <w:spacing w:after="0" w:line="240" w:lineRule="auto"/>
        <w:ind w:left="360"/>
        <w:rPr>
          <w:b/>
        </w:rPr>
      </w:pPr>
    </w:p>
    <w:p w14:paraId="52A03B16" w14:textId="77777777" w:rsidR="00474FA4" w:rsidRPr="00474FA4" w:rsidRDefault="00474FA4" w:rsidP="00A07209">
      <w:pPr>
        <w:numPr>
          <w:ilvl w:val="0"/>
          <w:numId w:val="93"/>
        </w:numPr>
        <w:spacing w:after="0" w:line="240" w:lineRule="auto"/>
        <w:rPr>
          <w:b/>
        </w:rPr>
      </w:pPr>
      <w:r>
        <w:t xml:space="preserve">All investigators conducting human subjects research at Ohio State who follow ICH-GCP guidance must also comply with other applicable </w:t>
      </w:r>
      <w:hyperlink r:id="rId121" w:history="1">
        <w:r>
          <w:rPr>
            <w:color w:val="0000FF"/>
            <w:u w:val="single"/>
          </w:rPr>
          <w:t>HRPP policies</w:t>
        </w:r>
      </w:hyperlink>
      <w:r>
        <w:t>.</w:t>
      </w:r>
    </w:p>
    <w:p w14:paraId="68079BF3" w14:textId="77777777" w:rsidR="00474FA4" w:rsidRPr="00474FA4" w:rsidRDefault="00474FA4" w:rsidP="00474FA4">
      <w:pPr>
        <w:spacing w:after="0" w:line="240" w:lineRule="auto"/>
      </w:pPr>
    </w:p>
    <w:p w14:paraId="06F694C5" w14:textId="77777777" w:rsidR="00474FA4" w:rsidRPr="00474FA4" w:rsidRDefault="00474FA4" w:rsidP="00A07209">
      <w:pPr>
        <w:numPr>
          <w:ilvl w:val="0"/>
          <w:numId w:val="93"/>
        </w:numPr>
        <w:spacing w:after="0" w:line="240" w:lineRule="auto"/>
        <w:rPr>
          <w:b/>
        </w:rPr>
      </w:pPr>
      <w:r>
        <w:t xml:space="preserve">For more detailed information on ICH-GCP guidance, including a glossary of terms and the complete list of institutional, investigator, and sponsor responsibilities, see </w:t>
      </w:r>
      <w:hyperlink r:id="rId122" w:history="1">
        <w:r>
          <w:rPr>
            <w:color w:val="0000FF"/>
            <w:u w:val="single"/>
          </w:rPr>
          <w:t>ICH E6: Good Clinical Practice: Consolidated Guidance</w:t>
        </w:r>
      </w:hyperlink>
      <w:r>
        <w:t>.</w:t>
      </w:r>
    </w:p>
    <w:p w14:paraId="3CB5F4BA" w14:textId="77777777" w:rsidR="00474FA4" w:rsidRPr="00474FA4" w:rsidRDefault="00474FA4" w:rsidP="00474FA4">
      <w:pPr>
        <w:autoSpaceDE w:val="0"/>
        <w:autoSpaceDN w:val="0"/>
        <w:adjustRightInd w:val="0"/>
        <w:spacing w:after="0" w:line="240" w:lineRule="auto"/>
        <w:ind w:left="1080"/>
        <w:rPr>
          <w:color w:val="000000"/>
        </w:rPr>
      </w:pPr>
    </w:p>
    <w:p w14:paraId="2B7A4F06" w14:textId="77777777" w:rsidR="00474FA4" w:rsidRPr="00474FA4" w:rsidRDefault="00474FA4" w:rsidP="00A07209">
      <w:pPr>
        <w:numPr>
          <w:ilvl w:val="0"/>
          <w:numId w:val="91"/>
        </w:numPr>
        <w:spacing w:after="0" w:line="240" w:lineRule="auto"/>
        <w:rPr>
          <w:b/>
          <w:color w:val="000000"/>
        </w:rPr>
      </w:pPr>
      <w:r>
        <w:rPr>
          <w:b/>
        </w:rPr>
        <w:t>Applicable Regulations/Guidance</w:t>
      </w:r>
    </w:p>
    <w:p w14:paraId="0E366FA6" w14:textId="77777777" w:rsidR="00474FA4" w:rsidRPr="00474FA4" w:rsidRDefault="00474FA4" w:rsidP="00474FA4">
      <w:pPr>
        <w:spacing w:after="0" w:line="240" w:lineRule="auto"/>
        <w:ind w:left="1080"/>
        <w:rPr>
          <w:b/>
        </w:rPr>
      </w:pPr>
    </w:p>
    <w:p w14:paraId="5965FE4F" w14:textId="77777777" w:rsidR="00474FA4" w:rsidRPr="00474FA4" w:rsidRDefault="00474FA4" w:rsidP="00474FA4">
      <w:pPr>
        <w:spacing w:after="0" w:line="240" w:lineRule="auto"/>
        <w:ind w:left="360"/>
      </w:pPr>
      <w:r>
        <w:t xml:space="preserve">21 CFR 56.111, 21 CFR 312, 21 CFR 812, 45 CFR 46.111, FDA Draft Guidance “Protecting the Rights, Safety, and Welfare of Study Subjects – Supervisory Responsibilities of Investigators” (05/10/2007), </w:t>
      </w:r>
      <w:hyperlink r:id="rId123" w:history="1">
        <w:r>
          <w:rPr>
            <w:color w:val="0000FF"/>
            <w:u w:val="single"/>
          </w:rPr>
          <w:t>FDA Guidance “Part 11, Electronic Records; Electronic Signatures – Scope and Application”</w:t>
        </w:r>
      </w:hyperlink>
      <w:r>
        <w:t xml:space="preserve"> (09/2003),  ICH “Guidance for Industry: E6 Good Clinical Practice: Consolidated Guidance” (03/2018), OHRP Frequently Asked Questions About Human Research “</w:t>
      </w:r>
      <w:hyperlink r:id="rId124" w:history="1">
        <w:r>
          <w:rPr>
            <w:color w:val="0000FF"/>
            <w:u w:val="single"/>
          </w:rPr>
          <w:t>Investigator Responsibilities FAQs</w:t>
        </w:r>
      </w:hyperlink>
      <w:r>
        <w:t>”</w:t>
      </w:r>
    </w:p>
    <w:p w14:paraId="38D9EFB8" w14:textId="77777777" w:rsidR="00474FA4" w:rsidRPr="00474FA4" w:rsidRDefault="00474FA4" w:rsidP="00474FA4">
      <w:pPr>
        <w:spacing w:after="0" w:line="240" w:lineRule="auto"/>
        <w:ind w:left="360"/>
      </w:pPr>
    </w:p>
    <w:p w14:paraId="1BCE4993" w14:textId="77777777" w:rsidR="00474FA4" w:rsidRPr="00474FA4" w:rsidRDefault="00474FA4" w:rsidP="00A07209">
      <w:pPr>
        <w:numPr>
          <w:ilvl w:val="0"/>
          <w:numId w:val="91"/>
        </w:numPr>
        <w:spacing w:after="0" w:line="240" w:lineRule="auto"/>
        <w:rPr>
          <w:b/>
        </w:rPr>
      </w:pPr>
      <w:r>
        <w:rPr>
          <w:b/>
        </w:rPr>
        <w:t xml:space="preserve">History </w:t>
      </w:r>
    </w:p>
    <w:p w14:paraId="53E95D2D" w14:textId="77777777" w:rsidR="00474FA4" w:rsidRPr="00474FA4" w:rsidRDefault="00474FA4" w:rsidP="00474FA4">
      <w:pPr>
        <w:spacing w:after="0" w:line="240" w:lineRule="auto"/>
        <w:ind w:left="360"/>
      </w:pPr>
    </w:p>
    <w:p w14:paraId="3AA859D8" w14:textId="77777777" w:rsidR="00474FA4" w:rsidRPr="00474FA4" w:rsidRDefault="00474FA4" w:rsidP="00474FA4">
      <w:pPr>
        <w:spacing w:after="0" w:line="240" w:lineRule="auto"/>
        <w:ind w:left="360"/>
      </w:pPr>
      <w:r>
        <w:t>Issued: 04/16/2012</w:t>
      </w:r>
    </w:p>
    <w:p w14:paraId="678B8CC8" w14:textId="77777777" w:rsidR="00474FA4" w:rsidRPr="00474FA4" w:rsidRDefault="00474FA4" w:rsidP="00474FA4">
      <w:pPr>
        <w:spacing w:after="0" w:line="240" w:lineRule="auto"/>
        <w:ind w:left="360"/>
      </w:pPr>
      <w:r>
        <w:t>Revised: 08/07/2012, 12/17/2018, 11/25/2019, 07/20/2020</w:t>
      </w:r>
    </w:p>
    <w:p w14:paraId="6FA4C246" w14:textId="77777777" w:rsidR="00474FA4" w:rsidRPr="00474FA4" w:rsidRDefault="00474FA4" w:rsidP="00474FA4">
      <w:pPr>
        <w:spacing w:after="0" w:line="240" w:lineRule="auto"/>
        <w:ind w:left="360"/>
      </w:pPr>
      <w:r>
        <w:t>Edited: 12/19/2016, 01/14/2022</w:t>
      </w:r>
    </w:p>
    <w:p w14:paraId="1EBDEDAB" w14:textId="77777777" w:rsidR="00F2286B" w:rsidRDefault="00474FA4" w:rsidP="00F2286B">
      <w:pPr>
        <w:spacing w:after="0" w:line="240" w:lineRule="auto"/>
        <w:ind w:left="360"/>
      </w:pPr>
      <w:r>
        <w:t xml:space="preserve"> </w:t>
      </w:r>
    </w:p>
    <w:p w14:paraId="775384DF" w14:textId="77777777" w:rsidR="00F2286B" w:rsidRDefault="00F2286B">
      <w:r>
        <w:br w:type="page"/>
      </w:r>
    </w:p>
    <w:p w14:paraId="5A1D515A" w14:textId="77777777" w:rsidR="009F23E1" w:rsidRPr="009F23E1" w:rsidRDefault="26DF661C" w:rsidP="00F2286B">
      <w:pPr>
        <w:pStyle w:val="Heading2"/>
      </w:pPr>
      <w:bookmarkStart w:id="239" w:name="_Toc697834696"/>
      <w:bookmarkStart w:id="240" w:name="B5"/>
      <w:bookmarkStart w:id="241" w:name="_Toc212142202"/>
      <w:bookmarkStart w:id="242" w:name="_Toc225507742"/>
      <w:r>
        <w:lastRenderedPageBreak/>
        <w:t>Appendix B-5</w:t>
      </w:r>
      <w:bookmarkEnd w:id="239"/>
      <w:r>
        <w:t xml:space="preserve">  </w:t>
      </w:r>
      <w:bookmarkEnd w:id="240"/>
      <w:r>
        <w:tab/>
        <w:t>HRPP Quality Improvement Activities</w:t>
      </w:r>
      <w:bookmarkEnd w:id="241"/>
      <w:bookmarkEnd w:id="242"/>
    </w:p>
    <w:p w14:paraId="31C6CABB" w14:textId="77777777" w:rsidR="009F23E1" w:rsidRPr="009F23E1" w:rsidRDefault="009F23E1" w:rsidP="009F23E1">
      <w:pPr>
        <w:spacing w:after="0" w:line="240" w:lineRule="auto"/>
        <w:rPr>
          <w:b/>
        </w:rPr>
      </w:pPr>
    </w:p>
    <w:p w14:paraId="325C2407" w14:textId="77777777" w:rsidR="009F23E1" w:rsidRPr="009F23E1" w:rsidRDefault="009F23E1" w:rsidP="00A07209">
      <w:pPr>
        <w:numPr>
          <w:ilvl w:val="0"/>
          <w:numId w:val="58"/>
        </w:numPr>
        <w:spacing w:after="0" w:line="240" w:lineRule="auto"/>
        <w:rPr>
          <w:b/>
        </w:rPr>
      </w:pPr>
      <w:r>
        <w:rPr>
          <w:b/>
        </w:rPr>
        <w:t>Overview</w:t>
      </w:r>
    </w:p>
    <w:p w14:paraId="13DEEDF2" w14:textId="77777777" w:rsidR="009F23E1" w:rsidRPr="009F23E1" w:rsidRDefault="009F23E1" w:rsidP="009F23E1">
      <w:pPr>
        <w:spacing w:after="0" w:line="240" w:lineRule="auto"/>
        <w:rPr>
          <w:b/>
        </w:rPr>
      </w:pPr>
    </w:p>
    <w:p w14:paraId="6A5B28BD" w14:textId="77777777" w:rsidR="009F23E1" w:rsidRPr="009F23E1" w:rsidRDefault="009F23E1" w:rsidP="009F23E1">
      <w:pPr>
        <w:spacing w:after="0" w:line="240" w:lineRule="auto"/>
        <w:ind w:left="360"/>
      </w:pPr>
      <w:r>
        <w:t>The Human Research Protection Program (HRPP) supports a quality improvement (QI) program to promote and maintain ethical research conduct and compliance with state and federal regulations, federal guidance, institutional policies, and best practices for human subjects protections. All Ohio State human subjects research and activities of the HRPP are included in the scope of the QI program. The HRPP QI program evaluates and improves human research protections and HRPP activities through education, training, and monitoring.</w:t>
      </w:r>
    </w:p>
    <w:p w14:paraId="4636D3F8" w14:textId="77777777" w:rsidR="009F23E1" w:rsidRPr="009F23E1" w:rsidRDefault="009F23E1" w:rsidP="009F23E1">
      <w:pPr>
        <w:spacing w:after="0" w:line="240" w:lineRule="auto"/>
      </w:pPr>
    </w:p>
    <w:p w14:paraId="406EADDB" w14:textId="77777777" w:rsidR="009F23E1" w:rsidRPr="009F23E1" w:rsidRDefault="009F23E1" w:rsidP="00A07209">
      <w:pPr>
        <w:numPr>
          <w:ilvl w:val="0"/>
          <w:numId w:val="58"/>
        </w:numPr>
        <w:spacing w:after="0" w:line="240" w:lineRule="auto"/>
        <w:rPr>
          <w:b/>
        </w:rPr>
      </w:pPr>
      <w:r>
        <w:rPr>
          <w:b/>
        </w:rPr>
        <w:t>Definitions</w:t>
      </w:r>
    </w:p>
    <w:p w14:paraId="71107F73" w14:textId="77777777" w:rsidR="009F23E1" w:rsidRPr="009F23E1" w:rsidRDefault="009F23E1" w:rsidP="009F23E1">
      <w:pPr>
        <w:autoSpaceDE w:val="0"/>
        <w:autoSpaceDN w:val="0"/>
        <w:adjustRightInd w:val="0"/>
        <w:spacing w:after="0" w:line="240" w:lineRule="auto"/>
        <w:rPr>
          <w:b/>
          <w:highlight w:val="yellow"/>
        </w:rPr>
      </w:pPr>
    </w:p>
    <w:p w14:paraId="20F65744" w14:textId="77777777" w:rsidR="009F23E1" w:rsidRPr="009F23E1" w:rsidRDefault="009F23E1" w:rsidP="009F23E1">
      <w:pPr>
        <w:spacing w:after="0" w:line="240" w:lineRule="auto"/>
        <w:ind w:left="360"/>
      </w:pPr>
      <w:r>
        <w:rPr>
          <w:b/>
        </w:rPr>
        <w:t xml:space="preserve">Quality Improvement: </w:t>
      </w:r>
      <w:r>
        <w:t>A process initiated to develop/enhance a practice or procedure and to institutionalize the practice or procedure.</w:t>
      </w:r>
    </w:p>
    <w:p w14:paraId="257E822E" w14:textId="77777777" w:rsidR="009F23E1" w:rsidRPr="009F23E1" w:rsidRDefault="009F23E1" w:rsidP="009F23E1">
      <w:pPr>
        <w:spacing w:after="0" w:line="240" w:lineRule="auto"/>
        <w:ind w:left="360"/>
      </w:pPr>
    </w:p>
    <w:p w14:paraId="0154D437" w14:textId="77777777" w:rsidR="009F23E1" w:rsidRPr="009F23E1" w:rsidRDefault="009F23E1" w:rsidP="009F23E1">
      <w:pPr>
        <w:widowControl w:val="0"/>
        <w:autoSpaceDE w:val="0"/>
        <w:autoSpaceDN w:val="0"/>
        <w:adjustRightInd w:val="0"/>
        <w:spacing w:after="0" w:line="240" w:lineRule="auto"/>
        <w:ind w:left="360"/>
      </w:pPr>
      <w:r>
        <w:rPr>
          <w:b/>
        </w:rPr>
        <w:t xml:space="preserve">Audit: </w:t>
      </w:r>
      <w:r>
        <w:t>A systematic review, inspection, or verification, typically conducted by an independent individual or group.</w:t>
      </w:r>
    </w:p>
    <w:p w14:paraId="2E5DE99E" w14:textId="77777777" w:rsidR="009F23E1" w:rsidRPr="009F23E1" w:rsidRDefault="009F23E1" w:rsidP="009F23E1">
      <w:pPr>
        <w:spacing w:after="0" w:line="240" w:lineRule="auto"/>
      </w:pPr>
    </w:p>
    <w:p w14:paraId="63D82F9C" w14:textId="77777777" w:rsidR="009F23E1" w:rsidRPr="009F23E1" w:rsidRDefault="009F23E1" w:rsidP="009F23E1">
      <w:pPr>
        <w:spacing w:after="0" w:line="240" w:lineRule="auto"/>
        <w:ind w:left="360"/>
      </w:pPr>
      <w:r>
        <w:rPr>
          <w:b/>
        </w:rPr>
        <w:t xml:space="preserve">Routine (Not-for-Cause) Review: </w:t>
      </w:r>
      <w:r>
        <w:t>An assessment or examination of something (e.g., a research practice or procedure) with the possibility or intention of instituting change if necessary.</w:t>
      </w:r>
    </w:p>
    <w:p w14:paraId="77A75783" w14:textId="77777777" w:rsidR="009F23E1" w:rsidRPr="009F23E1" w:rsidRDefault="009F23E1" w:rsidP="009F23E1">
      <w:pPr>
        <w:spacing w:after="0" w:line="240" w:lineRule="auto"/>
        <w:ind w:left="360"/>
      </w:pPr>
    </w:p>
    <w:p w14:paraId="69D52B08" w14:textId="77777777" w:rsidR="009F23E1" w:rsidRPr="009F23E1" w:rsidRDefault="009F23E1" w:rsidP="009F23E1">
      <w:pPr>
        <w:spacing w:after="0" w:line="240" w:lineRule="auto"/>
        <w:ind w:left="360"/>
      </w:pPr>
      <w:r>
        <w:rPr>
          <w:b/>
        </w:rPr>
        <w:t xml:space="preserve">Directed (For-Cause) Audit/Review: </w:t>
      </w:r>
      <w:r>
        <w:t>An audit of research and/or investigators initiated at the request of the IRB or institutional official to obtain or verify information necessary to ensure compliance with regulations and institutional requirements and to inform decisions about the conduct of human subjects research and/or human subjects protection.</w:t>
      </w:r>
    </w:p>
    <w:p w14:paraId="31E0C838" w14:textId="77777777" w:rsidR="009F23E1" w:rsidRPr="009F23E1" w:rsidRDefault="009F23E1" w:rsidP="009F23E1">
      <w:pPr>
        <w:spacing w:after="0" w:line="240" w:lineRule="auto"/>
      </w:pPr>
    </w:p>
    <w:p w14:paraId="176DDEEB" w14:textId="77777777" w:rsidR="009F23E1" w:rsidRPr="009F23E1" w:rsidRDefault="009F23E1" w:rsidP="00A07209">
      <w:pPr>
        <w:numPr>
          <w:ilvl w:val="0"/>
          <w:numId w:val="58"/>
        </w:numPr>
        <w:spacing w:after="0" w:line="240" w:lineRule="auto"/>
        <w:rPr>
          <w:b/>
        </w:rPr>
      </w:pPr>
      <w:bookmarkStart w:id="243" w:name="sec3"/>
      <w:bookmarkEnd w:id="243"/>
      <w:r>
        <w:rPr>
          <w:b/>
        </w:rPr>
        <w:t>Scope of QI Program</w:t>
      </w:r>
    </w:p>
    <w:p w14:paraId="6D0D974A" w14:textId="77777777" w:rsidR="009F23E1" w:rsidRPr="009F23E1" w:rsidRDefault="009F23E1" w:rsidP="009F23E1">
      <w:pPr>
        <w:spacing w:after="0" w:line="240" w:lineRule="auto"/>
        <w:ind w:left="360"/>
        <w:rPr>
          <w:b/>
        </w:rPr>
      </w:pPr>
    </w:p>
    <w:p w14:paraId="3D71DB62" w14:textId="77777777" w:rsidR="009F23E1" w:rsidRPr="009F23E1" w:rsidRDefault="009F23E1" w:rsidP="009F23E1">
      <w:pPr>
        <w:spacing w:after="60" w:line="240" w:lineRule="auto"/>
        <w:ind w:left="360"/>
      </w:pPr>
      <w:r>
        <w:t>The QI program focuses primarily on review and monitoring of the activities, policies, procedures, and records for the following groups:</w:t>
      </w:r>
    </w:p>
    <w:p w14:paraId="53FA0ED9" w14:textId="77777777" w:rsidR="009F23E1" w:rsidRPr="009F23E1" w:rsidRDefault="009F23E1" w:rsidP="00A07209">
      <w:pPr>
        <w:numPr>
          <w:ilvl w:val="0"/>
          <w:numId w:val="59"/>
        </w:numPr>
        <w:tabs>
          <w:tab w:val="num" w:pos="1080"/>
        </w:tabs>
        <w:spacing w:after="60" w:line="240" w:lineRule="auto"/>
        <w:ind w:left="1080"/>
      </w:pPr>
      <w:r>
        <w:t>Investigators and research staff participating in human subjects research</w:t>
      </w:r>
    </w:p>
    <w:p w14:paraId="3B188947" w14:textId="77777777" w:rsidR="009F23E1" w:rsidRPr="009F23E1" w:rsidRDefault="009F23E1" w:rsidP="00A07209">
      <w:pPr>
        <w:numPr>
          <w:ilvl w:val="0"/>
          <w:numId w:val="59"/>
        </w:numPr>
        <w:tabs>
          <w:tab w:val="num" w:pos="1080"/>
        </w:tabs>
        <w:spacing w:after="60" w:line="240" w:lineRule="auto"/>
        <w:ind w:left="1080"/>
      </w:pPr>
      <w:r>
        <w:t>IRBs</w:t>
      </w:r>
    </w:p>
    <w:p w14:paraId="37573898" w14:textId="77777777" w:rsidR="009F23E1" w:rsidRPr="009F23E1" w:rsidRDefault="009F23E1" w:rsidP="00A07209">
      <w:pPr>
        <w:numPr>
          <w:ilvl w:val="0"/>
          <w:numId w:val="59"/>
        </w:numPr>
        <w:tabs>
          <w:tab w:val="num" w:pos="1080"/>
        </w:tabs>
        <w:spacing w:after="60" w:line="240" w:lineRule="auto"/>
        <w:ind w:left="1080"/>
      </w:pPr>
      <w:r>
        <w:t>Office of Responsible Research Practices (ORRP) staff supporting IRB activities</w:t>
      </w:r>
    </w:p>
    <w:p w14:paraId="2822E3DB" w14:textId="77777777" w:rsidR="009F23E1" w:rsidRPr="009F23E1" w:rsidRDefault="009F23E1" w:rsidP="00A07209">
      <w:pPr>
        <w:numPr>
          <w:ilvl w:val="0"/>
          <w:numId w:val="59"/>
        </w:numPr>
        <w:tabs>
          <w:tab w:val="num" w:pos="1080"/>
        </w:tabs>
        <w:spacing w:after="0" w:line="240" w:lineRule="auto"/>
        <w:ind w:left="1080"/>
      </w:pPr>
      <w:r>
        <w:t>Individuals involved in HRPP education and outreach</w:t>
      </w:r>
    </w:p>
    <w:p w14:paraId="5D8C0AB8" w14:textId="77777777" w:rsidR="009F23E1" w:rsidRPr="009F23E1" w:rsidRDefault="009F23E1" w:rsidP="009F23E1">
      <w:pPr>
        <w:spacing w:after="0" w:line="240" w:lineRule="auto"/>
        <w:ind w:left="360"/>
        <w:rPr>
          <w:b/>
        </w:rPr>
      </w:pPr>
    </w:p>
    <w:p w14:paraId="60841D98" w14:textId="77777777" w:rsidR="009F23E1" w:rsidRPr="009F23E1" w:rsidRDefault="009F23E1" w:rsidP="009F23E1">
      <w:pPr>
        <w:spacing w:after="0" w:line="240" w:lineRule="auto"/>
        <w:ind w:left="360"/>
      </w:pPr>
      <w:r>
        <w:t>Routine (i.e., “not for cause”) review and monitoring activities will be performed based on HRPP needs, as approved by the IRB Policy Committee. Various methods of review may be used, including interview, observation, and records review. The scope of review will vary based on the individual QI project. Auditing (i.e., “for cause”) of specific research and/or investigators at the request of the IRBs or institutional official (IO) will also be performed as necessary to support IRB review, ensure human subjects protections, and meet HRPP QI goals.</w:t>
      </w:r>
    </w:p>
    <w:p w14:paraId="47702783" w14:textId="77777777" w:rsidR="009F23E1" w:rsidRPr="009F23E1" w:rsidRDefault="009F23E1" w:rsidP="009F23E1">
      <w:pPr>
        <w:spacing w:after="0" w:line="240" w:lineRule="auto"/>
        <w:rPr>
          <w:b/>
        </w:rPr>
      </w:pPr>
    </w:p>
    <w:p w14:paraId="34A89785" w14:textId="77777777" w:rsidR="009F23E1" w:rsidRPr="009F23E1" w:rsidRDefault="009F23E1" w:rsidP="009F23E1">
      <w:pPr>
        <w:spacing w:after="0" w:line="240" w:lineRule="auto"/>
        <w:rPr>
          <w:b/>
        </w:rPr>
      </w:pPr>
    </w:p>
    <w:p w14:paraId="42C9955E" w14:textId="77777777" w:rsidR="009F23E1" w:rsidRPr="009F23E1" w:rsidRDefault="009F23E1" w:rsidP="00A07209">
      <w:pPr>
        <w:numPr>
          <w:ilvl w:val="0"/>
          <w:numId w:val="58"/>
        </w:numPr>
        <w:spacing w:after="0" w:line="240" w:lineRule="auto"/>
        <w:rPr>
          <w:b/>
        </w:rPr>
      </w:pPr>
      <w:r>
        <w:rPr>
          <w:b/>
        </w:rPr>
        <w:t>QI Program Goals</w:t>
      </w:r>
    </w:p>
    <w:p w14:paraId="4A741F00" w14:textId="77777777" w:rsidR="009F23E1" w:rsidRPr="009F23E1" w:rsidRDefault="009F23E1" w:rsidP="009F23E1">
      <w:pPr>
        <w:spacing w:after="0" w:line="240" w:lineRule="auto"/>
        <w:rPr>
          <w:b/>
        </w:rPr>
      </w:pPr>
    </w:p>
    <w:p w14:paraId="63D61365" w14:textId="77777777" w:rsidR="009F23E1" w:rsidRPr="009F23E1" w:rsidRDefault="009F23E1" w:rsidP="009F23E1">
      <w:pPr>
        <w:spacing w:after="60" w:line="240" w:lineRule="auto"/>
        <w:ind w:left="360"/>
      </w:pPr>
      <w:r>
        <w:lastRenderedPageBreak/>
        <w:t>The purpose of the HRPP QI program is to verify and promote the following:</w:t>
      </w:r>
    </w:p>
    <w:p w14:paraId="26B30613" w14:textId="77777777" w:rsidR="009F23E1" w:rsidRPr="009F23E1" w:rsidRDefault="009F23E1" w:rsidP="00A07209">
      <w:pPr>
        <w:numPr>
          <w:ilvl w:val="0"/>
          <w:numId w:val="60"/>
        </w:numPr>
        <w:tabs>
          <w:tab w:val="num" w:pos="1080"/>
        </w:tabs>
        <w:spacing w:after="60" w:line="240" w:lineRule="auto"/>
        <w:ind w:left="1080"/>
        <w:rPr>
          <w:b/>
        </w:rPr>
      </w:pPr>
      <w:r>
        <w:t>Protection of the rights, welfare, and safety of human subjects participating in Ohio State research</w:t>
      </w:r>
    </w:p>
    <w:p w14:paraId="3CFCCE76" w14:textId="77777777" w:rsidR="009F23E1" w:rsidRPr="009F23E1" w:rsidRDefault="009F23E1" w:rsidP="00A07209">
      <w:pPr>
        <w:numPr>
          <w:ilvl w:val="0"/>
          <w:numId w:val="60"/>
        </w:numPr>
        <w:tabs>
          <w:tab w:val="num" w:pos="1080"/>
        </w:tabs>
        <w:spacing w:after="60" w:line="240" w:lineRule="auto"/>
        <w:ind w:left="1080"/>
        <w:rPr>
          <w:b/>
        </w:rPr>
      </w:pPr>
      <w:r>
        <w:t>Compliance with federal, state, and institutional requirements governing human subjects research</w:t>
      </w:r>
    </w:p>
    <w:p w14:paraId="49894A40" w14:textId="77777777" w:rsidR="009F23E1" w:rsidRPr="009F23E1" w:rsidRDefault="009F23E1" w:rsidP="00A07209">
      <w:pPr>
        <w:numPr>
          <w:ilvl w:val="0"/>
          <w:numId w:val="60"/>
        </w:numPr>
        <w:tabs>
          <w:tab w:val="num" w:pos="1080"/>
        </w:tabs>
        <w:spacing w:after="60" w:line="240" w:lineRule="auto"/>
        <w:ind w:left="1080"/>
        <w:rPr>
          <w:b/>
        </w:rPr>
      </w:pPr>
      <w:r>
        <w:t>Integrity of university research and HRPP activities</w:t>
      </w:r>
    </w:p>
    <w:p w14:paraId="32F25ABC" w14:textId="77777777" w:rsidR="009F23E1" w:rsidRPr="009F23E1" w:rsidRDefault="009F23E1" w:rsidP="00A07209">
      <w:pPr>
        <w:numPr>
          <w:ilvl w:val="0"/>
          <w:numId w:val="60"/>
        </w:numPr>
        <w:tabs>
          <w:tab w:val="num" w:pos="1080"/>
        </w:tabs>
        <w:spacing w:after="60" w:line="240" w:lineRule="auto"/>
        <w:ind w:left="1080"/>
        <w:rPr>
          <w:b/>
        </w:rPr>
      </w:pPr>
      <w:r>
        <w:t>Education and training of research stakeholders, including university faculty and administrators, investigators, research staff, IRB members, ORRP staff, and students involved in human subjects research</w:t>
      </w:r>
    </w:p>
    <w:p w14:paraId="168F9DD7" w14:textId="77777777" w:rsidR="009F23E1" w:rsidRPr="009F23E1" w:rsidRDefault="009F23E1" w:rsidP="00A07209">
      <w:pPr>
        <w:numPr>
          <w:ilvl w:val="0"/>
          <w:numId w:val="60"/>
        </w:numPr>
        <w:tabs>
          <w:tab w:val="num" w:pos="1080"/>
        </w:tabs>
        <w:spacing w:after="0" w:line="240" w:lineRule="auto"/>
        <w:ind w:left="1080"/>
        <w:rPr>
          <w:b/>
        </w:rPr>
      </w:pPr>
      <w:r>
        <w:t>Evaluation and follow-up of QI initiatives and corrective actions and implementation of new quality improvement activities</w:t>
      </w:r>
    </w:p>
    <w:p w14:paraId="1EA6F5C8" w14:textId="77777777" w:rsidR="009F23E1" w:rsidRPr="009F23E1" w:rsidRDefault="009F23E1" w:rsidP="009F23E1">
      <w:pPr>
        <w:spacing w:after="0" w:line="240" w:lineRule="auto"/>
      </w:pPr>
    </w:p>
    <w:p w14:paraId="062FC7BC" w14:textId="77777777" w:rsidR="009F23E1" w:rsidRPr="009F23E1" w:rsidRDefault="009F23E1" w:rsidP="00A07209">
      <w:pPr>
        <w:numPr>
          <w:ilvl w:val="0"/>
          <w:numId w:val="58"/>
        </w:numPr>
        <w:spacing w:after="0" w:line="240" w:lineRule="auto"/>
        <w:rPr>
          <w:b/>
          <w:bCs/>
        </w:rPr>
      </w:pPr>
      <w:bookmarkStart w:id="244" w:name="sec5"/>
      <w:bookmarkEnd w:id="244"/>
      <w:r>
        <w:rPr>
          <w:b/>
          <w:bCs/>
        </w:rPr>
        <w:t>Development and Review of QI Initiatives</w:t>
      </w:r>
    </w:p>
    <w:p w14:paraId="720E351C" w14:textId="77777777" w:rsidR="009F23E1" w:rsidRPr="009F23E1" w:rsidRDefault="009F23E1" w:rsidP="009F23E1">
      <w:pPr>
        <w:spacing w:after="0" w:line="240" w:lineRule="auto"/>
        <w:rPr>
          <w:b/>
          <w:bCs/>
        </w:rPr>
      </w:pPr>
    </w:p>
    <w:p w14:paraId="26186DC2" w14:textId="77777777" w:rsidR="009F23E1" w:rsidRPr="009F23E1" w:rsidRDefault="009F23E1" w:rsidP="009F23E1">
      <w:pPr>
        <w:spacing w:after="0" w:line="240" w:lineRule="auto"/>
        <w:ind w:left="360"/>
      </w:pPr>
      <w:r>
        <w:t>The Office of Responsible Research Practices is responsible for drafting proposals for QI initiatives after review of the regulations, guidance, and findings from previous QI projects, in consultation with the IRB chairs. The IRB Policy Committee will review and approve HRPP QI initiatives, as applicable, based on the scope of the activity (e.g., review of HRPP policies vs. ORRP desk procedures).</w:t>
      </w:r>
    </w:p>
    <w:p w14:paraId="12376540" w14:textId="77777777" w:rsidR="009F23E1" w:rsidRPr="009F23E1" w:rsidRDefault="009F23E1" w:rsidP="009F23E1">
      <w:pPr>
        <w:spacing w:after="0" w:line="240" w:lineRule="auto"/>
        <w:ind w:left="360"/>
      </w:pPr>
    </w:p>
    <w:p w14:paraId="7233FD72" w14:textId="77777777" w:rsidR="009F23E1" w:rsidRPr="009F23E1" w:rsidRDefault="009F23E1" w:rsidP="009F23E1">
      <w:pPr>
        <w:spacing w:after="0" w:line="240" w:lineRule="auto"/>
        <w:ind w:left="360"/>
      </w:pPr>
      <w:r>
        <w:t xml:space="preserve">Research stakeholders (as </w:t>
      </w:r>
      <w:hyperlink w:anchor="sec3" w:history="1">
        <w:r>
          <w:rPr>
            <w:color w:val="0000FF"/>
            <w:u w:val="single"/>
          </w:rPr>
          <w:t>described above</w:t>
        </w:r>
      </w:hyperlink>
      <w:r>
        <w:t>) may make recommendations for quality improvement and/or changes or revisions to existing HRPP policies, procedures, or practices. Feedback and suggestions can be provided to the IRB chairs, ORRP staff, IRB Policy Committee members, and/or the IO, as described on the ORRP website.</w:t>
      </w:r>
    </w:p>
    <w:p w14:paraId="4F8EFD44" w14:textId="77777777" w:rsidR="009F23E1" w:rsidRPr="009F23E1" w:rsidRDefault="009F23E1" w:rsidP="009F23E1">
      <w:pPr>
        <w:spacing w:after="0" w:line="240" w:lineRule="auto"/>
        <w:ind w:left="360"/>
      </w:pPr>
    </w:p>
    <w:p w14:paraId="3B970779" w14:textId="77777777" w:rsidR="009F23E1" w:rsidRPr="009F23E1" w:rsidRDefault="009F23E1" w:rsidP="00A07209">
      <w:pPr>
        <w:numPr>
          <w:ilvl w:val="0"/>
          <w:numId w:val="58"/>
        </w:numPr>
        <w:spacing w:after="0" w:line="240" w:lineRule="auto"/>
        <w:rPr>
          <w:b/>
          <w:bCs/>
        </w:rPr>
      </w:pPr>
      <w:r>
        <w:rPr>
          <w:b/>
          <w:bCs/>
        </w:rPr>
        <w:t>Implementation of QI Activities</w:t>
      </w:r>
    </w:p>
    <w:p w14:paraId="2C068AC5" w14:textId="77777777" w:rsidR="009F23E1" w:rsidRPr="009F23E1" w:rsidRDefault="009F23E1" w:rsidP="009F23E1">
      <w:pPr>
        <w:spacing w:after="0" w:line="240" w:lineRule="auto"/>
        <w:rPr>
          <w:b/>
          <w:bCs/>
        </w:rPr>
      </w:pPr>
    </w:p>
    <w:p w14:paraId="12066AEE" w14:textId="77777777" w:rsidR="009F23E1" w:rsidRPr="009F23E1" w:rsidRDefault="009F23E1" w:rsidP="009F23E1">
      <w:pPr>
        <w:spacing w:after="0" w:line="240" w:lineRule="auto"/>
        <w:ind w:left="360"/>
      </w:pPr>
      <w:r>
        <w:t>The Office of Responsible Research Practices is responsible for the implementation and communication of HRPP QI activities. Information and accompanying materials (e.g., self-assessment tools, guidance) will be posted and made available on the ORRP website, as applicable. Communication will be issued about new or revised QI initiatives through university communication mechanisms. The IRB Policy Committee and/or institutional official will set an effective date for implementation of new projects. When a QI initiative represents a significant change to existing processes or practices, the effective date will be set to allow for communication, including education and planning for operational changes.</w:t>
      </w:r>
    </w:p>
    <w:p w14:paraId="1B40EB41" w14:textId="77777777" w:rsidR="009F23E1" w:rsidRPr="009F23E1" w:rsidRDefault="009F23E1" w:rsidP="009F23E1">
      <w:pPr>
        <w:spacing w:after="0" w:line="240" w:lineRule="auto"/>
        <w:rPr>
          <w:b/>
          <w:bCs/>
        </w:rPr>
      </w:pPr>
    </w:p>
    <w:p w14:paraId="248DD855" w14:textId="77777777" w:rsidR="009F23E1" w:rsidRPr="009F23E1" w:rsidRDefault="009F23E1" w:rsidP="00A07209">
      <w:pPr>
        <w:numPr>
          <w:ilvl w:val="0"/>
          <w:numId w:val="58"/>
        </w:numPr>
        <w:spacing w:after="0" w:line="240" w:lineRule="auto"/>
        <w:rPr>
          <w:b/>
          <w:bCs/>
        </w:rPr>
      </w:pPr>
      <w:r>
        <w:rPr>
          <w:b/>
          <w:bCs/>
        </w:rPr>
        <w:t>QI Program Maintenance</w:t>
      </w:r>
    </w:p>
    <w:p w14:paraId="70B105CC" w14:textId="77777777" w:rsidR="009F23E1" w:rsidRPr="009F23E1" w:rsidRDefault="009F23E1" w:rsidP="009F23E1">
      <w:pPr>
        <w:spacing w:after="0" w:line="240" w:lineRule="auto"/>
        <w:rPr>
          <w:b/>
          <w:bCs/>
        </w:rPr>
      </w:pPr>
    </w:p>
    <w:p w14:paraId="523869E8" w14:textId="77777777" w:rsidR="009F23E1" w:rsidRPr="009F23E1" w:rsidRDefault="009F23E1" w:rsidP="009F23E1">
      <w:pPr>
        <w:spacing w:after="0" w:line="240" w:lineRule="auto"/>
        <w:ind w:left="360"/>
      </w:pPr>
      <w:r>
        <w:t xml:space="preserve">The Office of Responsible Research Practices is responsible for maintaining the HRPP QI program. The IRB Policy Committee will review program findings and ongoing QI initiatives as needed, at least annually. Specific findings from directed reviews will be forwarded to the IRB responsible for reviewing the research and/or to the institutional official. Program initiatives will be developed (as </w:t>
      </w:r>
      <w:hyperlink w:anchor="sec5" w:history="1">
        <w:r>
          <w:rPr>
            <w:color w:val="0000FF"/>
            <w:u w:val="single"/>
          </w:rPr>
          <w:t>described above</w:t>
        </w:r>
      </w:hyperlink>
      <w:r>
        <w:t>) and/or updated as HRPP needs are recognized or change.</w:t>
      </w:r>
    </w:p>
    <w:p w14:paraId="5943BA6D" w14:textId="77777777" w:rsidR="009F23E1" w:rsidRPr="009F23E1" w:rsidRDefault="009F23E1" w:rsidP="009F23E1">
      <w:pPr>
        <w:spacing w:after="0" w:line="240" w:lineRule="auto"/>
        <w:ind w:left="360"/>
      </w:pPr>
    </w:p>
    <w:p w14:paraId="1653DCF0" w14:textId="77777777" w:rsidR="009F23E1" w:rsidRPr="009F23E1" w:rsidRDefault="009F23E1" w:rsidP="009F23E1">
      <w:pPr>
        <w:spacing w:after="0" w:line="240" w:lineRule="auto"/>
        <w:ind w:left="360"/>
      </w:pPr>
    </w:p>
    <w:p w14:paraId="2A4FA7E6" w14:textId="77777777" w:rsidR="009F23E1" w:rsidRPr="009F23E1" w:rsidRDefault="009F23E1" w:rsidP="00A07209">
      <w:pPr>
        <w:numPr>
          <w:ilvl w:val="0"/>
          <w:numId w:val="58"/>
        </w:numPr>
        <w:spacing w:after="0" w:line="240" w:lineRule="auto"/>
        <w:rPr>
          <w:b/>
        </w:rPr>
      </w:pPr>
      <w:r>
        <w:rPr>
          <w:b/>
        </w:rPr>
        <w:t>History</w:t>
      </w:r>
    </w:p>
    <w:p w14:paraId="4CE8EBAF" w14:textId="77777777" w:rsidR="009F23E1" w:rsidRPr="009F23E1" w:rsidRDefault="009F23E1" w:rsidP="009F23E1">
      <w:pPr>
        <w:spacing w:after="0" w:line="240" w:lineRule="auto"/>
        <w:ind w:left="360"/>
      </w:pPr>
      <w:r>
        <w:t>Issued: 08/31/2009</w:t>
      </w:r>
    </w:p>
    <w:p w14:paraId="1EA67D35" w14:textId="77777777" w:rsidR="009F23E1" w:rsidRPr="009F23E1" w:rsidRDefault="009F23E1" w:rsidP="009F23E1">
      <w:pPr>
        <w:spacing w:after="0" w:line="240" w:lineRule="auto"/>
        <w:ind w:left="360"/>
      </w:pPr>
      <w:r>
        <w:lastRenderedPageBreak/>
        <w:t>Revised: 05/31/2012, 11/21/2016</w:t>
      </w:r>
    </w:p>
    <w:p w14:paraId="741E0B8E" w14:textId="77777777" w:rsidR="009F23E1" w:rsidRPr="009F23E1" w:rsidRDefault="009F23E1" w:rsidP="009F23E1">
      <w:pPr>
        <w:spacing w:after="0" w:line="240" w:lineRule="auto"/>
        <w:ind w:left="360"/>
      </w:pPr>
      <w:r>
        <w:t>Edited: 11/29/2021, 04/20/2022</w:t>
      </w:r>
    </w:p>
    <w:p w14:paraId="3FAE345B" w14:textId="77777777" w:rsidR="00331664" w:rsidRDefault="2BEDE0DE" w:rsidP="00076836">
      <w:pPr>
        <w:pStyle w:val="Heading2"/>
      </w:pPr>
      <w:r>
        <w:t xml:space="preserve"> </w:t>
      </w:r>
    </w:p>
    <w:p w14:paraId="191B64F2" w14:textId="77777777" w:rsidR="00331664" w:rsidRDefault="00331664">
      <w:pPr>
        <w:rPr>
          <w:sz w:val="24"/>
          <w:szCs w:val="24"/>
        </w:rPr>
      </w:pPr>
      <w:r>
        <w:rPr>
          <w:sz w:val="24"/>
          <w:szCs w:val="24"/>
        </w:rPr>
        <w:br w:type="page"/>
      </w:r>
    </w:p>
    <w:p w14:paraId="4AFC623E" w14:textId="77777777" w:rsidR="009F23E1" w:rsidRPr="009F23E1" w:rsidRDefault="26DF661C" w:rsidP="00F2286B">
      <w:pPr>
        <w:pStyle w:val="Heading2"/>
      </w:pPr>
      <w:bookmarkStart w:id="245" w:name="_Toc1691457344"/>
      <w:bookmarkStart w:id="246" w:name="B6"/>
      <w:bookmarkStart w:id="247" w:name="_Toc212142203"/>
      <w:bookmarkStart w:id="248" w:name="_Toc225507743"/>
      <w:r>
        <w:lastRenderedPageBreak/>
        <w:t>Appendix B-6</w:t>
      </w:r>
      <w:bookmarkEnd w:id="245"/>
      <w:r>
        <w:t xml:space="preserve">  </w:t>
      </w:r>
      <w:bookmarkEnd w:id="246"/>
      <w:r>
        <w:tab/>
        <w:t>Exempt Research</w:t>
      </w:r>
      <w:bookmarkEnd w:id="247"/>
      <w:bookmarkEnd w:id="248"/>
    </w:p>
    <w:p w14:paraId="4F51C58E" w14:textId="77777777" w:rsidR="009F23E1" w:rsidRPr="009F23E1" w:rsidRDefault="009F23E1" w:rsidP="009F23E1">
      <w:pPr>
        <w:spacing w:after="0" w:line="240" w:lineRule="auto"/>
        <w:rPr>
          <w:b/>
          <w:smallCaps/>
        </w:rPr>
      </w:pPr>
    </w:p>
    <w:p w14:paraId="0F14BB0C" w14:textId="77777777" w:rsidR="009F23E1" w:rsidRPr="000700B0" w:rsidRDefault="009F23E1" w:rsidP="00A07209">
      <w:pPr>
        <w:pStyle w:val="ListParagraph"/>
        <w:numPr>
          <w:ilvl w:val="3"/>
          <w:numId w:val="93"/>
        </w:numPr>
        <w:spacing w:after="0" w:line="240" w:lineRule="auto"/>
        <w:ind w:left="360"/>
        <w:rPr>
          <w:b/>
          <w:smallCaps/>
        </w:rPr>
      </w:pPr>
      <w:r>
        <w:rPr>
          <w:b/>
        </w:rPr>
        <w:t>Overview</w:t>
      </w:r>
    </w:p>
    <w:p w14:paraId="29586266" w14:textId="77777777" w:rsidR="009F23E1" w:rsidRPr="009F23E1" w:rsidRDefault="009F23E1" w:rsidP="009F23E1">
      <w:pPr>
        <w:spacing w:after="0" w:line="240" w:lineRule="auto"/>
        <w:ind w:left="360"/>
        <w:rPr>
          <w:b/>
          <w:smallCaps/>
        </w:rPr>
      </w:pPr>
    </w:p>
    <w:p w14:paraId="3EC3AEE2" w14:textId="77777777" w:rsidR="009F23E1" w:rsidRPr="009F23E1" w:rsidRDefault="009F23E1" w:rsidP="009F23E1">
      <w:pPr>
        <w:spacing w:after="0" w:line="240" w:lineRule="auto"/>
        <w:ind w:left="360"/>
      </w:pPr>
      <w:r>
        <w:t>Research involving human subjects may be exempt from federal regulations requiring IRB review. The purpose of this policy is to describe exempt research as defined by DHHS and/or FDA regulations and the process by which the HRPP determines that research involving human subjects is exempt from the regulations and the requirements for IRB review.</w:t>
      </w:r>
    </w:p>
    <w:p w14:paraId="7418E70B" w14:textId="77777777" w:rsidR="009F23E1" w:rsidRPr="009F23E1" w:rsidRDefault="009F23E1" w:rsidP="009F23E1">
      <w:pPr>
        <w:spacing w:after="0" w:line="240" w:lineRule="auto"/>
        <w:rPr>
          <w:b/>
          <w:smallCaps/>
        </w:rPr>
      </w:pPr>
    </w:p>
    <w:p w14:paraId="7A64941E" w14:textId="77777777" w:rsidR="009F23E1" w:rsidRPr="000700B0" w:rsidRDefault="009F23E1" w:rsidP="00A07209">
      <w:pPr>
        <w:pStyle w:val="ListParagraph"/>
        <w:numPr>
          <w:ilvl w:val="3"/>
          <w:numId w:val="93"/>
        </w:numPr>
        <w:spacing w:after="0" w:line="240" w:lineRule="auto"/>
        <w:ind w:left="360"/>
        <w:rPr>
          <w:b/>
          <w:smallCaps/>
        </w:rPr>
      </w:pPr>
      <w:r>
        <w:rPr>
          <w:b/>
        </w:rPr>
        <w:t>Definitions</w:t>
      </w:r>
    </w:p>
    <w:p w14:paraId="7F933E4D" w14:textId="77777777" w:rsidR="009F23E1" w:rsidRPr="009F23E1" w:rsidRDefault="009F23E1" w:rsidP="009F23E1">
      <w:pPr>
        <w:spacing w:after="0" w:line="240" w:lineRule="auto"/>
        <w:rPr>
          <w:b/>
          <w:u w:val="single"/>
        </w:rPr>
      </w:pPr>
    </w:p>
    <w:p w14:paraId="4ECA1678" w14:textId="77777777" w:rsidR="009F23E1" w:rsidRPr="009F23E1" w:rsidRDefault="009F23E1" w:rsidP="009F2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i/>
          <w:color w:val="000000"/>
        </w:rPr>
      </w:pPr>
      <w:r>
        <w:rPr>
          <w:b/>
        </w:rPr>
        <w:t>Benign behavioral interventions</w:t>
      </w:r>
      <w:r>
        <w:t xml:space="preserve">: Interventions that are brief in duration, harmless, painless, not physically invasive, not likely to have a significant adverse lasting impact on the participants, and the investigator has no reason to think the participants will find the interventions offensive or embarrassing. </w:t>
      </w:r>
      <w:r>
        <w:rPr>
          <w:i/>
          <w:color w:val="000000"/>
        </w:rPr>
        <w:t xml:space="preserve">Note: The term “brief in duration” requires that all benign interventions must occur on the same day. </w:t>
      </w:r>
    </w:p>
    <w:p w14:paraId="39CCD53B" w14:textId="77777777" w:rsidR="009F23E1" w:rsidRPr="009F23E1" w:rsidRDefault="009F23E1" w:rsidP="009F23E1">
      <w:pPr>
        <w:spacing w:after="0" w:line="240" w:lineRule="auto"/>
        <w:rPr>
          <w:b/>
        </w:rPr>
      </w:pPr>
    </w:p>
    <w:p w14:paraId="021D17E5" w14:textId="77777777" w:rsidR="009F23E1" w:rsidRPr="009F23E1" w:rsidRDefault="009F23E1" w:rsidP="009F23E1">
      <w:pPr>
        <w:spacing w:after="0" w:line="240" w:lineRule="auto"/>
        <w:ind w:left="360"/>
      </w:pPr>
      <w:r>
        <w:rPr>
          <w:b/>
        </w:rPr>
        <w:t>Child/Children</w:t>
      </w:r>
      <w:r>
        <w:t xml:space="preserve">: 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 </w:t>
      </w:r>
    </w:p>
    <w:p w14:paraId="312A6F67" w14:textId="77777777" w:rsidR="009F23E1" w:rsidRPr="009F23E1" w:rsidRDefault="009F23E1" w:rsidP="009F23E1">
      <w:pPr>
        <w:spacing w:after="0" w:line="240" w:lineRule="auto"/>
        <w:ind w:left="360"/>
        <w:rPr>
          <w:b/>
          <w:szCs w:val="20"/>
        </w:rPr>
      </w:pPr>
    </w:p>
    <w:p w14:paraId="440099A3" w14:textId="77777777" w:rsidR="009F23E1" w:rsidRPr="009F23E1" w:rsidRDefault="009F23E1" w:rsidP="009F23E1">
      <w:pPr>
        <w:spacing w:after="0" w:line="240" w:lineRule="auto"/>
        <w:ind w:left="360"/>
        <w:rPr>
          <w:bCs/>
        </w:rPr>
      </w:pPr>
      <w:r>
        <w:rPr>
          <w:b/>
          <w:bCs/>
        </w:rPr>
        <w:t>De-identified</w:t>
      </w:r>
      <w:r>
        <w:rPr>
          <w:bCs/>
        </w:rPr>
        <w:t xml:space="preserve">: All direct personal identifiers are </w:t>
      </w:r>
      <w:r>
        <w:rPr>
          <w:bCs/>
          <w:i/>
          <w:iCs/>
        </w:rPr>
        <w:t xml:space="preserve">permanently </w:t>
      </w:r>
      <w:r>
        <w:rPr>
          <w:bCs/>
        </w:rPr>
        <w:t xml:space="preserve">removed (e.g., from data or biospecimens), no code or key exists to link the materials to their original source(s), and the remaining information cannot reasonably be used by anyone to identify the source(s). </w:t>
      </w:r>
    </w:p>
    <w:p w14:paraId="6612DD2D" w14:textId="77777777" w:rsidR="009F23E1" w:rsidRPr="009F23E1" w:rsidRDefault="009F23E1" w:rsidP="009F23E1">
      <w:pPr>
        <w:spacing w:after="0" w:line="240" w:lineRule="auto"/>
        <w:ind w:left="360"/>
        <w:rPr>
          <w:b/>
        </w:rPr>
      </w:pPr>
    </w:p>
    <w:p w14:paraId="7CBBF4D1" w14:textId="77777777" w:rsidR="009F23E1" w:rsidRPr="009F23E1" w:rsidRDefault="009F23E1" w:rsidP="009F23E1">
      <w:pPr>
        <w:spacing w:after="0" w:line="240" w:lineRule="auto"/>
        <w:ind w:left="360"/>
      </w:pPr>
      <w:r>
        <w:rPr>
          <w:b/>
        </w:rPr>
        <w:t>Exempt research</w:t>
      </w:r>
      <w:r>
        <w:t xml:space="preserve">: Research that involves human subjects that is not subject to regulations requiring IRB review and approval. Categories of research activities that may be determined to be exempt from review by the IRB are defined by federal regulations and university policy. </w:t>
      </w:r>
      <w:r>
        <w:rPr>
          <w:i/>
        </w:rPr>
        <w:t>Note: Investigators performing exempt research must comply with the requirements of the HRPP even when the research is exempt.</w:t>
      </w:r>
    </w:p>
    <w:p w14:paraId="51ABDE3A" w14:textId="77777777" w:rsidR="009F23E1" w:rsidRPr="009F23E1" w:rsidRDefault="009F23E1" w:rsidP="009F23E1">
      <w:pPr>
        <w:spacing w:after="0" w:line="240" w:lineRule="auto"/>
      </w:pPr>
    </w:p>
    <w:p w14:paraId="49792AEA" w14:textId="77777777" w:rsidR="009F23E1" w:rsidRPr="009F23E1" w:rsidRDefault="009F23E1" w:rsidP="009F23E1">
      <w:pPr>
        <w:spacing w:after="0" w:line="240" w:lineRule="auto"/>
        <w:ind w:left="360"/>
      </w:pPr>
      <w:r>
        <w:rPr>
          <w:b/>
        </w:rPr>
        <w:t xml:space="preserve">Limited IRB review: </w:t>
      </w:r>
      <w:r>
        <w:t>IRB review to ensure that there are adequate privacy and confidentiality safeguards for identifiable private information and identifiable biospecimens.</w:t>
      </w:r>
    </w:p>
    <w:p w14:paraId="487036AA" w14:textId="77777777" w:rsidR="009F23E1" w:rsidRPr="009F23E1" w:rsidRDefault="009F23E1" w:rsidP="009F23E1">
      <w:pPr>
        <w:spacing w:after="0" w:line="240" w:lineRule="auto"/>
      </w:pPr>
    </w:p>
    <w:p w14:paraId="13EDE191" w14:textId="77777777" w:rsidR="009F23E1" w:rsidRPr="009F23E1" w:rsidRDefault="009F23E1" w:rsidP="009F23E1">
      <w:pPr>
        <w:spacing w:after="0" w:line="240" w:lineRule="auto"/>
        <w:ind w:left="360"/>
      </w:pPr>
      <w:r>
        <w:rPr>
          <w:b/>
        </w:rPr>
        <w:t>Prisoner</w:t>
      </w:r>
      <w:r>
        <w:t>: An individual involuntarily confined or detained in a penal institution (e.g., prison, jail, or juvenile offender facility), with restricted ability to leave the institution. The term is intended to encompass individuals sentenced to such an institution under a criminal or civil statute, individuals detained in other facilities by virtue of statutes or commitment procedures that provide alternatives to criminal prosecution or incarceration in a penal institution, and individuals detained pending arraignment, trial, or sentencing.</w:t>
      </w:r>
    </w:p>
    <w:p w14:paraId="27F327EE" w14:textId="77777777" w:rsidR="009F23E1" w:rsidRPr="009F23E1" w:rsidRDefault="009F23E1" w:rsidP="009F23E1">
      <w:pPr>
        <w:spacing w:after="0" w:line="240" w:lineRule="auto"/>
        <w:ind w:left="360"/>
      </w:pPr>
    </w:p>
    <w:p w14:paraId="364FAE67" w14:textId="77777777" w:rsidR="009F23E1" w:rsidRPr="009F23E1" w:rsidRDefault="009F23E1" w:rsidP="009F23E1">
      <w:pPr>
        <w:spacing w:after="0" w:line="240" w:lineRule="auto"/>
        <w:ind w:left="360"/>
      </w:pPr>
      <w:r>
        <w:rPr>
          <w:b/>
        </w:rPr>
        <w:t>Privacy Board</w:t>
      </w:r>
      <w:r>
        <w:t xml:space="preserve">: A committee established to review requests for a waiver or alteration of the HIPAA research authorization requirement for uses and disclosures of protected health information (PHI) in a particular research study. </w:t>
      </w:r>
    </w:p>
    <w:p w14:paraId="29E27033" w14:textId="77777777" w:rsidR="009F23E1" w:rsidRPr="009F23E1" w:rsidRDefault="009F23E1" w:rsidP="009F23E1">
      <w:pPr>
        <w:spacing w:after="0" w:line="240" w:lineRule="auto"/>
      </w:pPr>
    </w:p>
    <w:p w14:paraId="6EF712A4" w14:textId="77777777" w:rsidR="009F23E1" w:rsidRPr="009F23E1" w:rsidRDefault="009F23E1" w:rsidP="009F23E1">
      <w:pPr>
        <w:spacing w:after="0" w:line="240" w:lineRule="auto"/>
        <w:ind w:left="360"/>
        <w:rPr>
          <w:b/>
        </w:rPr>
      </w:pPr>
    </w:p>
    <w:p w14:paraId="17930DAC" w14:textId="77777777" w:rsidR="009F23E1" w:rsidRPr="009F23E1" w:rsidRDefault="009F23E1" w:rsidP="009F23E1">
      <w:pPr>
        <w:spacing w:after="0" w:line="240" w:lineRule="auto"/>
        <w:ind w:left="360"/>
      </w:pPr>
    </w:p>
    <w:p w14:paraId="7F804F21" w14:textId="77777777" w:rsidR="009F23E1" w:rsidRPr="009F23E1" w:rsidRDefault="009F23E1" w:rsidP="009F23E1">
      <w:pPr>
        <w:spacing w:after="0" w:line="240" w:lineRule="auto"/>
        <w:rPr>
          <w:u w:val="single"/>
        </w:rPr>
      </w:pPr>
    </w:p>
    <w:p w14:paraId="7868A869" w14:textId="77777777" w:rsidR="009F23E1" w:rsidRPr="000700B0" w:rsidRDefault="009F23E1" w:rsidP="00A07209">
      <w:pPr>
        <w:pStyle w:val="ListParagraph"/>
        <w:numPr>
          <w:ilvl w:val="3"/>
          <w:numId w:val="93"/>
        </w:numPr>
        <w:spacing w:after="0" w:line="240" w:lineRule="auto"/>
        <w:ind w:left="360"/>
        <w:rPr>
          <w:u w:val="single"/>
        </w:rPr>
      </w:pPr>
      <w:r>
        <w:rPr>
          <w:b/>
        </w:rPr>
        <w:t>Research Eligible/Ineligible for Exemption</w:t>
      </w:r>
    </w:p>
    <w:p w14:paraId="6211B50F" w14:textId="77777777" w:rsidR="009F23E1" w:rsidRPr="009F23E1" w:rsidRDefault="009F23E1" w:rsidP="000700B0">
      <w:pPr>
        <w:spacing w:after="0" w:line="240" w:lineRule="auto"/>
      </w:pPr>
    </w:p>
    <w:p w14:paraId="5C5BF676" w14:textId="77777777" w:rsidR="009F23E1" w:rsidRPr="009F23E1" w:rsidRDefault="009F23E1" w:rsidP="00A07209">
      <w:pPr>
        <w:numPr>
          <w:ilvl w:val="0"/>
          <w:numId w:val="433"/>
        </w:numPr>
        <w:spacing w:after="0" w:line="240" w:lineRule="auto"/>
      </w:pPr>
      <w:r>
        <w:t xml:space="preserve">Research that involves only activities listed in one or more of the categories specified in DHHS and/or FDA regulations (see </w:t>
      </w:r>
      <w:hyperlink w:anchor="Attachment1" w:history="1">
        <w:r>
          <w:rPr>
            <w:color w:val="0000FF"/>
            <w:u w:val="single"/>
          </w:rPr>
          <w:t>Attachment 1</w:t>
        </w:r>
      </w:hyperlink>
      <w:r>
        <w:t>) may be determined to be exempt.</w:t>
      </w:r>
    </w:p>
    <w:p w14:paraId="4F0AE9ED" w14:textId="77777777" w:rsidR="009F23E1" w:rsidRPr="009F23E1" w:rsidRDefault="009F23E1" w:rsidP="009F23E1">
      <w:pPr>
        <w:spacing w:after="0" w:line="240" w:lineRule="auto"/>
        <w:ind w:left="360"/>
      </w:pPr>
    </w:p>
    <w:p w14:paraId="70BD19DD" w14:textId="77777777" w:rsidR="009F23E1" w:rsidRPr="009F23E1" w:rsidRDefault="009F23E1" w:rsidP="00A07209">
      <w:pPr>
        <w:numPr>
          <w:ilvl w:val="0"/>
          <w:numId w:val="433"/>
        </w:numPr>
        <w:spacing w:after="0" w:line="240" w:lineRule="auto"/>
      </w:pPr>
      <w:r>
        <w:t>Research involving prisoners may not be determined to be exempt except when the research examines a broader population that only incidentally involves prisoners.</w:t>
      </w:r>
    </w:p>
    <w:p w14:paraId="21961B4A" w14:textId="77777777" w:rsidR="009F23E1" w:rsidRPr="009F23E1" w:rsidRDefault="009F23E1" w:rsidP="009F23E1">
      <w:pPr>
        <w:spacing w:after="0" w:line="240" w:lineRule="auto"/>
        <w:ind w:left="360"/>
      </w:pPr>
    </w:p>
    <w:p w14:paraId="16A19DDB" w14:textId="77777777" w:rsidR="009F23E1" w:rsidRPr="009F23E1" w:rsidRDefault="009F23E1" w:rsidP="00A07209">
      <w:pPr>
        <w:numPr>
          <w:ilvl w:val="0"/>
          <w:numId w:val="433"/>
        </w:numPr>
        <w:spacing w:after="0" w:line="240" w:lineRule="auto"/>
      </w:pPr>
      <w:r>
        <w:t>Research that is subject to FDA regulations may not be determined to be exempt under DHHS exemption categories.</w:t>
      </w:r>
    </w:p>
    <w:p w14:paraId="5131A855" w14:textId="77777777" w:rsidR="009F23E1" w:rsidRPr="009F23E1" w:rsidRDefault="009F23E1" w:rsidP="009F23E1">
      <w:pPr>
        <w:spacing w:after="0" w:line="240" w:lineRule="auto"/>
        <w:ind w:left="360"/>
      </w:pPr>
    </w:p>
    <w:p w14:paraId="7913B38B" w14:textId="77777777" w:rsidR="009F23E1" w:rsidRPr="009F23E1" w:rsidRDefault="009F23E1" w:rsidP="00A07209">
      <w:pPr>
        <w:numPr>
          <w:ilvl w:val="0"/>
          <w:numId w:val="433"/>
        </w:numPr>
        <w:spacing w:after="0" w:line="240" w:lineRule="auto"/>
        <w:rPr>
          <w:color w:val="000000"/>
        </w:rPr>
      </w:pPr>
      <w:r>
        <w:rPr>
          <w:color w:val="000000"/>
        </w:rPr>
        <w:t>The exemption in DHHS regulations for research involving survey or interview procedures or observation of public behavior (Category 2) does not apply to research with children, except for research involving educational tests (cognitive, diagnostic, aptitude, achievement) or observations of public behavior when the investigator does not participate in the activities being observed.</w:t>
      </w:r>
    </w:p>
    <w:p w14:paraId="03DBE691" w14:textId="77777777" w:rsidR="009F23E1" w:rsidRPr="009F23E1" w:rsidRDefault="009F23E1" w:rsidP="009F23E1">
      <w:pPr>
        <w:spacing w:after="0" w:line="240" w:lineRule="auto"/>
        <w:ind w:left="720"/>
        <w:rPr>
          <w:color w:val="000000"/>
        </w:rPr>
      </w:pPr>
    </w:p>
    <w:p w14:paraId="262900F3" w14:textId="77777777" w:rsidR="009F23E1" w:rsidRPr="009F23E1" w:rsidRDefault="009F23E1" w:rsidP="00A07209">
      <w:pPr>
        <w:numPr>
          <w:ilvl w:val="0"/>
          <w:numId w:val="433"/>
        </w:numPr>
        <w:spacing w:after="0" w:line="240" w:lineRule="auto"/>
        <w:rPr>
          <w:color w:val="000000"/>
        </w:rPr>
      </w:pPr>
      <w:r>
        <w:rPr>
          <w:color w:val="000000"/>
        </w:rPr>
        <w:t>The exemption in DHHS regulations for benign behavioral interventions (Category 3) does not apply to research with children.</w:t>
      </w:r>
    </w:p>
    <w:p w14:paraId="0E162D91" w14:textId="77777777" w:rsidR="009F23E1" w:rsidRPr="009F23E1" w:rsidRDefault="009F23E1" w:rsidP="009F23E1">
      <w:pPr>
        <w:spacing w:after="0" w:line="240" w:lineRule="auto"/>
        <w:ind w:left="720"/>
        <w:rPr>
          <w:color w:val="000000"/>
        </w:rPr>
      </w:pPr>
    </w:p>
    <w:p w14:paraId="03DECB80" w14:textId="77777777" w:rsidR="009F23E1" w:rsidRPr="009F23E1" w:rsidRDefault="009F23E1" w:rsidP="00A07209">
      <w:pPr>
        <w:numPr>
          <w:ilvl w:val="0"/>
          <w:numId w:val="433"/>
        </w:numPr>
        <w:spacing w:after="0" w:line="240" w:lineRule="auto"/>
        <w:rPr>
          <w:color w:val="000000"/>
        </w:rPr>
      </w:pPr>
      <w:r>
        <w:rPr>
          <w:color w:val="000000"/>
        </w:rPr>
        <w:t>Research that has been determined to pose a minimal risk to subjects using survey, interview, or subject interventions and is identifiable must undergo a limited IRB review to ensure participant privacy and confidentiality are adequately protected.</w:t>
      </w:r>
    </w:p>
    <w:p w14:paraId="1531AD58" w14:textId="77777777" w:rsidR="009F23E1" w:rsidRPr="009F23E1" w:rsidRDefault="009F23E1" w:rsidP="009F23E1">
      <w:pPr>
        <w:spacing w:after="0" w:line="240" w:lineRule="auto"/>
        <w:rPr>
          <w:color w:val="000000"/>
        </w:rPr>
      </w:pPr>
    </w:p>
    <w:p w14:paraId="2DD3B328" w14:textId="77777777" w:rsidR="009F23E1" w:rsidRPr="009F23E1" w:rsidRDefault="009F23E1" w:rsidP="00A07209">
      <w:pPr>
        <w:numPr>
          <w:ilvl w:val="0"/>
          <w:numId w:val="433"/>
        </w:numPr>
        <w:spacing w:after="0" w:line="240" w:lineRule="auto"/>
        <w:rPr>
          <w:color w:val="000000"/>
        </w:rPr>
      </w:pPr>
      <w:r>
        <w:rPr>
          <w:color w:val="000000"/>
        </w:rPr>
        <w:t>The proposed research may not be greater than minimal risk to be determined exempt.</w:t>
      </w:r>
    </w:p>
    <w:p w14:paraId="2D8CC320" w14:textId="77777777" w:rsidR="009F23E1" w:rsidRPr="009F23E1" w:rsidRDefault="009F23E1" w:rsidP="009F23E1">
      <w:pPr>
        <w:spacing w:after="0" w:line="240" w:lineRule="auto"/>
        <w:ind w:left="720"/>
        <w:rPr>
          <w:color w:val="000000"/>
        </w:rPr>
      </w:pPr>
    </w:p>
    <w:p w14:paraId="0C2661F1" w14:textId="77777777" w:rsidR="009F23E1" w:rsidRPr="009F23E1" w:rsidRDefault="009F23E1" w:rsidP="00A07209">
      <w:pPr>
        <w:numPr>
          <w:ilvl w:val="0"/>
          <w:numId w:val="433"/>
        </w:numPr>
        <w:spacing w:after="0" w:line="240" w:lineRule="auto"/>
        <w:rPr>
          <w:color w:val="000000"/>
        </w:rPr>
      </w:pPr>
      <w:r>
        <w:rPr>
          <w:color w:val="000000"/>
        </w:rPr>
        <w:t>Research that includes both exempt and non-exempt activities cannot be determined to be exempt.</w:t>
      </w:r>
    </w:p>
    <w:p w14:paraId="378820AF" w14:textId="77777777" w:rsidR="009F23E1" w:rsidRPr="009F23E1" w:rsidRDefault="009F23E1" w:rsidP="009F23E1">
      <w:pPr>
        <w:spacing w:after="0" w:line="240" w:lineRule="auto"/>
      </w:pPr>
    </w:p>
    <w:p w14:paraId="7C5AB402" w14:textId="77777777" w:rsidR="009F23E1" w:rsidRPr="009F23E1" w:rsidRDefault="009F23E1" w:rsidP="00A07209">
      <w:pPr>
        <w:numPr>
          <w:ilvl w:val="0"/>
          <w:numId w:val="433"/>
        </w:numPr>
        <w:spacing w:after="0" w:line="240" w:lineRule="auto"/>
      </w:pPr>
      <w:r>
        <w:t>The regulatory exemption categories are not applied to proposed research (regardless of whether the research would otherwise be exempt) involving coercion, undue influence, or any practice that does not uphold the ethical principles of respect for persons, beneficence, and justice as described in the Belmont Report.</w:t>
      </w:r>
    </w:p>
    <w:p w14:paraId="3EB8BA25" w14:textId="77777777" w:rsidR="009F23E1" w:rsidRPr="000700B0" w:rsidRDefault="009F23E1" w:rsidP="000700B0">
      <w:pPr>
        <w:spacing w:after="0" w:line="240" w:lineRule="auto"/>
        <w:rPr>
          <w:b/>
        </w:rPr>
      </w:pPr>
    </w:p>
    <w:p w14:paraId="4FC9FC60" w14:textId="77777777" w:rsidR="009F23E1" w:rsidRPr="000700B0" w:rsidRDefault="000700B0" w:rsidP="000700B0">
      <w:pPr>
        <w:pStyle w:val="ListParagraph"/>
        <w:spacing w:after="0" w:line="240" w:lineRule="auto"/>
        <w:ind w:left="0"/>
        <w:rPr>
          <w:b/>
        </w:rPr>
      </w:pPr>
      <w:r>
        <w:rPr>
          <w:b/>
        </w:rPr>
        <w:t>4. Exempt Determinations</w:t>
      </w:r>
    </w:p>
    <w:p w14:paraId="12E3CE09" w14:textId="77777777" w:rsidR="009F23E1" w:rsidRPr="009F23E1" w:rsidRDefault="009F23E1" w:rsidP="009F23E1">
      <w:pPr>
        <w:spacing w:after="0" w:line="240" w:lineRule="auto"/>
        <w:ind w:left="360"/>
      </w:pPr>
    </w:p>
    <w:p w14:paraId="4863FCF8" w14:textId="77777777" w:rsidR="009F23E1" w:rsidRPr="009F23E1" w:rsidRDefault="009F23E1" w:rsidP="009F23E1">
      <w:pPr>
        <w:autoSpaceDE w:val="0"/>
        <w:autoSpaceDN w:val="0"/>
        <w:adjustRightInd w:val="0"/>
        <w:spacing w:after="0" w:line="240" w:lineRule="auto"/>
        <w:ind w:left="360"/>
      </w:pPr>
      <w:r>
        <w:rPr>
          <w:color w:val="000000"/>
        </w:rPr>
        <w:t>Exempt determinations are made by designated ORRP staff and/or IRB members who have no direct involvement in the proposed activity. Investigators are not permitted to make their own determinations of exemption. Additionally, ORRP staff must determine that the research meets the ethical standards described in the Belmont Report and that adequate participant protections are in place as described below.</w:t>
      </w:r>
    </w:p>
    <w:p w14:paraId="3EEC9DCB" w14:textId="77777777" w:rsidR="009F23E1" w:rsidRPr="009F23E1" w:rsidRDefault="009F23E1" w:rsidP="009F23E1">
      <w:pPr>
        <w:autoSpaceDE w:val="0"/>
        <w:autoSpaceDN w:val="0"/>
        <w:adjustRightInd w:val="0"/>
        <w:spacing w:after="0" w:line="240" w:lineRule="auto"/>
        <w:ind w:left="360"/>
      </w:pPr>
    </w:p>
    <w:p w14:paraId="166E5D93" w14:textId="77777777" w:rsidR="000700B0" w:rsidRDefault="009F23E1" w:rsidP="00A07209">
      <w:pPr>
        <w:numPr>
          <w:ilvl w:val="0"/>
          <w:numId w:val="98"/>
        </w:numPr>
        <w:autoSpaceDE w:val="0"/>
        <w:autoSpaceDN w:val="0"/>
        <w:adjustRightInd w:val="0"/>
        <w:spacing w:after="120" w:line="240" w:lineRule="auto"/>
        <w:rPr>
          <w:b/>
        </w:rPr>
      </w:pPr>
      <w:r>
        <w:rPr>
          <w:b/>
        </w:rPr>
        <w:t>Submission</w:t>
      </w:r>
    </w:p>
    <w:p w14:paraId="2308884D" w14:textId="77777777" w:rsidR="009F23E1" w:rsidRPr="000700B0" w:rsidRDefault="009F23E1" w:rsidP="000700B0">
      <w:pPr>
        <w:autoSpaceDE w:val="0"/>
        <w:autoSpaceDN w:val="0"/>
        <w:adjustRightInd w:val="0"/>
        <w:spacing w:after="120" w:line="240" w:lineRule="auto"/>
        <w:ind w:left="907"/>
        <w:rPr>
          <w:b/>
        </w:rPr>
      </w:pPr>
      <w:r>
        <w:t xml:space="preserve">Investigators must provide sufficient information about proposed research to determine whether it is exempt and, when appropriate, that protections are provided to participants by </w:t>
      </w:r>
      <w:r>
        <w:lastRenderedPageBreak/>
        <w:t>submitting an Exempt Research application in Buck-IRB, along with any required attachments. HRPP requirements for submission of non-exempt research (i.e., regarding PI eligibility, completion of human subjects education, etc.) also apply to exempt research. For a list of exempt submission requirements, refer to HRPP Policy [</w:t>
      </w:r>
      <w:hyperlink r:id="rId125" w:history="1">
        <w:r>
          <w:rPr>
            <w:color w:val="0000FF"/>
            <w:u w:val="single"/>
          </w:rPr>
          <w:t>Submission and Pre-Review</w:t>
        </w:r>
      </w:hyperlink>
      <w:r>
        <w:t>].</w:t>
      </w:r>
    </w:p>
    <w:p w14:paraId="1961B8C8" w14:textId="77777777" w:rsidR="009F23E1" w:rsidRPr="009F23E1" w:rsidRDefault="009F23E1" w:rsidP="009F23E1">
      <w:pPr>
        <w:spacing w:after="0" w:line="240" w:lineRule="auto"/>
      </w:pPr>
    </w:p>
    <w:p w14:paraId="54FA9D15" w14:textId="77777777" w:rsidR="000700B0" w:rsidRDefault="009F23E1" w:rsidP="00A07209">
      <w:pPr>
        <w:numPr>
          <w:ilvl w:val="0"/>
          <w:numId w:val="98"/>
        </w:numPr>
        <w:spacing w:after="120" w:line="240" w:lineRule="auto"/>
      </w:pPr>
      <w:r>
        <w:rPr>
          <w:b/>
        </w:rPr>
        <w:t>Review</w:t>
      </w:r>
    </w:p>
    <w:p w14:paraId="2D6912F6" w14:textId="77777777" w:rsidR="000700B0" w:rsidRDefault="009F23E1" w:rsidP="00A07209">
      <w:pPr>
        <w:numPr>
          <w:ilvl w:val="1"/>
          <w:numId w:val="98"/>
        </w:numPr>
        <w:spacing w:after="120" w:line="240" w:lineRule="auto"/>
      </w:pPr>
      <w:r>
        <w:rPr>
          <w:color w:val="000000"/>
        </w:rPr>
        <w:t>The criteria for exemption specified in DHHS regulations are applied unless the research is FDA-regulated. For research subject to FDA regulations, only FDA exemption categories apply.</w:t>
      </w:r>
    </w:p>
    <w:p w14:paraId="33092329" w14:textId="77777777" w:rsidR="009F23E1" w:rsidRPr="000700B0" w:rsidRDefault="009F23E1" w:rsidP="00A07209">
      <w:pPr>
        <w:numPr>
          <w:ilvl w:val="1"/>
          <w:numId w:val="98"/>
        </w:numPr>
        <w:spacing w:after="120" w:line="240" w:lineRule="auto"/>
      </w:pPr>
      <w:r>
        <w:rPr>
          <w:color w:val="000000"/>
        </w:rPr>
        <w:t>In addition to applying the applicable exemption criteria, ORRP staff and/or IRB members will make the following additional determinations (as applicable) to ensure protection of potential participants:</w:t>
      </w:r>
    </w:p>
    <w:p w14:paraId="0096B3CA" w14:textId="77777777" w:rsidR="009F23E1" w:rsidRPr="009F23E1" w:rsidRDefault="009F23E1" w:rsidP="00A07209">
      <w:pPr>
        <w:numPr>
          <w:ilvl w:val="0"/>
          <w:numId w:val="434"/>
        </w:numPr>
        <w:tabs>
          <w:tab w:val="num" w:pos="1440"/>
        </w:tabs>
        <w:autoSpaceDE w:val="0"/>
        <w:autoSpaceDN w:val="0"/>
        <w:adjustRightInd w:val="0"/>
        <w:spacing w:after="60" w:line="240" w:lineRule="auto"/>
        <w:rPr>
          <w:color w:val="000000"/>
        </w:rPr>
      </w:pPr>
      <w:r>
        <w:rPr>
          <w:color w:val="000000"/>
        </w:rPr>
        <w:t>The research involves no more than minimal risk.</w:t>
      </w:r>
    </w:p>
    <w:p w14:paraId="307C0255" w14:textId="77777777" w:rsidR="009F23E1" w:rsidRPr="009F23E1" w:rsidRDefault="009F23E1" w:rsidP="00A07209">
      <w:pPr>
        <w:numPr>
          <w:ilvl w:val="0"/>
          <w:numId w:val="434"/>
        </w:numPr>
        <w:tabs>
          <w:tab w:val="num" w:pos="1440"/>
        </w:tabs>
        <w:autoSpaceDE w:val="0"/>
        <w:autoSpaceDN w:val="0"/>
        <w:adjustRightInd w:val="0"/>
        <w:spacing w:after="60" w:line="240" w:lineRule="auto"/>
        <w:rPr>
          <w:color w:val="000000"/>
        </w:rPr>
      </w:pPr>
      <w:r>
        <w:rPr>
          <w:color w:val="000000"/>
        </w:rPr>
        <w:t>Selection of subjects is equitable.</w:t>
      </w:r>
    </w:p>
    <w:p w14:paraId="20724854" w14:textId="77777777" w:rsidR="009F23E1" w:rsidRPr="009F23E1" w:rsidRDefault="009F23E1" w:rsidP="00A07209">
      <w:pPr>
        <w:numPr>
          <w:ilvl w:val="0"/>
          <w:numId w:val="434"/>
        </w:numPr>
        <w:tabs>
          <w:tab w:val="num" w:pos="1440"/>
        </w:tabs>
        <w:autoSpaceDE w:val="0"/>
        <w:autoSpaceDN w:val="0"/>
        <w:adjustRightInd w:val="0"/>
        <w:spacing w:after="60" w:line="240" w:lineRule="auto"/>
        <w:rPr>
          <w:color w:val="000000"/>
        </w:rPr>
      </w:pPr>
      <w:r>
        <w:rPr>
          <w:color w:val="000000"/>
        </w:rPr>
        <w:t>When identifiable information is to be recorded, there are adequate provisions to maintain the confidentiality of data.</w:t>
      </w:r>
    </w:p>
    <w:p w14:paraId="5B4D8E80" w14:textId="77777777" w:rsidR="009F23E1" w:rsidRPr="009F23E1" w:rsidRDefault="009F23E1" w:rsidP="00A07209">
      <w:pPr>
        <w:numPr>
          <w:ilvl w:val="0"/>
          <w:numId w:val="434"/>
        </w:numPr>
        <w:tabs>
          <w:tab w:val="num" w:pos="1440"/>
        </w:tabs>
        <w:autoSpaceDE w:val="0"/>
        <w:autoSpaceDN w:val="0"/>
        <w:adjustRightInd w:val="0"/>
        <w:spacing w:after="60" w:line="240" w:lineRule="auto"/>
        <w:rPr>
          <w:color w:val="000000"/>
        </w:rPr>
      </w:pPr>
      <w:r>
        <w:rPr>
          <w:color w:val="000000"/>
        </w:rPr>
        <w:t>There are adequate provisions to maintain the privacy interests of participants.</w:t>
      </w:r>
    </w:p>
    <w:p w14:paraId="4960ADBD" w14:textId="77777777" w:rsidR="000700B0" w:rsidRDefault="009F23E1" w:rsidP="00A07209">
      <w:pPr>
        <w:numPr>
          <w:ilvl w:val="0"/>
          <w:numId w:val="434"/>
        </w:numPr>
        <w:tabs>
          <w:tab w:val="num" w:pos="1440"/>
        </w:tabs>
        <w:autoSpaceDE w:val="0"/>
        <w:autoSpaceDN w:val="0"/>
        <w:adjustRightInd w:val="0"/>
        <w:spacing w:after="0" w:line="240" w:lineRule="auto"/>
      </w:pPr>
      <w:r>
        <w:rPr>
          <w:color w:val="000000"/>
        </w:rPr>
        <w:t>When there are to be interactions and/or interventions with participants, informed consent will be obtained by a process that will disclose adequate information, including that the activity involves research, participation is voluntary, a description of the procedures, and investigator contact information.</w:t>
      </w:r>
    </w:p>
    <w:p w14:paraId="1CF5F6BE" w14:textId="77777777" w:rsidR="000700B0" w:rsidRPr="000700B0" w:rsidRDefault="009F23E1" w:rsidP="00A07209">
      <w:pPr>
        <w:pStyle w:val="ListParagraph"/>
        <w:numPr>
          <w:ilvl w:val="1"/>
          <w:numId w:val="98"/>
        </w:numPr>
        <w:autoSpaceDE w:val="0"/>
        <w:autoSpaceDN w:val="0"/>
        <w:adjustRightInd w:val="0"/>
        <w:spacing w:after="0" w:line="240" w:lineRule="auto"/>
      </w:pPr>
      <w:r>
        <w:rPr>
          <w:color w:val="000000"/>
        </w:rPr>
        <w:t>Research involving requests for waivers and/or alterations of HIPAA research authorization for use or disclosure of protected health information (PHI) must undergo review by Ohio State’s privacy board.</w:t>
      </w:r>
    </w:p>
    <w:p w14:paraId="23078AA7" w14:textId="77777777" w:rsidR="009F23E1" w:rsidRDefault="009F23E1" w:rsidP="00A07209">
      <w:pPr>
        <w:pStyle w:val="ListParagraph"/>
        <w:numPr>
          <w:ilvl w:val="1"/>
          <w:numId w:val="98"/>
        </w:numPr>
        <w:autoSpaceDE w:val="0"/>
        <w:autoSpaceDN w:val="0"/>
        <w:adjustRightInd w:val="0"/>
        <w:spacing w:after="0" w:line="240" w:lineRule="auto"/>
      </w:pPr>
      <w:r>
        <w:t xml:space="preserve">Upon review, ORRP </w:t>
      </w:r>
      <w:r>
        <w:rPr>
          <w:color w:val="000000"/>
        </w:rPr>
        <w:t xml:space="preserve">staff </w:t>
      </w:r>
      <w:r>
        <w:t>will make one of the following determinations:</w:t>
      </w:r>
    </w:p>
    <w:p w14:paraId="735EE1E9" w14:textId="77777777" w:rsidR="000700B0" w:rsidRPr="000700B0" w:rsidRDefault="000700B0" w:rsidP="000700B0">
      <w:pPr>
        <w:pStyle w:val="ListParagraph"/>
        <w:autoSpaceDE w:val="0"/>
        <w:autoSpaceDN w:val="0"/>
        <w:adjustRightInd w:val="0"/>
        <w:spacing w:after="0" w:line="240" w:lineRule="auto"/>
        <w:ind w:left="1627"/>
      </w:pPr>
    </w:p>
    <w:p w14:paraId="1A0D9F28" w14:textId="77777777" w:rsidR="009F23E1" w:rsidRPr="009F23E1" w:rsidRDefault="009F23E1" w:rsidP="00A07209">
      <w:pPr>
        <w:numPr>
          <w:ilvl w:val="0"/>
          <w:numId w:val="435"/>
        </w:numPr>
        <w:spacing w:after="60" w:line="240" w:lineRule="auto"/>
      </w:pPr>
      <w:r>
        <w:t>The submission does not meet the federal definitions for research involving human subjects.</w:t>
      </w:r>
    </w:p>
    <w:p w14:paraId="179F9095" w14:textId="77777777" w:rsidR="009F23E1" w:rsidRPr="009F23E1" w:rsidRDefault="009F23E1" w:rsidP="00A07209">
      <w:pPr>
        <w:numPr>
          <w:ilvl w:val="0"/>
          <w:numId w:val="435"/>
        </w:numPr>
        <w:spacing w:after="60" w:line="240" w:lineRule="auto"/>
      </w:pPr>
      <w:r>
        <w:t xml:space="preserve">The proposed research activity </w:t>
      </w:r>
      <w:r>
        <w:rPr>
          <w:b/>
          <w:i/>
        </w:rPr>
        <w:t>IS</w:t>
      </w:r>
      <w:r>
        <w:t xml:space="preserve"> exempt and may be conducted without IRB review.</w:t>
      </w:r>
    </w:p>
    <w:p w14:paraId="5F7A6FCE" w14:textId="77777777" w:rsidR="009F23E1" w:rsidRPr="009F23E1" w:rsidRDefault="009F23E1" w:rsidP="00A07209">
      <w:pPr>
        <w:numPr>
          <w:ilvl w:val="0"/>
          <w:numId w:val="435"/>
        </w:numPr>
        <w:spacing w:after="60" w:line="240" w:lineRule="auto"/>
      </w:pPr>
      <w:r>
        <w:t xml:space="preserve">The proposed research activity </w:t>
      </w:r>
      <w:r>
        <w:rPr>
          <w:b/>
          <w:i/>
        </w:rPr>
        <w:t>IS</w:t>
      </w:r>
      <w:r>
        <w:t xml:space="preserve"> exempt and may be conducted with limited IRB review.</w:t>
      </w:r>
    </w:p>
    <w:p w14:paraId="77201D35" w14:textId="77777777" w:rsidR="009F23E1" w:rsidRPr="009F23E1" w:rsidRDefault="009F23E1" w:rsidP="00A07209">
      <w:pPr>
        <w:numPr>
          <w:ilvl w:val="0"/>
          <w:numId w:val="435"/>
        </w:numPr>
        <w:spacing w:after="0" w:line="240" w:lineRule="auto"/>
      </w:pPr>
      <w:r>
        <w:t xml:space="preserve">The research is </w:t>
      </w:r>
      <w:r>
        <w:rPr>
          <w:b/>
          <w:i/>
        </w:rPr>
        <w:t>NOT</w:t>
      </w:r>
      <w:r>
        <w:t xml:space="preserve"> exempt, and before performed, must be submitted for IRB review.</w:t>
      </w:r>
      <w:r>
        <w:br/>
      </w:r>
    </w:p>
    <w:p w14:paraId="260D5F42" w14:textId="77777777" w:rsidR="009F23E1" w:rsidRPr="000700B0" w:rsidRDefault="009F23E1" w:rsidP="00A07209">
      <w:pPr>
        <w:pStyle w:val="ListParagraph"/>
        <w:numPr>
          <w:ilvl w:val="1"/>
          <w:numId w:val="98"/>
        </w:numPr>
        <w:spacing w:after="0" w:line="240" w:lineRule="auto"/>
      </w:pPr>
      <w:r>
        <w:t>With one exception*, when two or more institutions collaborate on exempt research, each institution must make its own exempt determination; Ohio State’s HRPP will not issue exempt determinations for activities at external institutions. For more information, refer to HRRP policy [</w:t>
      </w:r>
      <w:hyperlink r:id="rId126" w:history="1">
        <w:r>
          <w:rPr>
            <w:color w:val="0000FF"/>
            <w:u w:val="single"/>
          </w:rPr>
          <w:t>Collaborative and Multi-site Research</w:t>
        </w:r>
      </w:hyperlink>
      <w:r>
        <w:t xml:space="preserve">]. </w:t>
      </w:r>
      <w:r>
        <w:br/>
      </w:r>
      <w:r>
        <w:rPr>
          <w:i/>
        </w:rPr>
        <w:t>*Note: Under Ohio State’s reciprocity agreement with Nationwide Children’s Hospital (NCH), Ohio State may issue an exempt determination for collaborative research activities occurring at both institutions.</w:t>
      </w:r>
    </w:p>
    <w:p w14:paraId="6A0C3B1E" w14:textId="77777777" w:rsidR="009F23E1" w:rsidRPr="009F23E1" w:rsidRDefault="009F23E1" w:rsidP="009F23E1">
      <w:pPr>
        <w:spacing w:after="0" w:line="240" w:lineRule="auto"/>
      </w:pPr>
    </w:p>
    <w:p w14:paraId="7244ED6C" w14:textId="77777777" w:rsidR="009F23E1" w:rsidRPr="009F23E1" w:rsidRDefault="009F23E1" w:rsidP="00A07209">
      <w:pPr>
        <w:numPr>
          <w:ilvl w:val="0"/>
          <w:numId w:val="98"/>
        </w:numPr>
        <w:spacing w:after="120" w:line="240" w:lineRule="auto"/>
        <w:rPr>
          <w:b/>
        </w:rPr>
      </w:pPr>
      <w:r>
        <w:rPr>
          <w:b/>
        </w:rPr>
        <w:t>Notification</w:t>
      </w:r>
    </w:p>
    <w:p w14:paraId="59554E48" w14:textId="77777777" w:rsidR="009F23E1" w:rsidRPr="009F23E1" w:rsidRDefault="009F23E1" w:rsidP="009F23E1">
      <w:pPr>
        <w:spacing w:after="0" w:line="240" w:lineRule="auto"/>
        <w:ind w:left="720"/>
      </w:pPr>
      <w:r>
        <w:t>Exempt research activities may not begin until the investigator receives notification of the exempt determination by email through the Buck-IRB system. Notifications will include the exempt category or categories under which the determination was made.</w:t>
      </w:r>
    </w:p>
    <w:p w14:paraId="38A8F859" w14:textId="77777777" w:rsidR="009F23E1" w:rsidRPr="009F23E1" w:rsidRDefault="009F23E1" w:rsidP="009F23E1">
      <w:pPr>
        <w:spacing w:after="0" w:line="240" w:lineRule="auto"/>
        <w:ind w:left="720"/>
      </w:pPr>
    </w:p>
    <w:p w14:paraId="454C4027" w14:textId="77777777" w:rsidR="000700B0" w:rsidRDefault="009F23E1" w:rsidP="00A07209">
      <w:pPr>
        <w:numPr>
          <w:ilvl w:val="0"/>
          <w:numId w:val="98"/>
        </w:numPr>
        <w:spacing w:after="120" w:line="240" w:lineRule="auto"/>
        <w:rPr>
          <w:b/>
        </w:rPr>
      </w:pPr>
      <w:r>
        <w:rPr>
          <w:b/>
        </w:rPr>
        <w:t>Amendments</w:t>
      </w:r>
    </w:p>
    <w:p w14:paraId="1945FF7F" w14:textId="77777777" w:rsidR="000700B0" w:rsidRPr="000700B0" w:rsidRDefault="009F23E1" w:rsidP="00A07209">
      <w:pPr>
        <w:pStyle w:val="ListParagraph"/>
        <w:numPr>
          <w:ilvl w:val="1"/>
          <w:numId w:val="98"/>
        </w:numPr>
        <w:spacing w:after="120" w:line="240" w:lineRule="auto"/>
        <w:rPr>
          <w:b/>
        </w:rPr>
      </w:pPr>
      <w:r>
        <w:t>Except for minor study team changes, no amendments to exempt research are permitted because of the possibility that the revised research may no longer meet the criteria for exemption. A new application for exempt determination must be submitted and reviewed prior to modifying the research activity or materials, unless the investigator believes that the change must be made to prevent harm to participants. All such changes must be reported to ORRP staff or the IRB.</w:t>
      </w:r>
    </w:p>
    <w:p w14:paraId="2D67711F" w14:textId="77777777" w:rsidR="009F23E1" w:rsidRPr="000700B0" w:rsidRDefault="009F23E1" w:rsidP="00A07209">
      <w:pPr>
        <w:pStyle w:val="ListParagraph"/>
        <w:numPr>
          <w:ilvl w:val="1"/>
          <w:numId w:val="98"/>
        </w:numPr>
        <w:spacing w:after="120" w:line="240" w:lineRule="auto"/>
        <w:rPr>
          <w:b/>
        </w:rPr>
      </w:pPr>
      <w:r>
        <w:t xml:space="preserve">Research personnel changes that do not otherwise affect the research protocol or participant materials can be requested by submitting an amendment application in Buck-IRB. No personnel changes can be implemented until ORRP staff accept the changes and notify the investigators. </w:t>
      </w:r>
    </w:p>
    <w:p w14:paraId="746B7EC3" w14:textId="77777777" w:rsidR="009F23E1" w:rsidRPr="009F23E1" w:rsidRDefault="009F23E1" w:rsidP="009F23E1">
      <w:pPr>
        <w:spacing w:after="0" w:line="240" w:lineRule="auto"/>
      </w:pPr>
    </w:p>
    <w:p w14:paraId="5AEAEA23" w14:textId="77777777" w:rsidR="009F23E1" w:rsidRPr="009F23E1" w:rsidRDefault="009F23E1" w:rsidP="00A07209">
      <w:pPr>
        <w:numPr>
          <w:ilvl w:val="0"/>
          <w:numId w:val="96"/>
        </w:numPr>
        <w:spacing w:after="0" w:line="240" w:lineRule="auto"/>
        <w:rPr>
          <w:b/>
        </w:rPr>
      </w:pPr>
      <w:r>
        <w:rPr>
          <w:b/>
        </w:rPr>
        <w:t>Record Retention</w:t>
      </w:r>
    </w:p>
    <w:p w14:paraId="01251EC1" w14:textId="77777777" w:rsidR="009F23E1" w:rsidRPr="009F23E1" w:rsidRDefault="009F23E1" w:rsidP="009F23E1">
      <w:pPr>
        <w:spacing w:after="0" w:line="240" w:lineRule="auto"/>
        <w:ind w:left="360"/>
        <w:rPr>
          <w:b/>
        </w:rPr>
      </w:pPr>
    </w:p>
    <w:p w14:paraId="08198405" w14:textId="77777777" w:rsidR="009F23E1" w:rsidRPr="009F23E1" w:rsidRDefault="009F23E1" w:rsidP="009F23E1">
      <w:pPr>
        <w:spacing w:after="0" w:line="240" w:lineRule="auto"/>
        <w:ind w:left="360"/>
      </w:pPr>
      <w:r>
        <w:t>Records of exempt determinations, including materials submitted and related correspondence, are retained by the Office of Responsible Research Practices in accordance with HRPP policy [</w:t>
      </w:r>
      <w:hyperlink r:id="rId127" w:history="1">
        <w:r>
          <w:rPr>
            <w:color w:val="0000FF"/>
            <w:u w:val="single"/>
          </w:rPr>
          <w:t>IRB Recordkeeping</w:t>
        </w:r>
      </w:hyperlink>
      <w:r>
        <w:t>]. Records will include the exempt category or categories under which the determination was made, documentation as to why the research was judged not to be exempt, documentation of privacy board review, and/or documentation of limited IRB review, as applicable.</w:t>
      </w:r>
    </w:p>
    <w:p w14:paraId="55EA663E" w14:textId="77777777" w:rsidR="009F23E1" w:rsidRPr="009F23E1" w:rsidRDefault="009F23E1" w:rsidP="009F23E1">
      <w:pPr>
        <w:spacing w:after="0" w:line="240" w:lineRule="auto"/>
        <w:ind w:left="360"/>
        <w:rPr>
          <w:b/>
        </w:rPr>
      </w:pPr>
    </w:p>
    <w:p w14:paraId="1C61473C" w14:textId="77777777" w:rsidR="009F23E1" w:rsidRPr="009F23E1" w:rsidRDefault="009F23E1" w:rsidP="00A07209">
      <w:pPr>
        <w:numPr>
          <w:ilvl w:val="0"/>
          <w:numId w:val="96"/>
        </w:numPr>
        <w:spacing w:after="0" w:line="240" w:lineRule="auto"/>
      </w:pPr>
      <w:r>
        <w:rPr>
          <w:b/>
        </w:rPr>
        <w:t>Applicable Regulations/Guidance</w:t>
      </w:r>
    </w:p>
    <w:p w14:paraId="5AF67767" w14:textId="77777777" w:rsidR="009F23E1" w:rsidRPr="009F23E1" w:rsidRDefault="009F23E1" w:rsidP="009F23E1">
      <w:pPr>
        <w:spacing w:after="0" w:line="240" w:lineRule="auto"/>
        <w:ind w:left="360"/>
      </w:pPr>
    </w:p>
    <w:p w14:paraId="3C4F8382" w14:textId="77777777" w:rsidR="009F23E1" w:rsidRPr="009F23E1" w:rsidRDefault="009F23E1" w:rsidP="009F23E1">
      <w:pPr>
        <w:spacing w:after="0" w:line="240" w:lineRule="auto"/>
        <w:ind w:left="360"/>
      </w:pPr>
      <w:r>
        <w:t xml:space="preserve">21 CFR 56.104, 21 CFR 56.115, pre-2018 and Final Rule (45 CFR 46.101, 45 CFR 46.104, 45 CFR 46.109, 45 CFR 46.110, 45 CFR 46.115, 45 CFR 46.201, 45 CFR 46.301, 45 CFR 46.401), 45 CFR 164, OHRP “Human Subject Regulations Decision Charts” (02/16/2016), “OHRP Guidance on the Involvement of Prisoners in Research” (05/23/03), OHRP Guidance “Exempt Research and Research That May Undergo Expedited Review” (05/05/95), OHRP Guidance “Exemption for Research and Demonstration Projects on Public Benefit and Service Programs,” OHRP “Exempt Research Determination FAQs” </w:t>
      </w:r>
    </w:p>
    <w:p w14:paraId="5174EAF1" w14:textId="77777777" w:rsidR="009F23E1" w:rsidRPr="009F23E1" w:rsidRDefault="009F23E1" w:rsidP="009F23E1">
      <w:pPr>
        <w:spacing w:after="0" w:line="240" w:lineRule="auto"/>
        <w:ind w:left="360"/>
      </w:pPr>
    </w:p>
    <w:p w14:paraId="0D65FBCA" w14:textId="77777777" w:rsidR="009F23E1" w:rsidRPr="009F23E1" w:rsidRDefault="009F23E1" w:rsidP="00A07209">
      <w:pPr>
        <w:numPr>
          <w:ilvl w:val="0"/>
          <w:numId w:val="96"/>
        </w:numPr>
        <w:spacing w:after="0" w:line="240" w:lineRule="auto"/>
        <w:rPr>
          <w:b/>
        </w:rPr>
      </w:pPr>
      <w:r>
        <w:rPr>
          <w:b/>
        </w:rPr>
        <w:t>History</w:t>
      </w:r>
    </w:p>
    <w:p w14:paraId="1C793EDD" w14:textId="77777777" w:rsidR="009F23E1" w:rsidRPr="009F23E1" w:rsidRDefault="009F23E1" w:rsidP="009F23E1">
      <w:pPr>
        <w:spacing w:after="0" w:line="240" w:lineRule="auto"/>
        <w:ind w:left="360"/>
      </w:pPr>
    </w:p>
    <w:p w14:paraId="726D6CE3" w14:textId="77777777" w:rsidR="009F23E1" w:rsidRPr="009F23E1" w:rsidRDefault="009F23E1" w:rsidP="009F23E1">
      <w:pPr>
        <w:spacing w:after="0" w:line="240" w:lineRule="auto"/>
        <w:ind w:left="360"/>
      </w:pPr>
      <w:r>
        <w:t>Issued: 07/17/2006</w:t>
      </w:r>
    </w:p>
    <w:p w14:paraId="6AF7410A" w14:textId="77777777" w:rsidR="009F23E1" w:rsidRPr="009F23E1" w:rsidRDefault="009F23E1" w:rsidP="009F23E1">
      <w:pPr>
        <w:spacing w:after="0" w:line="240" w:lineRule="auto"/>
        <w:ind w:left="360"/>
      </w:pPr>
      <w:r>
        <w:t>Revised: 04/28/2009, 06/20/201, 05/25/2012, 05/02/2016, 01/22/2019, 11/25/2019</w:t>
      </w:r>
    </w:p>
    <w:p w14:paraId="2A871126" w14:textId="77777777" w:rsidR="009F23E1" w:rsidRPr="009F23E1" w:rsidRDefault="009F23E1" w:rsidP="009F23E1">
      <w:pPr>
        <w:spacing w:after="0" w:line="240" w:lineRule="auto"/>
        <w:ind w:left="360"/>
      </w:pPr>
      <w:r>
        <w:t>Edited: 07/25/2010, 01/14/2022, 04/20/2022, 02/08/2023</w:t>
      </w:r>
    </w:p>
    <w:p w14:paraId="1AA9A3AB" w14:textId="77777777" w:rsidR="009F23E1" w:rsidRPr="009F23E1" w:rsidRDefault="009F23E1" w:rsidP="009F23E1">
      <w:pPr>
        <w:spacing w:after="0" w:line="240" w:lineRule="auto"/>
      </w:pPr>
      <w:r>
        <w:br w:type="page"/>
      </w:r>
    </w:p>
    <w:p w14:paraId="78F887D2" w14:textId="77777777" w:rsidR="009F23E1" w:rsidRPr="009F23E1" w:rsidRDefault="009F23E1" w:rsidP="009F23E1">
      <w:pPr>
        <w:spacing w:after="0" w:line="240" w:lineRule="auto"/>
        <w:rPr>
          <w:b/>
        </w:rPr>
      </w:pPr>
      <w:bookmarkStart w:id="249" w:name="Attachment1"/>
      <w:r>
        <w:rPr>
          <w:b/>
        </w:rPr>
        <w:lastRenderedPageBreak/>
        <w:t>Attachment 1.</w:t>
      </w:r>
    </w:p>
    <w:bookmarkEnd w:id="249"/>
    <w:p w14:paraId="717F8609" w14:textId="77777777" w:rsidR="009F23E1" w:rsidRPr="009F23E1" w:rsidRDefault="009F23E1" w:rsidP="009F23E1">
      <w:pPr>
        <w:spacing w:after="0" w:line="240" w:lineRule="auto"/>
        <w:rPr>
          <w:b/>
        </w:rPr>
      </w:pPr>
    </w:p>
    <w:p w14:paraId="44460620" w14:textId="77777777" w:rsidR="009F23E1" w:rsidRPr="009F23E1" w:rsidRDefault="009F23E1" w:rsidP="009F23E1">
      <w:pPr>
        <w:spacing w:after="0" w:line="240" w:lineRule="auto"/>
        <w:rPr>
          <w:b/>
        </w:rPr>
      </w:pPr>
      <w:r>
        <w:rPr>
          <w:b/>
        </w:rPr>
        <w:t>Categories of Research That May Qualify for Exemption under Federal Regulations</w:t>
      </w:r>
    </w:p>
    <w:p w14:paraId="4D65C108" w14:textId="77777777" w:rsidR="009F23E1" w:rsidRPr="009F23E1" w:rsidRDefault="009F23E1" w:rsidP="009F23E1">
      <w:pPr>
        <w:spacing w:after="0" w:line="240" w:lineRule="auto"/>
        <w:rPr>
          <w:b/>
        </w:rPr>
      </w:pPr>
    </w:p>
    <w:p w14:paraId="53AB2DB7" w14:textId="77777777" w:rsidR="009F23E1" w:rsidRPr="009F23E1" w:rsidRDefault="009F23E1" w:rsidP="009F23E1">
      <w:pPr>
        <w:spacing w:after="0" w:line="240" w:lineRule="auto"/>
        <w:rPr>
          <w:b/>
        </w:rPr>
      </w:pPr>
      <w:r>
        <w:rPr>
          <w:b/>
        </w:rPr>
        <w:t xml:space="preserve">DHHS Categories of Exemption </w:t>
      </w:r>
    </w:p>
    <w:p w14:paraId="6905AF34" w14:textId="77777777" w:rsidR="009F23E1" w:rsidRPr="009F23E1" w:rsidRDefault="009F23E1" w:rsidP="009F23E1">
      <w:pPr>
        <w:spacing w:after="0" w:line="240" w:lineRule="auto"/>
        <w:rPr>
          <w:i/>
          <w:szCs w:val="20"/>
        </w:rPr>
      </w:pPr>
    </w:p>
    <w:p w14:paraId="1A1F430C" w14:textId="77777777" w:rsidR="009F23E1" w:rsidRPr="009F23E1" w:rsidRDefault="009F23E1" w:rsidP="00A07209">
      <w:pPr>
        <w:numPr>
          <w:ilvl w:val="0"/>
          <w:numId w:val="99"/>
        </w:numPr>
        <w:shd w:val="clear" w:color="auto" w:fill="FFFFFF"/>
        <w:spacing w:after="60" w:line="240" w:lineRule="auto"/>
        <w:rPr>
          <w:bCs/>
        </w:rPr>
      </w:pPr>
      <w:r>
        <w:rPr>
          <w:bCs/>
        </w:rPr>
        <w:t>Research conducted in established or commonly accepted educational settings, involving normal educational practices, so long as the research is not likely to adversely impact students’ opportunity to learn required educational content or the assessment of educators who provide instruction, such as:</w:t>
      </w:r>
    </w:p>
    <w:p w14:paraId="3C5BDF14" w14:textId="77777777" w:rsidR="009F23E1" w:rsidRPr="009F23E1" w:rsidRDefault="009F23E1" w:rsidP="00A07209">
      <w:pPr>
        <w:numPr>
          <w:ilvl w:val="1"/>
          <w:numId w:val="104"/>
        </w:numPr>
        <w:shd w:val="clear" w:color="auto" w:fill="FFFFFF"/>
        <w:spacing w:after="60" w:line="240" w:lineRule="auto"/>
        <w:rPr>
          <w:bCs/>
        </w:rPr>
      </w:pPr>
      <w:r>
        <w:rPr>
          <w:bCs/>
        </w:rPr>
        <w:t>Research on regular and special education instructional strategies</w:t>
      </w:r>
    </w:p>
    <w:p w14:paraId="2B89D331" w14:textId="77777777" w:rsidR="009F23E1" w:rsidRPr="009F23E1" w:rsidRDefault="009F23E1" w:rsidP="00A07209">
      <w:pPr>
        <w:numPr>
          <w:ilvl w:val="1"/>
          <w:numId w:val="104"/>
        </w:numPr>
        <w:shd w:val="clear" w:color="auto" w:fill="FFFFFF"/>
        <w:spacing w:after="60" w:line="240" w:lineRule="auto"/>
        <w:rPr>
          <w:bCs/>
        </w:rPr>
      </w:pPr>
      <w:r>
        <w:rPr>
          <w:bCs/>
        </w:rPr>
        <w:t>Research on the effectiveness of or the comparison among instructional techniques, curricula, or classroom management methods</w:t>
      </w:r>
    </w:p>
    <w:p w14:paraId="6177B8DE" w14:textId="77777777" w:rsidR="009F23E1" w:rsidRPr="009F23E1" w:rsidRDefault="009F23E1" w:rsidP="009F23E1">
      <w:pPr>
        <w:shd w:val="clear" w:color="auto" w:fill="FFFFFF"/>
        <w:spacing w:after="0" w:line="240" w:lineRule="auto"/>
        <w:ind w:left="1350"/>
        <w:rPr>
          <w:b/>
          <w:bCs/>
        </w:rPr>
      </w:pPr>
    </w:p>
    <w:p w14:paraId="48FC1415" w14:textId="77777777" w:rsidR="009F23E1" w:rsidRPr="009F23E1" w:rsidRDefault="009F23E1" w:rsidP="00A07209">
      <w:pPr>
        <w:numPr>
          <w:ilvl w:val="0"/>
          <w:numId w:val="99"/>
        </w:numPr>
        <w:shd w:val="clear" w:color="auto" w:fill="FFFFFF"/>
        <w:spacing w:after="60" w:line="240" w:lineRule="auto"/>
        <w:rPr>
          <w:b/>
          <w:bCs/>
        </w:rPr>
      </w:pPr>
      <w:r>
        <w:rPr>
          <w:color w:val="000000"/>
        </w:rPr>
        <w:t>Research that only includes interactions involving educational tests (cognitive, diagnostic, aptitude, achievement), survey procedures, interview procedures, or observation of public behavior (including visual or auditory recording) if at least one of the following three criteria is met:</w:t>
      </w:r>
    </w:p>
    <w:p w14:paraId="099B5800" w14:textId="77777777" w:rsidR="009F23E1" w:rsidRPr="009F23E1" w:rsidRDefault="009F23E1" w:rsidP="00A07209">
      <w:pPr>
        <w:numPr>
          <w:ilvl w:val="1"/>
          <w:numId w:val="100"/>
        </w:numPr>
        <w:shd w:val="clear" w:color="auto" w:fill="FFFFFF"/>
        <w:spacing w:after="60" w:line="240" w:lineRule="auto"/>
        <w:rPr>
          <w:b/>
          <w:bCs/>
        </w:rPr>
      </w:pPr>
      <w:r>
        <w:t>The information obtained is recorded by the investigator in such a manner that the identity of the human subjects cannot readily be ascertained, directly or through identifiers linked to the subjects.</w:t>
      </w:r>
    </w:p>
    <w:p w14:paraId="278BC0D5" w14:textId="77777777" w:rsidR="009F23E1" w:rsidRPr="009F23E1" w:rsidRDefault="009F23E1" w:rsidP="00A07209">
      <w:pPr>
        <w:numPr>
          <w:ilvl w:val="1"/>
          <w:numId w:val="100"/>
        </w:numPr>
        <w:shd w:val="clear" w:color="auto" w:fill="FFFFFF"/>
        <w:spacing w:after="60" w:line="240" w:lineRule="auto"/>
        <w:rPr>
          <w:b/>
          <w:bCs/>
        </w:rPr>
      </w:pPr>
      <w:r>
        <w:t>Any disclosure of the human subjects’ responses outside the research would not reasonably place the subjects at risk of criminal or civil liability or be damaging to the subjects’ financial standing, employability, educational advancement, or reputation.</w:t>
      </w:r>
    </w:p>
    <w:p w14:paraId="37717423" w14:textId="77777777" w:rsidR="009F23E1" w:rsidRPr="009F23E1" w:rsidRDefault="009F23E1" w:rsidP="00A07209">
      <w:pPr>
        <w:numPr>
          <w:ilvl w:val="1"/>
          <w:numId w:val="100"/>
        </w:numPr>
        <w:shd w:val="clear" w:color="auto" w:fill="FFFFFF"/>
        <w:spacing w:after="0" w:line="240" w:lineRule="auto"/>
        <w:contextualSpacing/>
        <w:rPr>
          <w:b/>
          <w:bCs/>
        </w:rPr>
      </w:pPr>
      <w:r>
        <w:t xml:space="preserve">The information obtained is recorded by the investigator in such a manner that the identity of the human subjects can readily be ascertained, directly or through identifiers linked to the subjects, and an IRB conducts a limited IRB review to ensure adequate protections are in place for protecting privacy and maintaining confidentiality. </w:t>
      </w:r>
    </w:p>
    <w:p w14:paraId="16812481" w14:textId="77777777" w:rsidR="009F23E1" w:rsidRPr="009F23E1" w:rsidRDefault="009F23E1" w:rsidP="009F23E1">
      <w:pPr>
        <w:shd w:val="clear" w:color="auto" w:fill="FFFFFF"/>
        <w:spacing w:after="0" w:line="240" w:lineRule="auto"/>
        <w:ind w:left="1440"/>
        <w:rPr>
          <w:b/>
          <w:bCs/>
        </w:rPr>
      </w:pPr>
    </w:p>
    <w:p w14:paraId="73622EC5" w14:textId="77777777" w:rsidR="009F23E1" w:rsidRPr="009F23E1" w:rsidRDefault="009F23E1" w:rsidP="009F23E1">
      <w:pPr>
        <w:shd w:val="clear" w:color="auto" w:fill="FFFFFF"/>
        <w:spacing w:after="0" w:line="240" w:lineRule="auto"/>
        <w:ind w:left="720"/>
        <w:rPr>
          <w:b/>
          <w:bCs/>
          <w:i/>
          <w:color w:val="000000"/>
        </w:rPr>
      </w:pPr>
      <w:r>
        <w:rPr>
          <w:i/>
          <w:color w:val="000000"/>
        </w:rPr>
        <w:t>Note: The exemption under category 2 does not apply to research involving survey or interview procedures or observation of public behavior when individuals under the age of 18 are subjects of the activity except for research involving educational tests or observations of public behavior when the investigator(s) do not participate in the activities being observed.</w:t>
      </w:r>
    </w:p>
    <w:p w14:paraId="18A92777" w14:textId="77777777" w:rsidR="009F23E1" w:rsidRPr="009F23E1" w:rsidRDefault="009F23E1" w:rsidP="009F23E1">
      <w:pPr>
        <w:spacing w:after="0" w:line="240" w:lineRule="auto"/>
        <w:rPr>
          <w:color w:val="000000"/>
        </w:rPr>
      </w:pPr>
    </w:p>
    <w:p w14:paraId="2C5BC949" w14:textId="77777777" w:rsidR="009F23E1" w:rsidRPr="009F23E1" w:rsidRDefault="009F23E1" w:rsidP="00A07209">
      <w:pPr>
        <w:numPr>
          <w:ilvl w:val="0"/>
          <w:numId w:val="99"/>
        </w:num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 xml:space="preserve">Research involving benign behavioral interventions in conjunction with the collection of information from an adult subject through verbal or written responses (including data entry) or audiovisual recording if the subject prospectively agrees to the intervention and information collection and at least one of the following criteria is met: </w:t>
      </w:r>
    </w:p>
    <w:p w14:paraId="5845D32E" w14:textId="77777777" w:rsidR="009F23E1" w:rsidRPr="009F23E1" w:rsidRDefault="009F23E1" w:rsidP="00A07209">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The information obtained is recorded by the investigator in such a manner that the identity of the human subjects cannot readily be ascertained, directly or through identifiers linked to the subjects.</w:t>
      </w:r>
    </w:p>
    <w:p w14:paraId="09C36780" w14:textId="77777777" w:rsidR="009F23E1" w:rsidRPr="009F23E1" w:rsidRDefault="009F23E1" w:rsidP="00A07209">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Any disclosure of the human subjects’ responses outside the research would not reasonably place the subjects at risk of criminal or civil liability or be damaging to the subjects’ financial standing, employability, educational advancement, or reputation.</w:t>
      </w:r>
    </w:p>
    <w:p w14:paraId="28666089" w14:textId="77777777" w:rsidR="009F23E1" w:rsidRPr="009F23E1" w:rsidRDefault="009F23E1" w:rsidP="00A07209">
      <w:pPr>
        <w:numPr>
          <w:ilvl w:val="1"/>
          <w:numId w:val="101"/>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color w:val="000000"/>
        </w:rPr>
      </w:pPr>
      <w:r>
        <w:rPr>
          <w:color w:val="000000"/>
        </w:rPr>
        <w:lastRenderedPageBreak/>
        <w:t xml:space="preserve">The information obtained is recorded in such a manner that the identity of the human subjects can readily be ascertained, directly or through identifiers linked to the subjects, and an IRB conducts a limited IRB review to ensure adequate protections are in place for protecting privacy and maintaining confidentiality. </w:t>
      </w:r>
    </w:p>
    <w:p w14:paraId="7A9222BC" w14:textId="77777777" w:rsidR="009F23E1" w:rsidRPr="009F23E1" w:rsidRDefault="009F23E1" w:rsidP="009F2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i/>
          <w:color w:val="000000"/>
        </w:rPr>
      </w:pPr>
    </w:p>
    <w:p w14:paraId="534B84A0" w14:textId="77777777" w:rsidR="009F23E1" w:rsidRPr="009F23E1" w:rsidRDefault="009F23E1" w:rsidP="009F2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i/>
          <w:color w:val="000000"/>
        </w:rPr>
      </w:pPr>
      <w:r>
        <w:rPr>
          <w:i/>
          <w:color w:val="000000"/>
        </w:rPr>
        <w:t>Note: If the research involves deceiving subjects regarding the nature or purposes of the research, this exemption is not applicable unless the subject authorizes the deception through a prospective agreement to participate in research in circumstances in which the subject is informed that he or she will be unaware of or misled regarding the nature or purposes of the research.</w:t>
      </w:r>
    </w:p>
    <w:p w14:paraId="132BD18F" w14:textId="77777777" w:rsidR="009F23E1" w:rsidRPr="009F23E1" w:rsidRDefault="009F23E1" w:rsidP="009F2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rPr>
          <w:i/>
          <w:color w:val="000000"/>
        </w:rPr>
      </w:pPr>
    </w:p>
    <w:p w14:paraId="13130FDA" w14:textId="77777777" w:rsidR="009F23E1" w:rsidRPr="009F23E1" w:rsidRDefault="009F23E1" w:rsidP="009F23E1">
      <w:pPr>
        <w:spacing w:after="0" w:line="240" w:lineRule="auto"/>
        <w:rPr>
          <w:color w:val="000000"/>
        </w:rPr>
      </w:pPr>
    </w:p>
    <w:p w14:paraId="5D53DAD0" w14:textId="77777777" w:rsidR="009F23E1" w:rsidRPr="009F23E1" w:rsidRDefault="009F23E1" w:rsidP="00A07209">
      <w:pPr>
        <w:numPr>
          <w:ilvl w:val="0"/>
          <w:numId w:val="99"/>
        </w:numPr>
        <w:spacing w:after="60" w:line="240" w:lineRule="auto"/>
        <w:rPr>
          <w:color w:val="000000"/>
        </w:rPr>
      </w:pPr>
      <w:r>
        <w:rPr>
          <w:color w:val="000000"/>
        </w:rPr>
        <w:t xml:space="preserve">Secondary research uses of identifiable private information or identifiable biospecimens, if at least one of the following criteria is met: </w:t>
      </w:r>
    </w:p>
    <w:p w14:paraId="74FE3560" w14:textId="77777777" w:rsidR="009F23E1" w:rsidRPr="009F23E1" w:rsidRDefault="009F23E1" w:rsidP="00A07209">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 xml:space="preserve">The identifiable private information or identifiable biospecimens are publicly available. </w:t>
      </w:r>
    </w:p>
    <w:p w14:paraId="57529F95" w14:textId="77777777" w:rsidR="009F23E1" w:rsidRPr="009F23E1" w:rsidRDefault="009F23E1" w:rsidP="00A07209">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 xml:space="preserve">The information, which may include information about biospecimens, is recorded by the investigator in such a way that the identity of the human subjects cannot readily be ascertained directly or through identifiers linked to the subjects, and the investigator does not contact the subjects, and the investigator will not re-identify subjects. </w:t>
      </w:r>
    </w:p>
    <w:p w14:paraId="17C0ECC6" w14:textId="77777777" w:rsidR="009F23E1" w:rsidRPr="009F23E1" w:rsidRDefault="009F23E1" w:rsidP="00A07209">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color w:val="000000"/>
        </w:rPr>
      </w:pPr>
      <w:r>
        <w:rPr>
          <w:color w:val="000000"/>
        </w:rPr>
        <w:t xml:space="preserve">The research involves only information collection and analysis involving the investigator's use of identifiable health information when that use is regulated by the Health Insurance Portability and Accountability Act (HIPAA) Privacy Rule, for the purposes of health care operations or research, or for public health activities and purposes as defined in HIPAA. </w:t>
      </w:r>
    </w:p>
    <w:p w14:paraId="5F483302" w14:textId="77777777" w:rsidR="009F23E1" w:rsidRPr="009F23E1" w:rsidRDefault="009F23E1" w:rsidP="00A07209">
      <w:pPr>
        <w:numPr>
          <w:ilvl w:val="0"/>
          <w:numId w:val="102"/>
        </w:num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color w:val="000000"/>
        </w:rPr>
      </w:pPr>
      <w:r>
        <w:rPr>
          <w:color w:val="000000"/>
        </w:rPr>
        <w:t xml:space="preserve">The research is conducted by, or on behalf of, a federal department or agency using government-generated or government-collected information obtained for non-research activities, provided that the original collection was subject to specific federal privacy protections and continues to be protected. </w:t>
      </w:r>
    </w:p>
    <w:p w14:paraId="6FD9ADB6" w14:textId="77777777" w:rsidR="009F23E1" w:rsidRPr="009F23E1" w:rsidRDefault="009F23E1" w:rsidP="009F23E1">
      <w:p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rPr>
          <w:color w:val="000000"/>
        </w:rPr>
      </w:pPr>
    </w:p>
    <w:p w14:paraId="0CEA2518" w14:textId="77777777" w:rsidR="009F23E1" w:rsidRPr="009F23E1" w:rsidRDefault="009F23E1" w:rsidP="009F23E1">
      <w:pPr>
        <w:tabs>
          <w:tab w:val="left" w:pos="900"/>
          <w:tab w:val="left" w:pos="144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720"/>
        <w:contextualSpacing/>
        <w:rPr>
          <w:i/>
          <w:color w:val="000000"/>
        </w:rPr>
      </w:pPr>
      <w:r>
        <w:rPr>
          <w:i/>
          <w:color w:val="000000"/>
        </w:rPr>
        <w:t>Note: The exemption under category 4 does not apply to research involving identifiable health information regulated by HIPAA when that information is sent to or received from external collaborators who are not part of covered entities under the Privacy Rule.</w:t>
      </w:r>
    </w:p>
    <w:p w14:paraId="0D9DB482" w14:textId="77777777" w:rsidR="009F23E1" w:rsidRPr="009F23E1" w:rsidRDefault="009F23E1" w:rsidP="009F23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40"/>
        <w:rPr>
          <w:color w:val="000000"/>
        </w:rPr>
      </w:pPr>
    </w:p>
    <w:p w14:paraId="762287D6" w14:textId="77777777" w:rsidR="009F23E1" w:rsidRPr="009F23E1" w:rsidRDefault="009F23E1" w:rsidP="00A07209">
      <w:pPr>
        <w:numPr>
          <w:ilvl w:val="0"/>
          <w:numId w:val="99"/>
        </w:numPr>
        <w:spacing w:after="0" w:line="240" w:lineRule="auto"/>
        <w:rPr>
          <w:color w:val="000000"/>
        </w:rPr>
      </w:pPr>
      <w:r>
        <w:rPr>
          <w:color w:val="000000"/>
        </w:rPr>
        <w:t>Research and demonstration projects that are conducted or supported by a federal department or agency, or otherwise subject to the approval of department or agency heads, and that are designed to study, evaluate, improve, or otherwise examine:</w:t>
      </w:r>
    </w:p>
    <w:p w14:paraId="25C207D1" w14:textId="77777777" w:rsidR="009F23E1" w:rsidRPr="009F23E1" w:rsidRDefault="009F23E1" w:rsidP="00A07209">
      <w:pPr>
        <w:numPr>
          <w:ilvl w:val="1"/>
          <w:numId w:val="105"/>
        </w:numPr>
        <w:spacing w:after="60" w:line="240" w:lineRule="auto"/>
        <w:rPr>
          <w:color w:val="000000"/>
        </w:rPr>
      </w:pPr>
      <w:r>
        <w:rPr>
          <w:color w:val="000000"/>
        </w:rPr>
        <w:t>Public benefit or service programs</w:t>
      </w:r>
    </w:p>
    <w:p w14:paraId="1FB2A622" w14:textId="77777777" w:rsidR="009F23E1" w:rsidRPr="009F23E1" w:rsidRDefault="009F23E1" w:rsidP="00A07209">
      <w:pPr>
        <w:numPr>
          <w:ilvl w:val="1"/>
          <w:numId w:val="105"/>
        </w:numPr>
        <w:spacing w:after="60" w:line="240" w:lineRule="auto"/>
        <w:rPr>
          <w:color w:val="000000"/>
        </w:rPr>
      </w:pPr>
      <w:r>
        <w:rPr>
          <w:color w:val="000000"/>
        </w:rPr>
        <w:t>Procedures for obtaining benefits or services under those programs</w:t>
      </w:r>
    </w:p>
    <w:p w14:paraId="239C2B96" w14:textId="77777777" w:rsidR="009F23E1" w:rsidRPr="009F23E1" w:rsidRDefault="009F23E1" w:rsidP="00A07209">
      <w:pPr>
        <w:numPr>
          <w:ilvl w:val="1"/>
          <w:numId w:val="105"/>
        </w:numPr>
        <w:spacing w:after="60" w:line="240" w:lineRule="auto"/>
        <w:rPr>
          <w:color w:val="000000"/>
        </w:rPr>
      </w:pPr>
      <w:r>
        <w:rPr>
          <w:color w:val="000000"/>
        </w:rPr>
        <w:t>Possible changes in or alternatives to those programs or procedures</w:t>
      </w:r>
    </w:p>
    <w:p w14:paraId="3940ED0A" w14:textId="77777777" w:rsidR="009F23E1" w:rsidRPr="009F23E1" w:rsidRDefault="009F23E1" w:rsidP="00A07209">
      <w:pPr>
        <w:numPr>
          <w:ilvl w:val="1"/>
          <w:numId w:val="105"/>
        </w:numPr>
        <w:spacing w:after="0" w:line="240" w:lineRule="auto"/>
        <w:rPr>
          <w:color w:val="000000"/>
        </w:rPr>
      </w:pPr>
      <w:r>
        <w:rPr>
          <w:color w:val="000000"/>
        </w:rPr>
        <w:t>Possible changes in methods or levels of payment for benefits or services under those programs</w:t>
      </w:r>
    </w:p>
    <w:p w14:paraId="0AD2606B" w14:textId="77777777" w:rsidR="009F23E1" w:rsidRPr="009F23E1" w:rsidRDefault="009F23E1" w:rsidP="009F23E1">
      <w:pPr>
        <w:spacing w:after="0" w:line="240" w:lineRule="auto"/>
        <w:ind w:left="720"/>
        <w:rPr>
          <w:i/>
          <w:color w:val="7F7F7F"/>
        </w:rPr>
      </w:pPr>
    </w:p>
    <w:p w14:paraId="43C99CCC" w14:textId="77777777" w:rsidR="009F23E1" w:rsidRPr="009F23E1" w:rsidRDefault="009F23E1" w:rsidP="009F23E1">
      <w:pPr>
        <w:spacing w:after="0" w:line="240" w:lineRule="auto"/>
        <w:ind w:left="720"/>
        <w:rPr>
          <w:i/>
          <w:color w:val="000000"/>
        </w:rPr>
      </w:pPr>
      <w:r>
        <w:rPr>
          <w:i/>
          <w:color w:val="000000"/>
        </w:rPr>
        <w:t>Note: Projects eligible for exemption under this category will be posted on the applicable federal agency’s publicly accessible website.</w:t>
      </w:r>
    </w:p>
    <w:p w14:paraId="2891133B" w14:textId="77777777" w:rsidR="009F23E1" w:rsidRPr="009F23E1" w:rsidRDefault="009F23E1" w:rsidP="009F23E1">
      <w:pPr>
        <w:spacing w:after="0" w:line="240" w:lineRule="auto"/>
        <w:rPr>
          <w:color w:val="000000"/>
        </w:rPr>
      </w:pPr>
    </w:p>
    <w:p w14:paraId="609B7F18" w14:textId="77777777" w:rsidR="009F23E1" w:rsidRPr="009F23E1" w:rsidRDefault="009F23E1" w:rsidP="00A07209">
      <w:pPr>
        <w:numPr>
          <w:ilvl w:val="0"/>
          <w:numId w:val="99"/>
        </w:numPr>
        <w:spacing w:after="60" w:line="240" w:lineRule="auto"/>
        <w:rPr>
          <w:color w:val="000000"/>
        </w:rPr>
      </w:pPr>
      <w:r>
        <w:rPr>
          <w:color w:val="000000"/>
        </w:rPr>
        <w:t>Taste and food quality evaluation and consumer acceptance studies, if:</w:t>
      </w:r>
    </w:p>
    <w:p w14:paraId="4867B28E" w14:textId="77777777" w:rsidR="009F23E1" w:rsidRPr="009F23E1" w:rsidRDefault="009F23E1" w:rsidP="00A07209">
      <w:pPr>
        <w:numPr>
          <w:ilvl w:val="0"/>
          <w:numId w:val="61"/>
        </w:numPr>
        <w:spacing w:after="60" w:line="240" w:lineRule="auto"/>
        <w:ind w:left="1440"/>
        <w:rPr>
          <w:color w:val="000000"/>
        </w:rPr>
      </w:pPr>
      <w:r>
        <w:rPr>
          <w:color w:val="000000"/>
        </w:rPr>
        <w:lastRenderedPageBreak/>
        <w:t>Wholesome foods without additives are consumed, or</w:t>
      </w:r>
    </w:p>
    <w:p w14:paraId="4D39CE92" w14:textId="77777777" w:rsidR="009F23E1" w:rsidRPr="009F23E1" w:rsidRDefault="009F23E1" w:rsidP="00A07209">
      <w:pPr>
        <w:numPr>
          <w:ilvl w:val="0"/>
          <w:numId w:val="61"/>
        </w:numPr>
        <w:spacing w:after="0" w:line="240" w:lineRule="auto"/>
        <w:ind w:left="1440"/>
        <w:rPr>
          <w:color w:val="000000"/>
        </w:rPr>
      </w:pPr>
      <w:r>
        <w:rPr>
          <w:color w:val="000000"/>
        </w:rPr>
        <w:t>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3DB6A0D7" w14:textId="77777777" w:rsidR="009F23E1" w:rsidRPr="009F23E1" w:rsidRDefault="009F23E1" w:rsidP="009F23E1">
      <w:pPr>
        <w:widowControl w:val="0"/>
        <w:autoSpaceDE w:val="0"/>
        <w:autoSpaceDN w:val="0"/>
        <w:adjustRightInd w:val="0"/>
        <w:spacing w:after="0" w:line="240" w:lineRule="auto"/>
        <w:rPr>
          <w:color w:val="000000"/>
        </w:rPr>
      </w:pPr>
    </w:p>
    <w:p w14:paraId="22451DDE" w14:textId="77777777" w:rsidR="009F23E1" w:rsidRPr="009F23E1" w:rsidRDefault="009F23E1" w:rsidP="00A07209">
      <w:pPr>
        <w:widowControl w:val="0"/>
        <w:numPr>
          <w:ilvl w:val="0"/>
          <w:numId w:val="99"/>
        </w:numPr>
        <w:autoSpaceDE w:val="0"/>
        <w:autoSpaceDN w:val="0"/>
        <w:adjustRightInd w:val="0"/>
        <w:spacing w:after="0" w:line="240" w:lineRule="auto"/>
        <w:rPr>
          <w:color w:val="000000"/>
        </w:rPr>
      </w:pPr>
      <w:r>
        <w:rPr>
          <w:color w:val="000000"/>
        </w:rPr>
        <w:t>Storage or maintenance of identifiable data and/or biospecimens obtained with “broad consent”</w:t>
      </w:r>
    </w:p>
    <w:p w14:paraId="5097853F" w14:textId="77777777" w:rsidR="009F23E1" w:rsidRPr="009F23E1" w:rsidRDefault="009F23E1" w:rsidP="009F23E1">
      <w:pPr>
        <w:widowControl w:val="0"/>
        <w:autoSpaceDE w:val="0"/>
        <w:autoSpaceDN w:val="0"/>
        <w:adjustRightInd w:val="0"/>
        <w:spacing w:after="0" w:line="240" w:lineRule="auto"/>
        <w:rPr>
          <w:color w:val="000000"/>
        </w:rPr>
      </w:pPr>
    </w:p>
    <w:p w14:paraId="5FDF932F" w14:textId="77777777" w:rsidR="009F23E1" w:rsidRPr="009F23E1" w:rsidRDefault="009F23E1" w:rsidP="009F23E1">
      <w:pPr>
        <w:widowControl w:val="0"/>
        <w:autoSpaceDE w:val="0"/>
        <w:autoSpaceDN w:val="0"/>
        <w:adjustRightInd w:val="0"/>
        <w:spacing w:after="0" w:line="240" w:lineRule="auto"/>
        <w:ind w:left="720"/>
        <w:rPr>
          <w:i/>
          <w:color w:val="000000"/>
        </w:rPr>
      </w:pPr>
      <w:r>
        <w:rPr>
          <w:i/>
          <w:color w:val="000000"/>
        </w:rPr>
        <w:t>Note: Not available at Ohio State.</w:t>
      </w:r>
    </w:p>
    <w:p w14:paraId="1F1E4EFD" w14:textId="77777777" w:rsidR="009F23E1" w:rsidRPr="009F23E1" w:rsidRDefault="009F23E1" w:rsidP="009F23E1">
      <w:pPr>
        <w:widowControl w:val="0"/>
        <w:autoSpaceDE w:val="0"/>
        <w:autoSpaceDN w:val="0"/>
        <w:adjustRightInd w:val="0"/>
        <w:spacing w:after="0" w:line="240" w:lineRule="auto"/>
        <w:rPr>
          <w:color w:val="000000"/>
        </w:rPr>
      </w:pPr>
    </w:p>
    <w:p w14:paraId="68C8FC60" w14:textId="77777777" w:rsidR="009F23E1" w:rsidRPr="009F23E1" w:rsidRDefault="009F23E1" w:rsidP="00A07209">
      <w:pPr>
        <w:widowControl w:val="0"/>
        <w:numPr>
          <w:ilvl w:val="0"/>
          <w:numId w:val="99"/>
        </w:numPr>
        <w:autoSpaceDE w:val="0"/>
        <w:autoSpaceDN w:val="0"/>
        <w:adjustRightInd w:val="0"/>
        <w:spacing w:after="0" w:line="240" w:lineRule="auto"/>
        <w:rPr>
          <w:color w:val="000000"/>
        </w:rPr>
      </w:pPr>
      <w:r>
        <w:rPr>
          <w:color w:val="000000"/>
        </w:rPr>
        <w:t>Use of identifiable data and/or biospecimens obtained with “broad consent”</w:t>
      </w:r>
    </w:p>
    <w:p w14:paraId="0186DF1F" w14:textId="77777777" w:rsidR="009F23E1" w:rsidRPr="009F23E1" w:rsidRDefault="009F23E1" w:rsidP="009F23E1">
      <w:pPr>
        <w:widowControl w:val="0"/>
        <w:autoSpaceDE w:val="0"/>
        <w:autoSpaceDN w:val="0"/>
        <w:adjustRightInd w:val="0"/>
        <w:spacing w:after="0" w:line="240" w:lineRule="auto"/>
        <w:rPr>
          <w:color w:val="000000"/>
        </w:rPr>
      </w:pPr>
    </w:p>
    <w:p w14:paraId="2E2A5F7C" w14:textId="77777777" w:rsidR="009F23E1" w:rsidRPr="009F23E1" w:rsidRDefault="009F23E1" w:rsidP="009F23E1">
      <w:pPr>
        <w:widowControl w:val="0"/>
        <w:autoSpaceDE w:val="0"/>
        <w:autoSpaceDN w:val="0"/>
        <w:adjustRightInd w:val="0"/>
        <w:spacing w:after="0" w:line="240" w:lineRule="auto"/>
        <w:ind w:left="720"/>
        <w:rPr>
          <w:szCs w:val="20"/>
        </w:rPr>
      </w:pPr>
      <w:r>
        <w:rPr>
          <w:i/>
          <w:color w:val="000000"/>
        </w:rPr>
        <w:t>Note: Not available at Ohio State.</w:t>
      </w:r>
    </w:p>
    <w:p w14:paraId="2A9DECDE" w14:textId="77777777" w:rsidR="009F23E1" w:rsidRPr="009F23E1" w:rsidRDefault="009F23E1" w:rsidP="009F23E1">
      <w:pPr>
        <w:widowControl w:val="0"/>
        <w:autoSpaceDE w:val="0"/>
        <w:autoSpaceDN w:val="0"/>
        <w:adjustRightInd w:val="0"/>
        <w:spacing w:after="0" w:line="240" w:lineRule="auto"/>
        <w:ind w:left="720"/>
        <w:rPr>
          <w:i/>
          <w:color w:val="000000"/>
        </w:rPr>
      </w:pPr>
    </w:p>
    <w:p w14:paraId="0794D74F" w14:textId="77777777" w:rsidR="009F23E1" w:rsidRPr="009F23E1" w:rsidRDefault="009F23E1" w:rsidP="009F23E1">
      <w:pPr>
        <w:widowControl w:val="0"/>
        <w:autoSpaceDE w:val="0"/>
        <w:autoSpaceDN w:val="0"/>
        <w:adjustRightInd w:val="0"/>
        <w:spacing w:after="0" w:line="240" w:lineRule="auto"/>
        <w:rPr>
          <w:color w:val="000000"/>
        </w:rPr>
      </w:pPr>
    </w:p>
    <w:p w14:paraId="74149493" w14:textId="77777777" w:rsidR="009F23E1" w:rsidRPr="009F23E1" w:rsidRDefault="009F23E1" w:rsidP="009F23E1">
      <w:pPr>
        <w:widowControl w:val="0"/>
        <w:autoSpaceDE w:val="0"/>
        <w:autoSpaceDN w:val="0"/>
        <w:adjustRightInd w:val="0"/>
        <w:spacing w:after="0" w:line="240" w:lineRule="auto"/>
        <w:rPr>
          <w:b/>
          <w:color w:val="000000"/>
        </w:rPr>
      </w:pPr>
      <w:r>
        <w:rPr>
          <w:b/>
          <w:color w:val="000000"/>
        </w:rPr>
        <w:t>FDA Categories of Exemption</w:t>
      </w:r>
    </w:p>
    <w:p w14:paraId="5494CDAA" w14:textId="77777777" w:rsidR="009F23E1" w:rsidRPr="009F23E1" w:rsidRDefault="009F23E1" w:rsidP="009F23E1">
      <w:pPr>
        <w:widowControl w:val="0"/>
        <w:autoSpaceDE w:val="0"/>
        <w:autoSpaceDN w:val="0"/>
        <w:adjustRightInd w:val="0"/>
        <w:spacing w:after="0" w:line="240" w:lineRule="auto"/>
        <w:rPr>
          <w:color w:val="000000"/>
        </w:rPr>
      </w:pPr>
    </w:p>
    <w:p w14:paraId="6BA2D789" w14:textId="77777777" w:rsidR="009F23E1" w:rsidRPr="009F23E1" w:rsidRDefault="009F23E1" w:rsidP="00A07209">
      <w:pPr>
        <w:widowControl w:val="0"/>
        <w:numPr>
          <w:ilvl w:val="0"/>
          <w:numId w:val="97"/>
        </w:numPr>
        <w:tabs>
          <w:tab w:val="num" w:pos="720"/>
        </w:tabs>
        <w:autoSpaceDE w:val="0"/>
        <w:autoSpaceDN w:val="0"/>
        <w:adjustRightInd w:val="0"/>
        <w:spacing w:after="120" w:line="240" w:lineRule="auto"/>
        <w:rPr>
          <w:color w:val="000000"/>
        </w:rPr>
      </w:pPr>
      <w:r>
        <w:rPr>
          <w:color w:val="000000"/>
        </w:rPr>
        <w:t>Any investigation that began before July 27, 1981, that was subject to requirements for IRB review under FDA regulations before that date, provided that the investigation remains subject to review of an IRB that meets the FDA requirements in effect before July 27, 1981.</w:t>
      </w:r>
    </w:p>
    <w:p w14:paraId="6133885F" w14:textId="77777777" w:rsidR="009F23E1" w:rsidRPr="009F23E1" w:rsidRDefault="009F23E1" w:rsidP="00A07209">
      <w:pPr>
        <w:widowControl w:val="0"/>
        <w:numPr>
          <w:ilvl w:val="0"/>
          <w:numId w:val="97"/>
        </w:numPr>
        <w:tabs>
          <w:tab w:val="num" w:pos="720"/>
        </w:tabs>
        <w:autoSpaceDE w:val="0"/>
        <w:autoSpaceDN w:val="0"/>
        <w:adjustRightInd w:val="0"/>
        <w:spacing w:after="120" w:line="240" w:lineRule="auto"/>
        <w:rPr>
          <w:color w:val="000000"/>
        </w:rPr>
      </w:pPr>
      <w:r>
        <w:rPr>
          <w:color w:val="000000"/>
        </w:rPr>
        <w:t>Any investigation begun before July 27, 1981, that was not otherwise subject to requirements for IRB review under FDA regulations before that date.</w:t>
      </w:r>
    </w:p>
    <w:p w14:paraId="11038A0B" w14:textId="77777777" w:rsidR="009F23E1" w:rsidRPr="009F23E1" w:rsidRDefault="009F23E1" w:rsidP="00A07209">
      <w:pPr>
        <w:widowControl w:val="0"/>
        <w:numPr>
          <w:ilvl w:val="0"/>
          <w:numId w:val="97"/>
        </w:numPr>
        <w:tabs>
          <w:tab w:val="num" w:pos="720"/>
        </w:tabs>
        <w:autoSpaceDE w:val="0"/>
        <w:autoSpaceDN w:val="0"/>
        <w:adjustRightInd w:val="0"/>
        <w:spacing w:after="120" w:line="240" w:lineRule="auto"/>
        <w:rPr>
          <w:color w:val="000000"/>
        </w:rPr>
      </w:pPr>
      <w:r>
        <w:rPr>
          <w:color w:val="000000"/>
        </w:rPr>
        <w:t xml:space="preserve">Emergency use of a test article, provided that the emergency use is reported to the IRB within five working days. </w:t>
      </w:r>
      <w:r>
        <w:rPr>
          <w:i/>
          <w:iCs/>
          <w:color w:val="000000"/>
        </w:rPr>
        <w:t>Note: Any subsequent use of the test article at the institution is subject to IRB review.</w:t>
      </w:r>
    </w:p>
    <w:p w14:paraId="4FD38031" w14:textId="77777777" w:rsidR="009F23E1" w:rsidRPr="009F23E1" w:rsidRDefault="009F23E1" w:rsidP="00A07209">
      <w:pPr>
        <w:widowControl w:val="0"/>
        <w:numPr>
          <w:ilvl w:val="0"/>
          <w:numId w:val="97"/>
        </w:numPr>
        <w:tabs>
          <w:tab w:val="num" w:pos="720"/>
        </w:tabs>
        <w:autoSpaceDE w:val="0"/>
        <w:autoSpaceDN w:val="0"/>
        <w:adjustRightInd w:val="0"/>
        <w:spacing w:after="60" w:line="240" w:lineRule="auto"/>
        <w:rPr>
          <w:color w:val="000000"/>
        </w:rPr>
      </w:pPr>
      <w:r>
        <w:rPr>
          <w:color w:val="000000"/>
        </w:rPr>
        <w:t>Taste and food quality evaluations and consumer acceptance studies, if:</w:t>
      </w:r>
    </w:p>
    <w:p w14:paraId="7FE9BA7A" w14:textId="77777777" w:rsidR="009F23E1" w:rsidRPr="009F23E1" w:rsidRDefault="009F23E1" w:rsidP="00A07209">
      <w:pPr>
        <w:widowControl w:val="0"/>
        <w:numPr>
          <w:ilvl w:val="0"/>
          <w:numId w:val="103"/>
        </w:numPr>
        <w:autoSpaceDE w:val="0"/>
        <w:autoSpaceDN w:val="0"/>
        <w:adjustRightInd w:val="0"/>
        <w:spacing w:after="60" w:line="240" w:lineRule="auto"/>
        <w:rPr>
          <w:color w:val="000000"/>
        </w:rPr>
      </w:pPr>
      <w:r>
        <w:rPr>
          <w:color w:val="000000"/>
        </w:rPr>
        <w:t>Wholesome foods without additives are consumed, or</w:t>
      </w:r>
    </w:p>
    <w:p w14:paraId="44A3E2FD" w14:textId="77777777" w:rsidR="009F23E1" w:rsidRPr="009F23E1" w:rsidRDefault="009F23E1" w:rsidP="00A07209">
      <w:pPr>
        <w:widowControl w:val="0"/>
        <w:numPr>
          <w:ilvl w:val="0"/>
          <w:numId w:val="103"/>
        </w:numPr>
        <w:autoSpaceDE w:val="0"/>
        <w:autoSpaceDN w:val="0"/>
        <w:adjustRightInd w:val="0"/>
        <w:spacing w:after="0" w:line="240" w:lineRule="auto"/>
      </w:pPr>
      <w:r>
        <w:rPr>
          <w:color w:val="000000"/>
        </w:rPr>
        <w:t>A food is consumed that contains a food ingredient at or below the level and for a use found to be safe, or agricultural, chemical, or environmental contaminant at or below the level found to be safe, by the Food and Drug Administration or approved by the Environmental Protection Agency or the Food Safety and Inspection Service of the U.S. Department of Agriculture</w:t>
      </w:r>
    </w:p>
    <w:p w14:paraId="5E47E9BC" w14:textId="77777777" w:rsidR="0077D868" w:rsidRDefault="0077D868" w:rsidP="009F23E1">
      <w:pPr>
        <w:pStyle w:val="Heading2"/>
      </w:pPr>
    </w:p>
    <w:p w14:paraId="07DECBBC" w14:textId="77777777" w:rsidR="00331664" w:rsidRDefault="00331664">
      <w:pPr>
        <w:rPr>
          <w:b/>
          <w:bCs/>
          <w:sz w:val="28"/>
          <w:szCs w:val="28"/>
        </w:rPr>
      </w:pPr>
      <w:r>
        <w:rPr>
          <w:b/>
          <w:bCs/>
          <w:sz w:val="28"/>
          <w:szCs w:val="28"/>
        </w:rPr>
        <w:br w:type="page"/>
      </w:r>
    </w:p>
    <w:p w14:paraId="093A9722" w14:textId="77777777" w:rsidR="009F23E1" w:rsidRPr="009F23E1" w:rsidRDefault="5D0190DD" w:rsidP="00F2286B">
      <w:pPr>
        <w:pStyle w:val="Heading2"/>
      </w:pPr>
      <w:bookmarkStart w:id="250" w:name="_Toc873823926"/>
      <w:bookmarkStart w:id="251" w:name="_Toc212142204"/>
      <w:bookmarkStart w:id="252" w:name="_Toc225507744"/>
      <w:r>
        <w:lastRenderedPageBreak/>
        <w:t>Appendix B-7</w:t>
      </w:r>
      <w:bookmarkEnd w:id="250"/>
      <w:r>
        <w:t xml:space="preserve"> </w:t>
      </w:r>
      <w:bookmarkStart w:id="253" w:name="B7"/>
      <w:r>
        <w:t xml:space="preserve"> </w:t>
      </w:r>
      <w:r>
        <w:tab/>
      </w:r>
      <w:bookmarkEnd w:id="253"/>
      <w:r>
        <w:t>Board Assignment and Reviewer Assignment for Convened Review</w:t>
      </w:r>
      <w:bookmarkEnd w:id="251"/>
      <w:bookmarkEnd w:id="252"/>
    </w:p>
    <w:p w14:paraId="27C4B0CB" w14:textId="77777777" w:rsidR="009F23E1" w:rsidRPr="009F23E1" w:rsidRDefault="009F23E1" w:rsidP="009F23E1">
      <w:pPr>
        <w:spacing w:after="0" w:line="240" w:lineRule="auto"/>
        <w:rPr>
          <w:b/>
          <w:smallCaps/>
        </w:rPr>
      </w:pPr>
    </w:p>
    <w:p w14:paraId="3FBF337D" w14:textId="77777777" w:rsidR="009F23E1" w:rsidRPr="009F23E1" w:rsidRDefault="009F23E1" w:rsidP="00A07209">
      <w:pPr>
        <w:numPr>
          <w:ilvl w:val="0"/>
          <w:numId w:val="107"/>
        </w:numPr>
        <w:tabs>
          <w:tab w:val="num" w:pos="360"/>
        </w:tabs>
        <w:spacing w:after="0" w:line="240" w:lineRule="auto"/>
        <w:ind w:left="360"/>
      </w:pPr>
      <w:r>
        <w:rPr>
          <w:b/>
        </w:rPr>
        <w:t>Overview</w:t>
      </w:r>
    </w:p>
    <w:p w14:paraId="252710CA" w14:textId="77777777" w:rsidR="009F23E1" w:rsidRPr="009F23E1" w:rsidRDefault="009F23E1" w:rsidP="009F23E1">
      <w:pPr>
        <w:spacing w:after="0" w:line="240" w:lineRule="auto"/>
        <w:ind w:left="360"/>
      </w:pPr>
    </w:p>
    <w:p w14:paraId="66BBC8B5" w14:textId="77777777" w:rsidR="009F23E1" w:rsidRPr="009F23E1" w:rsidRDefault="009F23E1" w:rsidP="009F23E1">
      <w:pPr>
        <w:spacing w:after="0" w:line="240" w:lineRule="auto"/>
        <w:ind w:left="360"/>
        <w:rPr>
          <w:rFonts w:eastAsia="Arial Unicode MS"/>
        </w:rPr>
      </w:pPr>
      <w:r>
        <w:t xml:space="preserve">Research involving human subjects that requires institutional review board (IRB) review is reviewed by one of three university IRBs or by an external IRB acting on behalf of Ohio State. A primary reviewer system is used for convened IRB review. </w:t>
      </w:r>
      <w:r>
        <w:rPr>
          <w:rFonts w:eastAsia="Arial Unicode MS"/>
        </w:rPr>
        <w:t>Board assignments and reviewer assignments are made to ensure that proposed research receives appropriate scientific or scholarly review by individuals with the qualifications to determine that the rights and welfare of research participants are protected.</w:t>
      </w:r>
    </w:p>
    <w:p w14:paraId="4D0FB1DA" w14:textId="77777777" w:rsidR="009F23E1" w:rsidRPr="009F23E1" w:rsidRDefault="009F23E1" w:rsidP="009F23E1">
      <w:pPr>
        <w:spacing w:after="0" w:line="240" w:lineRule="auto"/>
        <w:ind w:left="360"/>
        <w:rPr>
          <w:rFonts w:eastAsia="Arial Unicode MS"/>
        </w:rPr>
      </w:pPr>
    </w:p>
    <w:p w14:paraId="6E26D9D3" w14:textId="77777777" w:rsidR="009F23E1" w:rsidRPr="009F23E1" w:rsidRDefault="009F23E1" w:rsidP="009F23E1">
      <w:pPr>
        <w:tabs>
          <w:tab w:val="left" w:pos="360"/>
        </w:tabs>
        <w:spacing w:after="0" w:line="240" w:lineRule="auto"/>
        <w:ind w:left="360"/>
      </w:pPr>
      <w:r>
        <w:rPr>
          <w:rFonts w:eastAsia="Arial Unicode MS"/>
        </w:rPr>
        <w:t>This policy describes the process used to assign each protocol to the appropriate IRB, as well as the process followed for assigning specific reviewers for convened review to each protocol.</w:t>
      </w:r>
    </w:p>
    <w:p w14:paraId="637F677D" w14:textId="77777777" w:rsidR="009F23E1" w:rsidRPr="009F23E1" w:rsidRDefault="009F23E1" w:rsidP="009F23E1">
      <w:pPr>
        <w:spacing w:after="0" w:line="240" w:lineRule="auto"/>
        <w:rPr>
          <w:b/>
          <w:smallCaps/>
        </w:rPr>
      </w:pPr>
    </w:p>
    <w:p w14:paraId="29B21FB9" w14:textId="77777777" w:rsidR="009F23E1" w:rsidRPr="009F23E1" w:rsidRDefault="009F23E1" w:rsidP="00A07209">
      <w:pPr>
        <w:numPr>
          <w:ilvl w:val="0"/>
          <w:numId w:val="107"/>
        </w:numPr>
        <w:tabs>
          <w:tab w:val="num" w:pos="360"/>
        </w:tabs>
        <w:spacing w:after="0" w:line="240" w:lineRule="auto"/>
        <w:ind w:left="360"/>
        <w:rPr>
          <w:b/>
          <w:smallCaps/>
        </w:rPr>
      </w:pPr>
      <w:r>
        <w:rPr>
          <w:b/>
        </w:rPr>
        <w:t>Definitions</w:t>
      </w:r>
    </w:p>
    <w:p w14:paraId="3177B29B" w14:textId="77777777" w:rsidR="009F23E1" w:rsidRPr="009F23E1" w:rsidRDefault="009F23E1" w:rsidP="009F23E1">
      <w:pPr>
        <w:spacing w:after="0" w:line="240" w:lineRule="auto"/>
        <w:ind w:left="360" w:firstLine="90"/>
        <w:rPr>
          <w:b/>
        </w:rPr>
      </w:pPr>
    </w:p>
    <w:p w14:paraId="580BB934" w14:textId="77777777" w:rsidR="009F23E1" w:rsidRPr="009F23E1" w:rsidRDefault="009F23E1" w:rsidP="009F23E1">
      <w:pPr>
        <w:spacing w:after="0" w:line="240" w:lineRule="auto"/>
        <w:ind w:left="360"/>
      </w:pPr>
      <w:r>
        <w:rPr>
          <w:b/>
        </w:rPr>
        <w:t>Convened IRB Review</w:t>
      </w:r>
      <w:r>
        <w:t>: Review of proposed human subjects research by an institutional review board that meets the membership requirements specified in federal regulations regarding the number, qualifications, diversity, and affiliation of its members, at which a majority of the members are present including at least one member whose primary concerns are in nonscientific areas.</w:t>
      </w:r>
    </w:p>
    <w:p w14:paraId="54CCD203" w14:textId="77777777" w:rsidR="009F23E1" w:rsidRPr="009F23E1" w:rsidRDefault="009F23E1" w:rsidP="009F23E1">
      <w:pPr>
        <w:spacing w:after="0" w:line="240" w:lineRule="auto"/>
        <w:rPr>
          <w:u w:val="single"/>
        </w:rPr>
      </w:pPr>
    </w:p>
    <w:p w14:paraId="50A199ED" w14:textId="77777777" w:rsidR="009F23E1" w:rsidRPr="009F23E1" w:rsidRDefault="009F23E1" w:rsidP="00A07209">
      <w:pPr>
        <w:numPr>
          <w:ilvl w:val="0"/>
          <w:numId w:val="107"/>
        </w:numPr>
        <w:tabs>
          <w:tab w:val="num" w:pos="360"/>
        </w:tabs>
        <w:spacing w:after="0" w:line="240" w:lineRule="auto"/>
        <w:ind w:left="360"/>
        <w:rPr>
          <w:b/>
        </w:rPr>
      </w:pPr>
      <w:r>
        <w:rPr>
          <w:b/>
        </w:rPr>
        <w:t>Board Assignment</w:t>
      </w:r>
    </w:p>
    <w:p w14:paraId="629AF4F5" w14:textId="77777777" w:rsidR="009F23E1" w:rsidRPr="009F23E1" w:rsidRDefault="009F23E1" w:rsidP="009F23E1">
      <w:pPr>
        <w:spacing w:after="0" w:line="240" w:lineRule="auto"/>
      </w:pPr>
    </w:p>
    <w:p w14:paraId="6DB44F5D" w14:textId="77777777" w:rsidR="009F23E1" w:rsidRPr="009F23E1" w:rsidRDefault="009F23E1" w:rsidP="009F23E1">
      <w:pPr>
        <w:spacing w:after="0" w:line="240" w:lineRule="auto"/>
        <w:ind w:left="360"/>
      </w:pPr>
      <w:r>
        <w:t>Research proposals are directed to the most appropriate IRB for review based on the type of research proposed and its funding source, as described below. Research requiring IRB review is overseen by one of three university IRBs – Behavioral and Social Sciences IRB, Biomedical Sciences IRB, or Cancer IRB – or by an external IRB acting on behalf of Ohio State (see HRPP policy [</w:t>
      </w:r>
      <w:hyperlink r:id="rId128" w:history="1">
        <w:r>
          <w:rPr>
            <w:color w:val="0000FF"/>
            <w:u w:val="single"/>
          </w:rPr>
          <w:t>Collaborative and Multi-site Research</w:t>
        </w:r>
      </w:hyperlink>
      <w:r>
        <w:t>] for additional information). Final determination of board assignment is made by ORRP staff, who consults with the chair of the selected IRB as needed. Investigators are encouraged to contact ORRP staff with questions regarding appropriate board assignment before preparing submissions.</w:t>
      </w:r>
    </w:p>
    <w:p w14:paraId="3955A65C" w14:textId="77777777" w:rsidR="009F23E1" w:rsidRPr="009F23E1" w:rsidRDefault="009F23E1" w:rsidP="009F23E1">
      <w:pPr>
        <w:spacing w:after="0" w:line="240" w:lineRule="auto"/>
        <w:ind w:left="720"/>
      </w:pPr>
    </w:p>
    <w:p w14:paraId="25DBEFC4" w14:textId="77777777" w:rsidR="009F23E1" w:rsidRPr="009F23E1" w:rsidRDefault="009F23E1" w:rsidP="00A07209">
      <w:pPr>
        <w:numPr>
          <w:ilvl w:val="0"/>
          <w:numId w:val="112"/>
        </w:numPr>
        <w:tabs>
          <w:tab w:val="left" w:pos="720"/>
        </w:tabs>
        <w:spacing w:after="0" w:line="240" w:lineRule="auto"/>
        <w:rPr>
          <w:b/>
        </w:rPr>
      </w:pPr>
      <w:r>
        <w:rPr>
          <w:b/>
        </w:rPr>
        <w:t>University IRBs</w:t>
      </w:r>
    </w:p>
    <w:p w14:paraId="0189EB9A" w14:textId="77777777" w:rsidR="009F23E1" w:rsidRPr="009F23E1" w:rsidRDefault="009F23E1" w:rsidP="009F23E1">
      <w:pPr>
        <w:tabs>
          <w:tab w:val="left" w:pos="720"/>
        </w:tabs>
        <w:spacing w:after="0" w:line="240" w:lineRule="auto"/>
        <w:ind w:left="734" w:hanging="547"/>
        <w:rPr>
          <w:b/>
        </w:rPr>
      </w:pPr>
    </w:p>
    <w:p w14:paraId="23202BAB" w14:textId="77777777" w:rsidR="009F23E1" w:rsidRPr="009F23E1" w:rsidRDefault="009F23E1" w:rsidP="009F23E1">
      <w:pPr>
        <w:tabs>
          <w:tab w:val="left" w:pos="720"/>
        </w:tabs>
        <w:spacing w:after="0" w:line="240" w:lineRule="auto"/>
        <w:ind w:left="720"/>
      </w:pPr>
      <w:r>
        <w:t>The Behavioral and Social Sciences IRB reviews investigator-initiated (funded or unfunded) research that does not involve medical procedures, drugs, or devices, originating from a variety of disciplines including the arts, humanities, business, communication, education, music, nursing, political science, psychology, sociology, and social work. The Behavioral and Social Sciences IRB does not review FDA-regulated research.</w:t>
      </w:r>
    </w:p>
    <w:p w14:paraId="243805DB" w14:textId="77777777" w:rsidR="009F23E1" w:rsidRPr="009F23E1" w:rsidRDefault="009F23E1" w:rsidP="009F23E1">
      <w:pPr>
        <w:tabs>
          <w:tab w:val="left" w:pos="720"/>
        </w:tabs>
        <w:spacing w:after="0" w:line="240" w:lineRule="auto"/>
        <w:ind w:left="720"/>
      </w:pPr>
    </w:p>
    <w:p w14:paraId="14457386" w14:textId="77777777" w:rsidR="009F23E1" w:rsidRPr="009F23E1" w:rsidRDefault="009F23E1" w:rsidP="009F23E1">
      <w:pPr>
        <w:spacing w:after="0" w:line="240" w:lineRule="auto"/>
        <w:ind w:left="720"/>
      </w:pPr>
      <w:r>
        <w:t>The Biomedical Sciences IRB reviews investigator-initiated (funded or unfunded) biomedical research, excluding cancer research. The Biomedical Sciences IRB does not review industry-initiated, industry-sponsored clinical trials (see “</w:t>
      </w:r>
      <w:hyperlink w:anchor="commercial" w:history="1">
        <w:r>
          <w:rPr>
            <w:color w:val="0000FF"/>
            <w:u w:val="single"/>
          </w:rPr>
          <w:t>Commercial and Other External IRBs</w:t>
        </w:r>
      </w:hyperlink>
      <w:r>
        <w:t>” below).</w:t>
      </w:r>
    </w:p>
    <w:p w14:paraId="476D860D" w14:textId="77777777" w:rsidR="009F23E1" w:rsidRPr="009F23E1" w:rsidRDefault="009F23E1" w:rsidP="009F23E1">
      <w:pPr>
        <w:tabs>
          <w:tab w:val="left" w:pos="720"/>
        </w:tabs>
        <w:spacing w:after="0" w:line="240" w:lineRule="auto"/>
        <w:ind w:left="720"/>
      </w:pPr>
    </w:p>
    <w:p w14:paraId="4FBC82EA" w14:textId="77777777" w:rsidR="009F23E1" w:rsidRPr="009F23E1" w:rsidRDefault="009F23E1" w:rsidP="009F23E1">
      <w:pPr>
        <w:tabs>
          <w:tab w:val="left" w:pos="720"/>
        </w:tabs>
        <w:spacing w:after="0" w:line="240" w:lineRule="auto"/>
        <w:ind w:left="720"/>
      </w:pPr>
      <w:r>
        <w:t xml:space="preserve">The Cancer IRB reviews investigator-initiated (funded or unfunded) research involving cancer surveillance, etiology, diagnosis, early detection, prevention, treatment, symptom control and </w:t>
      </w:r>
      <w:r>
        <w:lastRenderedPageBreak/>
        <w:t>survivorship studies, including quantitative, observational and interventional study designs. The Cancer IRB does not review industry-initiated, industry-sponsored cancer clinical trials (see “</w:t>
      </w:r>
      <w:hyperlink w:anchor="commercial" w:history="1">
        <w:r>
          <w:rPr>
            <w:color w:val="0000FF"/>
            <w:u w:val="single"/>
          </w:rPr>
          <w:t>Commercial and Other External IRBs</w:t>
        </w:r>
      </w:hyperlink>
      <w:r>
        <w:t>” below).</w:t>
      </w:r>
    </w:p>
    <w:p w14:paraId="0DF7399B" w14:textId="77777777" w:rsidR="009F23E1" w:rsidRPr="009F23E1" w:rsidRDefault="009F23E1" w:rsidP="009F23E1">
      <w:pPr>
        <w:spacing w:after="0" w:line="240" w:lineRule="auto"/>
        <w:ind w:left="288"/>
      </w:pPr>
    </w:p>
    <w:p w14:paraId="6069A6AE" w14:textId="77777777" w:rsidR="009F23E1" w:rsidRPr="009F23E1" w:rsidRDefault="009F23E1" w:rsidP="00A07209">
      <w:pPr>
        <w:numPr>
          <w:ilvl w:val="0"/>
          <w:numId w:val="112"/>
        </w:numPr>
        <w:spacing w:after="0" w:line="240" w:lineRule="auto"/>
        <w:rPr>
          <w:b/>
        </w:rPr>
      </w:pPr>
      <w:bookmarkStart w:id="254" w:name="commercial"/>
      <w:bookmarkEnd w:id="254"/>
      <w:r>
        <w:rPr>
          <w:b/>
        </w:rPr>
        <w:t>Commercial and Other External IRBs</w:t>
      </w:r>
    </w:p>
    <w:p w14:paraId="502C43F7" w14:textId="77777777" w:rsidR="009F23E1" w:rsidRPr="009F23E1" w:rsidRDefault="009F23E1" w:rsidP="009F23E1">
      <w:pPr>
        <w:spacing w:after="0" w:line="240" w:lineRule="auto"/>
        <w:ind w:left="734" w:hanging="547"/>
        <w:rPr>
          <w:b/>
        </w:rPr>
      </w:pPr>
    </w:p>
    <w:p w14:paraId="4D384401" w14:textId="77777777" w:rsidR="009F23E1" w:rsidRPr="009F23E1" w:rsidRDefault="009F23E1" w:rsidP="009F23E1">
      <w:pPr>
        <w:spacing w:after="60" w:line="240" w:lineRule="auto"/>
        <w:ind w:left="720"/>
      </w:pPr>
      <w:r>
        <w:t xml:space="preserve">A commercial/external IRB may provide review and oversight of research initiated and/or conducted by Ohio State investigators under the following conditions: </w:t>
      </w:r>
    </w:p>
    <w:p w14:paraId="0295BC13" w14:textId="77777777" w:rsidR="009F23E1" w:rsidRPr="009F23E1" w:rsidRDefault="009F23E1" w:rsidP="00A07209">
      <w:pPr>
        <w:numPr>
          <w:ilvl w:val="0"/>
          <w:numId w:val="110"/>
        </w:numPr>
        <w:spacing w:after="60" w:line="240" w:lineRule="auto"/>
      </w:pPr>
      <w:r>
        <w:t xml:space="preserve">The reliance and allocation of responsibilities between Ohio State and the commercial/external IRB is appropriately documented. </w:t>
      </w:r>
    </w:p>
    <w:p w14:paraId="455CD2FC" w14:textId="77777777" w:rsidR="009F23E1" w:rsidRPr="009F23E1" w:rsidRDefault="009F23E1" w:rsidP="00A07209">
      <w:pPr>
        <w:numPr>
          <w:ilvl w:val="0"/>
          <w:numId w:val="110"/>
        </w:numPr>
        <w:spacing w:after="60" w:line="240" w:lineRule="auto"/>
      </w:pPr>
      <w:r>
        <w:t xml:space="preserve">Federally conducted and/or supported research must comply with the Common Rule. </w:t>
      </w:r>
    </w:p>
    <w:p w14:paraId="1516DC3A" w14:textId="77777777" w:rsidR="009F23E1" w:rsidRPr="009F23E1" w:rsidRDefault="009F23E1" w:rsidP="009F23E1">
      <w:pPr>
        <w:spacing w:after="60" w:line="240" w:lineRule="auto"/>
        <w:ind w:left="1440"/>
      </w:pPr>
    </w:p>
    <w:p w14:paraId="290B5CE9" w14:textId="77777777" w:rsidR="009F23E1" w:rsidRPr="009F23E1" w:rsidRDefault="009F23E1" w:rsidP="009F23E1">
      <w:pPr>
        <w:spacing w:after="60" w:line="240" w:lineRule="auto"/>
        <w:ind w:left="720"/>
      </w:pPr>
      <w:r>
        <w:t>Commercial IRBs generally should be used for industry-initiated and/or industry-sponsored clinical trials meeting all of the following conditions:</w:t>
      </w:r>
    </w:p>
    <w:p w14:paraId="33F82732" w14:textId="77777777" w:rsidR="009F23E1" w:rsidRPr="009F23E1" w:rsidRDefault="009F23E1" w:rsidP="00A07209">
      <w:pPr>
        <w:numPr>
          <w:ilvl w:val="0"/>
          <w:numId w:val="110"/>
        </w:numPr>
        <w:spacing w:after="60" w:line="240" w:lineRule="auto"/>
      </w:pPr>
      <w:r>
        <w:t>The only sponsor of the project is a for-profit entity/company.</w:t>
      </w:r>
    </w:p>
    <w:p w14:paraId="520466C1" w14:textId="77777777" w:rsidR="009F23E1" w:rsidRPr="009F23E1" w:rsidRDefault="009F23E1" w:rsidP="00A07209">
      <w:pPr>
        <w:numPr>
          <w:ilvl w:val="0"/>
          <w:numId w:val="110"/>
        </w:numPr>
        <w:spacing w:after="60" w:line="240" w:lineRule="auto"/>
      </w:pPr>
      <w:r>
        <w:t>The project was designed and written by the sponsor.</w:t>
      </w:r>
    </w:p>
    <w:p w14:paraId="0DE6DFCB" w14:textId="77777777" w:rsidR="009F23E1" w:rsidRPr="009F23E1" w:rsidRDefault="009F23E1" w:rsidP="00A07209">
      <w:pPr>
        <w:numPr>
          <w:ilvl w:val="0"/>
          <w:numId w:val="110"/>
        </w:numPr>
        <w:spacing w:after="120" w:line="240" w:lineRule="auto"/>
      </w:pPr>
      <w:r>
        <w:t>The sponsor holds all INDs/IDEs for the project.</w:t>
      </w:r>
    </w:p>
    <w:p w14:paraId="6D2434E0" w14:textId="77777777" w:rsidR="009F23E1" w:rsidRPr="009F23E1" w:rsidRDefault="009F23E1" w:rsidP="009F23E1">
      <w:pPr>
        <w:spacing w:after="0" w:line="240" w:lineRule="auto"/>
        <w:ind w:left="1440"/>
      </w:pPr>
    </w:p>
    <w:p w14:paraId="210D762E" w14:textId="77777777" w:rsidR="009F23E1" w:rsidRPr="009F23E1" w:rsidRDefault="009F23E1" w:rsidP="009F23E1">
      <w:pPr>
        <w:spacing w:after="0" w:line="240" w:lineRule="auto"/>
        <w:ind w:left="720"/>
        <w:rPr>
          <w:rFonts w:eastAsia="Arial Unicode MS"/>
        </w:rPr>
      </w:pPr>
      <w:r>
        <w:t>Submission of Ohio State research to a commercial/external IRB requires pre-screening of the Buck-IRB application by ORRP staff to determine that institutional requirements have been met (e.g., COI disclosure, education, ancillary review completion, etc.) and that the research meets the conditions above before it is forwarded for review.</w:t>
      </w:r>
    </w:p>
    <w:p w14:paraId="1C7B7F7B" w14:textId="77777777" w:rsidR="009F23E1" w:rsidRPr="009F23E1" w:rsidRDefault="009F23E1" w:rsidP="009F23E1">
      <w:pPr>
        <w:spacing w:after="0" w:line="240" w:lineRule="auto"/>
        <w:ind w:left="720"/>
        <w:rPr>
          <w:rFonts w:eastAsia="Arial Unicode MS"/>
        </w:rPr>
      </w:pPr>
    </w:p>
    <w:p w14:paraId="48D65113" w14:textId="77777777" w:rsidR="009F23E1" w:rsidRPr="009F23E1" w:rsidRDefault="009F23E1" w:rsidP="009F23E1">
      <w:pPr>
        <w:spacing w:after="60" w:line="240" w:lineRule="auto"/>
        <w:ind w:left="720"/>
        <w:rPr>
          <w:rFonts w:eastAsia="Arial Unicode MS"/>
        </w:rPr>
      </w:pPr>
      <w:r>
        <w:rPr>
          <w:rFonts w:eastAsia="Arial Unicode MS"/>
        </w:rPr>
        <w:t xml:space="preserve">Research involving any the following, regardless of funding source, should be reviewed by a university IRB except in rare cases when granted an exception by the institutional official and/or the Office of Research Compliance: </w:t>
      </w:r>
    </w:p>
    <w:p w14:paraId="60F11300" w14:textId="77777777" w:rsidR="009F23E1" w:rsidRPr="009F23E1" w:rsidRDefault="009F23E1" w:rsidP="00A07209">
      <w:pPr>
        <w:numPr>
          <w:ilvl w:val="0"/>
          <w:numId w:val="111"/>
        </w:numPr>
        <w:spacing w:after="60" w:line="240" w:lineRule="auto"/>
      </w:pPr>
      <w:r>
        <w:t>Planned emergency research</w:t>
      </w:r>
    </w:p>
    <w:p w14:paraId="1B72E3AF" w14:textId="77777777" w:rsidR="009F23E1" w:rsidRPr="009F23E1" w:rsidRDefault="009F23E1" w:rsidP="00A07209">
      <w:pPr>
        <w:numPr>
          <w:ilvl w:val="0"/>
          <w:numId w:val="111"/>
        </w:numPr>
        <w:spacing w:after="60" w:line="240" w:lineRule="auto"/>
      </w:pPr>
      <w:r>
        <w:t>Xenotransplantation</w:t>
      </w:r>
    </w:p>
    <w:p w14:paraId="21956DA5" w14:textId="77777777" w:rsidR="009F23E1" w:rsidRPr="009F23E1" w:rsidRDefault="009F23E1" w:rsidP="00A07209">
      <w:pPr>
        <w:numPr>
          <w:ilvl w:val="0"/>
          <w:numId w:val="111"/>
        </w:numPr>
        <w:spacing w:after="60" w:line="240" w:lineRule="auto"/>
      </w:pPr>
      <w:r>
        <w:t>Human gene transfer</w:t>
      </w:r>
    </w:p>
    <w:p w14:paraId="7C9C07D6" w14:textId="77777777" w:rsidR="009F23E1" w:rsidRPr="009F23E1" w:rsidRDefault="009F23E1" w:rsidP="00A07209">
      <w:pPr>
        <w:numPr>
          <w:ilvl w:val="0"/>
          <w:numId w:val="111"/>
        </w:numPr>
        <w:spacing w:after="60" w:line="240" w:lineRule="auto"/>
      </w:pPr>
      <w:r>
        <w:t>Embryonic stem cell research</w:t>
      </w:r>
    </w:p>
    <w:p w14:paraId="08E5A617" w14:textId="77777777" w:rsidR="009F23E1" w:rsidRPr="009F23E1" w:rsidRDefault="009F23E1" w:rsidP="009F23E1">
      <w:pPr>
        <w:spacing w:after="0" w:line="240" w:lineRule="auto"/>
      </w:pPr>
    </w:p>
    <w:p w14:paraId="6D2171E1" w14:textId="77777777" w:rsidR="009F23E1" w:rsidRPr="009F23E1" w:rsidRDefault="009F23E1" w:rsidP="00A07209">
      <w:pPr>
        <w:numPr>
          <w:ilvl w:val="0"/>
          <w:numId w:val="113"/>
        </w:numPr>
        <w:spacing w:after="0" w:line="240" w:lineRule="auto"/>
        <w:ind w:hanging="547"/>
        <w:rPr>
          <w:b/>
        </w:rPr>
      </w:pPr>
      <w:r>
        <w:rPr>
          <w:b/>
        </w:rPr>
        <w:t>Nationwide Children’s Hospital IRB</w:t>
      </w:r>
    </w:p>
    <w:p w14:paraId="371AC76A" w14:textId="77777777" w:rsidR="009F23E1" w:rsidRPr="009F23E1" w:rsidRDefault="009F23E1" w:rsidP="009F23E1">
      <w:pPr>
        <w:spacing w:after="0" w:line="240" w:lineRule="auto"/>
        <w:ind w:left="720"/>
      </w:pPr>
    </w:p>
    <w:p w14:paraId="1960FEF5" w14:textId="77777777" w:rsidR="009F23E1" w:rsidRPr="009F23E1" w:rsidRDefault="009F23E1" w:rsidP="009F23E1">
      <w:pPr>
        <w:spacing w:after="0" w:line="240" w:lineRule="auto"/>
        <w:ind w:left="720"/>
      </w:pPr>
      <w:r>
        <w:t>The Ohio State University has an IRB authorization agreement with Nationwide Children’s Hospital (NCH) that permits Ohio State and NCH to collaborate in the review and oversight of human subjects research that would otherwise require review by both organizations. This agreement applies in the following circumstances:</w:t>
      </w:r>
    </w:p>
    <w:p w14:paraId="3921C17D" w14:textId="77777777" w:rsidR="009F23E1" w:rsidRPr="009F23E1" w:rsidRDefault="009F23E1" w:rsidP="00A07209">
      <w:pPr>
        <w:numPr>
          <w:ilvl w:val="0"/>
          <w:numId w:val="115"/>
        </w:numPr>
        <w:spacing w:after="0" w:line="240" w:lineRule="auto"/>
      </w:pPr>
      <w:r>
        <w:t>An Ohio State investigator performs or is engaged in a study at NCH.</w:t>
      </w:r>
    </w:p>
    <w:p w14:paraId="5F08B2FF" w14:textId="77777777" w:rsidR="009F23E1" w:rsidRPr="009F23E1" w:rsidRDefault="009F23E1" w:rsidP="00A07209">
      <w:pPr>
        <w:numPr>
          <w:ilvl w:val="0"/>
          <w:numId w:val="115"/>
        </w:numPr>
        <w:spacing w:after="0" w:line="240" w:lineRule="auto"/>
      </w:pPr>
      <w:r>
        <w:t>An NCH investigator performs or is engaged in a study at Ohio State.</w:t>
      </w:r>
    </w:p>
    <w:p w14:paraId="6BC7D1A0" w14:textId="77777777" w:rsidR="009F23E1" w:rsidRPr="009F23E1" w:rsidRDefault="009F23E1" w:rsidP="00A07209">
      <w:pPr>
        <w:numPr>
          <w:ilvl w:val="0"/>
          <w:numId w:val="115"/>
        </w:numPr>
        <w:spacing w:after="0" w:line="240" w:lineRule="auto"/>
      </w:pPr>
      <w:r>
        <w:t>An Ohio State or NCH investigator performs research engaging both locations.</w:t>
      </w:r>
    </w:p>
    <w:p w14:paraId="6BC1E407" w14:textId="77777777" w:rsidR="009F23E1" w:rsidRPr="009F23E1" w:rsidRDefault="009F23E1" w:rsidP="009F23E1">
      <w:pPr>
        <w:spacing w:after="0" w:line="240" w:lineRule="auto"/>
        <w:ind w:left="1440"/>
      </w:pPr>
    </w:p>
    <w:p w14:paraId="0855D8F5" w14:textId="77777777" w:rsidR="009F23E1" w:rsidRPr="009F23E1" w:rsidRDefault="009F23E1" w:rsidP="009F23E1">
      <w:pPr>
        <w:spacing w:after="60" w:line="240" w:lineRule="auto"/>
        <w:ind w:left="720"/>
        <w:rPr>
          <w:rFonts w:eastAsia="Arial Unicode MS"/>
        </w:rPr>
      </w:pPr>
      <w:r>
        <w:rPr>
          <w:rFonts w:eastAsia="Arial Unicode MS"/>
        </w:rPr>
        <w:t>Requests to rely on the NCH IRB requires pre-screening of an application in Buck-IRB to determine that Ohio State requirements have been met (e.g., COI disclosure, education, etc.) and that the research meets the conditions of the executed authorization agreement.</w:t>
      </w:r>
    </w:p>
    <w:p w14:paraId="6070DE95" w14:textId="77777777" w:rsidR="009F23E1" w:rsidRPr="009F23E1" w:rsidRDefault="009F23E1" w:rsidP="009F23E1">
      <w:pPr>
        <w:spacing w:after="60" w:line="240" w:lineRule="auto"/>
        <w:ind w:left="720"/>
        <w:rPr>
          <w:rFonts w:eastAsia="Arial Unicode MS"/>
        </w:rPr>
      </w:pPr>
    </w:p>
    <w:p w14:paraId="6517E114" w14:textId="77777777" w:rsidR="009F23E1" w:rsidRPr="009F23E1" w:rsidRDefault="009F23E1" w:rsidP="009F23E1">
      <w:pPr>
        <w:spacing w:after="60" w:line="240" w:lineRule="auto"/>
        <w:ind w:left="720"/>
        <w:rPr>
          <w:rFonts w:eastAsia="Arial Unicode MS"/>
        </w:rPr>
      </w:pPr>
      <w:r>
        <w:rPr>
          <w:rFonts w:eastAsia="Arial Unicode MS"/>
        </w:rPr>
        <w:t xml:space="preserve">Research involving any the following must be reviewed by an Ohio State IRB except in rare circumstances determined on a case-by-case basis in consultation with the institutional official and/or Office of Research Compliance: </w:t>
      </w:r>
    </w:p>
    <w:p w14:paraId="6022AC22" w14:textId="77777777" w:rsidR="009F23E1" w:rsidRPr="009F23E1" w:rsidRDefault="009F23E1" w:rsidP="00A07209">
      <w:pPr>
        <w:numPr>
          <w:ilvl w:val="0"/>
          <w:numId w:val="111"/>
        </w:numPr>
        <w:spacing w:after="60" w:line="240" w:lineRule="auto"/>
      </w:pPr>
      <w:r>
        <w:t>Planned emergency research</w:t>
      </w:r>
    </w:p>
    <w:p w14:paraId="2D327576" w14:textId="77777777" w:rsidR="009F23E1" w:rsidRPr="009F23E1" w:rsidRDefault="009F23E1" w:rsidP="00A07209">
      <w:pPr>
        <w:numPr>
          <w:ilvl w:val="0"/>
          <w:numId w:val="111"/>
        </w:numPr>
        <w:spacing w:after="60" w:line="240" w:lineRule="auto"/>
      </w:pPr>
      <w:r>
        <w:t>Xenotransplantation</w:t>
      </w:r>
    </w:p>
    <w:p w14:paraId="03D0F2EF" w14:textId="77777777" w:rsidR="009F23E1" w:rsidRPr="009F23E1" w:rsidRDefault="009F23E1" w:rsidP="00A07209">
      <w:pPr>
        <w:numPr>
          <w:ilvl w:val="0"/>
          <w:numId w:val="111"/>
        </w:numPr>
        <w:spacing w:after="60" w:line="240" w:lineRule="auto"/>
      </w:pPr>
      <w:r>
        <w:t>Human gene transfer</w:t>
      </w:r>
    </w:p>
    <w:p w14:paraId="02045DBF" w14:textId="77777777" w:rsidR="009F23E1" w:rsidRPr="009F23E1" w:rsidRDefault="009F23E1" w:rsidP="00A07209">
      <w:pPr>
        <w:numPr>
          <w:ilvl w:val="0"/>
          <w:numId w:val="111"/>
        </w:numPr>
        <w:spacing w:after="60" w:line="240" w:lineRule="auto"/>
      </w:pPr>
      <w:r>
        <w:t>Embryonic stem cell research</w:t>
      </w:r>
    </w:p>
    <w:p w14:paraId="7C8D0E39" w14:textId="77777777" w:rsidR="009F23E1" w:rsidRPr="009F23E1" w:rsidRDefault="009F23E1" w:rsidP="009F23E1">
      <w:pPr>
        <w:spacing w:after="0" w:line="240" w:lineRule="auto"/>
      </w:pPr>
    </w:p>
    <w:p w14:paraId="4A67967F" w14:textId="77777777" w:rsidR="009F23E1" w:rsidRPr="009F23E1" w:rsidRDefault="009F23E1" w:rsidP="00A07209">
      <w:pPr>
        <w:numPr>
          <w:ilvl w:val="0"/>
          <w:numId w:val="113"/>
        </w:numPr>
        <w:spacing w:after="0" w:line="240" w:lineRule="auto"/>
        <w:rPr>
          <w:b/>
        </w:rPr>
      </w:pPr>
      <w:r>
        <w:rPr>
          <w:b/>
        </w:rPr>
        <w:t>National Cancer Institute Central IRB (NCI CIRB)</w:t>
      </w:r>
    </w:p>
    <w:p w14:paraId="03056560" w14:textId="77777777" w:rsidR="009F23E1" w:rsidRPr="009F23E1" w:rsidRDefault="009F23E1" w:rsidP="009F23E1">
      <w:pPr>
        <w:spacing w:after="0" w:line="240" w:lineRule="auto"/>
        <w:ind w:left="720"/>
      </w:pPr>
    </w:p>
    <w:p w14:paraId="010EC22F" w14:textId="77777777" w:rsidR="009F23E1" w:rsidRPr="009F23E1" w:rsidRDefault="009F23E1" w:rsidP="009F23E1">
      <w:pPr>
        <w:spacing w:after="0" w:line="240" w:lineRule="auto"/>
        <w:ind w:left="720"/>
      </w:pPr>
      <w:r>
        <w:t xml:space="preserve">Select NCI-sponsored clinical trials are reviewed externally by the NCI CIRB. The NCI CIRB determines which studies will be reviewed by the CIRB and makes this list available to investigators on the CIRB website. </w:t>
      </w:r>
    </w:p>
    <w:p w14:paraId="2E3C424B" w14:textId="77777777" w:rsidR="009F23E1" w:rsidRPr="009F23E1" w:rsidRDefault="009F23E1" w:rsidP="009F23E1">
      <w:pPr>
        <w:spacing w:after="0" w:line="240" w:lineRule="auto"/>
        <w:ind w:left="720"/>
      </w:pPr>
    </w:p>
    <w:p w14:paraId="58C81114" w14:textId="77777777" w:rsidR="009F23E1" w:rsidRPr="009F23E1" w:rsidRDefault="009F23E1" w:rsidP="009F23E1">
      <w:pPr>
        <w:spacing w:after="0" w:line="240" w:lineRule="auto"/>
        <w:ind w:left="720"/>
      </w:pPr>
      <w:r>
        <w:t xml:space="preserve">Submission of research to NCI CIRB requires pre-screening of the application by ORRP staff to determine that institutional requirements have been met (e.g., COI disclosure, education, etc.). Additionally, Ohio State serves as the privacy board for NCI CIRB studies and performs review of all HIPAA authorization waiver requests made by the investigator prior to submission to NCI CIRB. </w:t>
      </w:r>
    </w:p>
    <w:p w14:paraId="0E441129" w14:textId="77777777" w:rsidR="009F23E1" w:rsidRPr="009F23E1" w:rsidRDefault="009F23E1" w:rsidP="009F23E1">
      <w:pPr>
        <w:spacing w:after="0" w:line="240" w:lineRule="auto"/>
      </w:pPr>
    </w:p>
    <w:p w14:paraId="64530871" w14:textId="77777777" w:rsidR="009F23E1" w:rsidRPr="009F23E1" w:rsidRDefault="009F23E1" w:rsidP="00A07209">
      <w:pPr>
        <w:numPr>
          <w:ilvl w:val="0"/>
          <w:numId w:val="106"/>
        </w:numPr>
        <w:tabs>
          <w:tab w:val="left" w:pos="0"/>
          <w:tab w:val="num" w:pos="360"/>
          <w:tab w:val="left" w:pos="1260"/>
        </w:tabs>
        <w:spacing w:after="0" w:line="240" w:lineRule="auto"/>
        <w:ind w:left="360"/>
        <w:rPr>
          <w:b/>
        </w:rPr>
      </w:pPr>
      <w:r>
        <w:rPr>
          <w:b/>
        </w:rPr>
        <w:t>Reviewer Selection</w:t>
      </w:r>
    </w:p>
    <w:p w14:paraId="6077B9E1" w14:textId="77777777" w:rsidR="009F23E1" w:rsidRPr="009F23E1" w:rsidRDefault="009F23E1" w:rsidP="009F23E1">
      <w:pPr>
        <w:spacing w:after="0" w:line="240" w:lineRule="auto"/>
      </w:pPr>
    </w:p>
    <w:p w14:paraId="6C22DCFA" w14:textId="77777777" w:rsidR="009F23E1" w:rsidRPr="009F23E1" w:rsidRDefault="009F23E1" w:rsidP="009F23E1">
      <w:pPr>
        <w:tabs>
          <w:tab w:val="left" w:pos="360"/>
        </w:tabs>
        <w:spacing w:after="0" w:line="240" w:lineRule="auto"/>
        <w:ind w:left="360"/>
      </w:pPr>
      <w:r>
        <w:t>Research requiring convened Ohio State IRB review is assigned to primary and secondary reviewers based on conditions described below. Reviewer selection for review of research using expedited procedures is performed as described in HRPP policy [</w:t>
      </w:r>
      <w:hyperlink r:id="rId129" w:history="1">
        <w:r>
          <w:rPr>
            <w:color w:val="0000FF"/>
            <w:u w:val="single"/>
          </w:rPr>
          <w:t>Expedited and Administrative Review Procedures</w:t>
        </w:r>
      </w:hyperlink>
      <w:r>
        <w:t xml:space="preserve">]. </w:t>
      </w:r>
    </w:p>
    <w:p w14:paraId="108466C6" w14:textId="77777777" w:rsidR="009F23E1" w:rsidRPr="009F23E1" w:rsidRDefault="009F23E1" w:rsidP="009F23E1">
      <w:pPr>
        <w:tabs>
          <w:tab w:val="left" w:pos="360"/>
        </w:tabs>
        <w:spacing w:after="0" w:line="240" w:lineRule="auto"/>
      </w:pPr>
    </w:p>
    <w:p w14:paraId="42676876" w14:textId="77777777" w:rsidR="009F23E1" w:rsidRPr="009F23E1" w:rsidRDefault="009F23E1" w:rsidP="00A07209">
      <w:pPr>
        <w:numPr>
          <w:ilvl w:val="0"/>
          <w:numId w:val="114"/>
        </w:numPr>
        <w:tabs>
          <w:tab w:val="left" w:pos="720"/>
        </w:tabs>
        <w:spacing w:after="0" w:line="240" w:lineRule="auto"/>
        <w:rPr>
          <w:b/>
        </w:rPr>
      </w:pPr>
      <w:r>
        <w:rPr>
          <w:b/>
        </w:rPr>
        <w:t>Number of Reviewers</w:t>
      </w:r>
    </w:p>
    <w:p w14:paraId="141F48FE" w14:textId="77777777" w:rsidR="009F23E1" w:rsidRPr="009F23E1" w:rsidRDefault="009F23E1" w:rsidP="009F23E1">
      <w:pPr>
        <w:tabs>
          <w:tab w:val="left" w:pos="720"/>
        </w:tabs>
        <w:spacing w:after="0" w:line="240" w:lineRule="auto"/>
        <w:ind w:left="734" w:hanging="547"/>
        <w:rPr>
          <w:b/>
        </w:rPr>
      </w:pPr>
    </w:p>
    <w:p w14:paraId="0F3FEEC0" w14:textId="77777777" w:rsidR="009F23E1" w:rsidRPr="009F23E1" w:rsidRDefault="009F23E1" w:rsidP="009F23E1">
      <w:pPr>
        <w:tabs>
          <w:tab w:val="left" w:pos="720"/>
        </w:tabs>
        <w:spacing w:after="0" w:line="240" w:lineRule="auto"/>
        <w:ind w:left="720"/>
      </w:pPr>
      <w:r>
        <w:t xml:space="preserve">ORRP staff assign one primary and one secondary reviewer for all submissions scheduled for convened review, including initial, continuing review, amendment, and event report submissions. ORRP staff may add reviewers for additional expertise, as necessary. </w:t>
      </w:r>
    </w:p>
    <w:p w14:paraId="22B6F140" w14:textId="77777777" w:rsidR="009F23E1" w:rsidRPr="009F23E1" w:rsidRDefault="009F23E1" w:rsidP="009F23E1">
      <w:pPr>
        <w:tabs>
          <w:tab w:val="left" w:pos="720"/>
        </w:tabs>
        <w:spacing w:after="0" w:line="240" w:lineRule="auto"/>
        <w:ind w:left="720"/>
      </w:pPr>
    </w:p>
    <w:p w14:paraId="5F51F240" w14:textId="77777777" w:rsidR="009F23E1" w:rsidRPr="009F23E1" w:rsidRDefault="009F23E1" w:rsidP="009F23E1">
      <w:pPr>
        <w:tabs>
          <w:tab w:val="left" w:pos="720"/>
        </w:tabs>
        <w:spacing w:after="0" w:line="240" w:lineRule="auto"/>
        <w:ind w:left="720"/>
      </w:pPr>
      <w:r>
        <w:t>Both the primary and secondary reviewer(s) are expected to perform an in-depth review of the research. The primary reviewer leads the IRB’s discussion of the protocol, providing a summary of the research and potential concerns, if any. The secondary reviewer(s) provides additional comments or information before full Board discussion. Materials that are distributed to assigned reviewers and all other IRB members are listed in HRPP policy [</w:t>
      </w:r>
      <w:hyperlink r:id="rId130" w:history="1">
        <w:r>
          <w:rPr>
            <w:color w:val="0000FF"/>
            <w:u w:val="single"/>
          </w:rPr>
          <w:t>Review of Research by the Convened IRB</w:t>
        </w:r>
      </w:hyperlink>
      <w:r>
        <w:t>].</w:t>
      </w:r>
    </w:p>
    <w:p w14:paraId="65C75E75" w14:textId="77777777" w:rsidR="009F23E1" w:rsidRPr="009F23E1" w:rsidRDefault="009F23E1" w:rsidP="009F23E1">
      <w:pPr>
        <w:tabs>
          <w:tab w:val="left" w:pos="720"/>
        </w:tabs>
        <w:spacing w:after="0" w:line="240" w:lineRule="auto"/>
        <w:ind w:left="720"/>
      </w:pPr>
    </w:p>
    <w:p w14:paraId="2C7FAD36" w14:textId="77777777" w:rsidR="009F23E1" w:rsidRPr="009F23E1" w:rsidRDefault="009F23E1" w:rsidP="00A07209">
      <w:pPr>
        <w:numPr>
          <w:ilvl w:val="0"/>
          <w:numId w:val="114"/>
        </w:numPr>
        <w:tabs>
          <w:tab w:val="left" w:pos="720"/>
        </w:tabs>
        <w:spacing w:after="0" w:line="240" w:lineRule="auto"/>
        <w:rPr>
          <w:b/>
        </w:rPr>
      </w:pPr>
      <w:r>
        <w:rPr>
          <w:b/>
        </w:rPr>
        <w:t>Reviewer Expertise</w:t>
      </w:r>
    </w:p>
    <w:p w14:paraId="3924AA03" w14:textId="77777777" w:rsidR="009F23E1" w:rsidRPr="009F23E1" w:rsidRDefault="009F23E1" w:rsidP="009F23E1">
      <w:pPr>
        <w:tabs>
          <w:tab w:val="left" w:pos="720"/>
        </w:tabs>
        <w:spacing w:after="0" w:line="240" w:lineRule="auto"/>
        <w:ind w:left="734" w:hanging="547"/>
      </w:pPr>
    </w:p>
    <w:p w14:paraId="4E9B142C" w14:textId="77777777" w:rsidR="009F23E1" w:rsidRPr="009F23E1" w:rsidRDefault="009F23E1" w:rsidP="00A07209">
      <w:pPr>
        <w:numPr>
          <w:ilvl w:val="2"/>
          <w:numId w:val="109"/>
        </w:numPr>
        <w:tabs>
          <w:tab w:val="num" w:pos="1080"/>
        </w:tabs>
        <w:spacing w:after="0" w:line="240" w:lineRule="auto"/>
      </w:pPr>
      <w:r>
        <w:t>The ORRP staff member supporting the designated IRB pre-reviews the protocol submission to determine the expertise required to provide scientific or scholarly review of the research. (For more information on the pre-review process, see HRPP policy [</w:t>
      </w:r>
      <w:hyperlink r:id="rId131" w:history="1">
        <w:r>
          <w:rPr>
            <w:color w:val="0000FF"/>
            <w:u w:val="single"/>
          </w:rPr>
          <w:t>Submission and Pre-</w:t>
        </w:r>
        <w:r>
          <w:rPr>
            <w:color w:val="0000FF"/>
            <w:u w:val="single"/>
          </w:rPr>
          <w:lastRenderedPageBreak/>
          <w:t>Review</w:t>
        </w:r>
      </w:hyperlink>
      <w:r>
        <w:t xml:space="preserve">]). Primary and secondary reviewer(s) are selected using the IRB roster and/or IRB members’ CVs (see below). </w:t>
      </w:r>
    </w:p>
    <w:p w14:paraId="2E61C915" w14:textId="77777777" w:rsidR="009F23E1" w:rsidRPr="009F23E1" w:rsidRDefault="009F23E1" w:rsidP="009F23E1">
      <w:pPr>
        <w:spacing w:after="0" w:line="240" w:lineRule="auto"/>
        <w:ind w:left="720"/>
      </w:pPr>
    </w:p>
    <w:p w14:paraId="786BF016" w14:textId="77777777" w:rsidR="009F23E1" w:rsidRPr="009F23E1" w:rsidRDefault="009F23E1" w:rsidP="00A07209">
      <w:pPr>
        <w:numPr>
          <w:ilvl w:val="2"/>
          <w:numId w:val="109"/>
        </w:numPr>
        <w:tabs>
          <w:tab w:val="num" w:pos="1080"/>
        </w:tabs>
        <w:spacing w:after="60" w:line="240" w:lineRule="auto"/>
      </w:pPr>
      <w:r>
        <w:t>When making reviewer assignments, the ORRP staff member considers the following:</w:t>
      </w:r>
    </w:p>
    <w:p w14:paraId="5FE66471" w14:textId="77777777" w:rsidR="009F23E1" w:rsidRPr="009F23E1" w:rsidRDefault="009F23E1" w:rsidP="00A07209">
      <w:pPr>
        <w:numPr>
          <w:ilvl w:val="0"/>
          <w:numId w:val="108"/>
        </w:numPr>
        <w:tabs>
          <w:tab w:val="num" w:pos="1800"/>
        </w:tabs>
        <w:spacing w:after="60" w:line="240" w:lineRule="auto"/>
        <w:ind w:left="1800"/>
      </w:pPr>
      <w:r>
        <w:t>Reviewer’s scientific and/or scholarly expertise</w:t>
      </w:r>
    </w:p>
    <w:p w14:paraId="24A824FC" w14:textId="77777777" w:rsidR="009F23E1" w:rsidRPr="009F23E1" w:rsidRDefault="009F23E1" w:rsidP="00A07209">
      <w:pPr>
        <w:numPr>
          <w:ilvl w:val="0"/>
          <w:numId w:val="108"/>
        </w:numPr>
        <w:tabs>
          <w:tab w:val="num" w:pos="1800"/>
        </w:tabs>
        <w:spacing w:after="60" w:line="240" w:lineRule="auto"/>
        <w:ind w:left="1800"/>
      </w:pPr>
      <w:r>
        <w:t>Reviewer experience</w:t>
      </w:r>
    </w:p>
    <w:p w14:paraId="619F9A88" w14:textId="77777777" w:rsidR="009F23E1" w:rsidRPr="009F23E1" w:rsidRDefault="009F23E1" w:rsidP="00A07209">
      <w:pPr>
        <w:numPr>
          <w:ilvl w:val="0"/>
          <w:numId w:val="108"/>
        </w:numPr>
        <w:tabs>
          <w:tab w:val="num" w:pos="1800"/>
        </w:tabs>
        <w:spacing w:after="60" w:line="240" w:lineRule="auto"/>
        <w:ind w:left="1800"/>
      </w:pPr>
      <w:r>
        <w:t>Reviewer’s status as scientist or nonscientist</w:t>
      </w:r>
    </w:p>
    <w:p w14:paraId="42F83C15" w14:textId="77777777" w:rsidR="009F23E1" w:rsidRPr="009F23E1" w:rsidRDefault="009F23E1" w:rsidP="00A07209">
      <w:pPr>
        <w:numPr>
          <w:ilvl w:val="0"/>
          <w:numId w:val="108"/>
        </w:numPr>
        <w:tabs>
          <w:tab w:val="num" w:pos="1800"/>
        </w:tabs>
        <w:spacing w:after="60" w:line="240" w:lineRule="auto"/>
        <w:ind w:left="1800"/>
      </w:pPr>
      <w:r>
        <w:t>Reviewer workload</w:t>
      </w:r>
    </w:p>
    <w:p w14:paraId="4825C1F4" w14:textId="77777777" w:rsidR="009F23E1" w:rsidRPr="009F23E1" w:rsidRDefault="009F23E1" w:rsidP="00A07209">
      <w:pPr>
        <w:numPr>
          <w:ilvl w:val="0"/>
          <w:numId w:val="108"/>
        </w:numPr>
        <w:tabs>
          <w:tab w:val="num" w:pos="1800"/>
        </w:tabs>
        <w:spacing w:after="60" w:line="240" w:lineRule="auto"/>
        <w:ind w:left="1800"/>
      </w:pPr>
      <w:r>
        <w:t>Potential conflicts of interest (as defined in HRPP policy [</w:t>
      </w:r>
      <w:hyperlink r:id="rId132" w:history="1">
        <w:r>
          <w:rPr>
            <w:color w:val="0000FF"/>
            <w:u w:val="single"/>
          </w:rPr>
          <w:t>IRB Member and Consultant Conflict of Interest</w:t>
        </w:r>
      </w:hyperlink>
      <w:r>
        <w:t>])</w:t>
      </w:r>
    </w:p>
    <w:p w14:paraId="6B8E7CB0" w14:textId="77777777" w:rsidR="009F23E1" w:rsidRPr="009F23E1" w:rsidRDefault="009F23E1" w:rsidP="00A07209">
      <w:pPr>
        <w:numPr>
          <w:ilvl w:val="0"/>
          <w:numId w:val="108"/>
        </w:numPr>
        <w:tabs>
          <w:tab w:val="num" w:pos="1800"/>
        </w:tabs>
        <w:spacing w:after="120" w:line="240" w:lineRule="auto"/>
        <w:ind w:left="1800"/>
      </w:pPr>
      <w:r>
        <w:t>The need for special representation (e.g., vulnerable populations)</w:t>
      </w:r>
    </w:p>
    <w:p w14:paraId="54525DFA" w14:textId="77777777" w:rsidR="009F23E1" w:rsidRPr="009F23E1" w:rsidRDefault="009F23E1" w:rsidP="009F23E1">
      <w:pPr>
        <w:spacing w:after="0" w:line="240" w:lineRule="auto"/>
        <w:ind w:left="1080"/>
      </w:pPr>
      <w:r>
        <w:t>ORRP staff consult with the IRB chair as necessary when making reviewer assignments. The chair may reassign the review of research as he/she determines to be appropriate.</w:t>
      </w:r>
    </w:p>
    <w:p w14:paraId="76EC2B57" w14:textId="77777777" w:rsidR="009F23E1" w:rsidRPr="009F23E1" w:rsidRDefault="009F23E1" w:rsidP="009F23E1">
      <w:pPr>
        <w:spacing w:after="0" w:line="240" w:lineRule="auto"/>
      </w:pPr>
    </w:p>
    <w:p w14:paraId="5D479B8B" w14:textId="77777777" w:rsidR="009F23E1" w:rsidRPr="009F23E1" w:rsidRDefault="009F23E1" w:rsidP="00A07209">
      <w:pPr>
        <w:numPr>
          <w:ilvl w:val="2"/>
          <w:numId w:val="109"/>
        </w:numPr>
        <w:tabs>
          <w:tab w:val="num" w:pos="1080"/>
        </w:tabs>
        <w:spacing w:after="0" w:line="240" w:lineRule="auto"/>
      </w:pPr>
      <w:r>
        <w:t>Only IRB members designated as scientists may serve as primary reviewers. Non-scientists may serve as secondary reviewers.</w:t>
      </w:r>
    </w:p>
    <w:p w14:paraId="1F2715EA" w14:textId="77777777" w:rsidR="009F23E1" w:rsidRPr="009F23E1" w:rsidRDefault="009F23E1" w:rsidP="009F23E1">
      <w:pPr>
        <w:spacing w:after="0" w:line="240" w:lineRule="auto"/>
        <w:ind w:left="720"/>
      </w:pPr>
    </w:p>
    <w:p w14:paraId="3980737F" w14:textId="77777777" w:rsidR="009F23E1" w:rsidRPr="009F23E1" w:rsidRDefault="009F23E1" w:rsidP="00A07209">
      <w:pPr>
        <w:numPr>
          <w:ilvl w:val="2"/>
          <w:numId w:val="109"/>
        </w:numPr>
        <w:tabs>
          <w:tab w:val="num" w:pos="1080"/>
        </w:tabs>
        <w:spacing w:after="0" w:line="240" w:lineRule="auto"/>
      </w:pPr>
      <w:r>
        <w:t>When the research involves a vulnerable category of participants (e.g., children), a reviewer knowledgeable about and experienced in working with these participants will be selected.</w:t>
      </w:r>
    </w:p>
    <w:p w14:paraId="0FDB9F8A" w14:textId="77777777" w:rsidR="009F23E1" w:rsidRPr="009F23E1" w:rsidRDefault="009F23E1" w:rsidP="009F23E1">
      <w:pPr>
        <w:spacing w:after="0" w:line="240" w:lineRule="auto"/>
        <w:ind w:left="720"/>
      </w:pPr>
    </w:p>
    <w:p w14:paraId="778420C9" w14:textId="77777777" w:rsidR="009F23E1" w:rsidRPr="009F23E1" w:rsidRDefault="009F23E1" w:rsidP="00A07209">
      <w:pPr>
        <w:numPr>
          <w:ilvl w:val="2"/>
          <w:numId w:val="109"/>
        </w:numPr>
        <w:tabs>
          <w:tab w:val="num" w:pos="1080"/>
        </w:tabs>
        <w:spacing w:after="0" w:line="240" w:lineRule="auto"/>
      </w:pPr>
      <w:r>
        <w:t>Board members with the expertise necessary to review proposed research from the same department/division/unit as the investigator(s) may be designated as primary or secondary reviewers; however, two reviewers from the same unit will not be assigned to the same review. IRB members will not review research in which they have a conflict of interest, according to HRPP policy [</w:t>
      </w:r>
      <w:hyperlink r:id="rId133" w:history="1">
        <w:r>
          <w:rPr>
            <w:color w:val="0000FF"/>
            <w:u w:val="single"/>
          </w:rPr>
          <w:t>IRB Member and Consultant Conflict of Interest</w:t>
        </w:r>
      </w:hyperlink>
      <w:r>
        <w:t>].</w:t>
      </w:r>
    </w:p>
    <w:p w14:paraId="22EAACF1" w14:textId="77777777" w:rsidR="009F23E1" w:rsidRPr="009F23E1" w:rsidRDefault="009F23E1" w:rsidP="009F23E1">
      <w:pPr>
        <w:spacing w:after="0" w:line="240" w:lineRule="auto"/>
        <w:ind w:left="720"/>
      </w:pPr>
    </w:p>
    <w:p w14:paraId="1FF95F03" w14:textId="77777777" w:rsidR="009F23E1" w:rsidRPr="009F23E1" w:rsidRDefault="009F23E1" w:rsidP="00A07209">
      <w:pPr>
        <w:numPr>
          <w:ilvl w:val="2"/>
          <w:numId w:val="109"/>
        </w:numPr>
        <w:tabs>
          <w:tab w:val="num" w:pos="1080"/>
        </w:tabs>
        <w:spacing w:after="0" w:line="240" w:lineRule="auto"/>
      </w:pPr>
      <w:r>
        <w:t>If the ORRP staff member, in consultation with the associate director(s) for IRB operations and/or chair, believes that the IRB membership lacks sufficient expertise or experience to provide adequate review of the research or if the IRB member with the appropriate expertise/experience has a conflict of interest, the associate director(s) for IRB operations will be responsible for obtaining a consultant.</w:t>
      </w:r>
    </w:p>
    <w:p w14:paraId="3CBEB82D" w14:textId="77777777" w:rsidR="009F23E1" w:rsidRPr="009F23E1" w:rsidRDefault="009F23E1" w:rsidP="009F23E1">
      <w:pPr>
        <w:spacing w:after="0" w:line="240" w:lineRule="auto"/>
      </w:pPr>
    </w:p>
    <w:p w14:paraId="7BAC7820" w14:textId="77777777" w:rsidR="009F23E1" w:rsidRPr="009F23E1" w:rsidRDefault="009F23E1" w:rsidP="00A07209">
      <w:pPr>
        <w:numPr>
          <w:ilvl w:val="0"/>
          <w:numId w:val="106"/>
        </w:numPr>
        <w:tabs>
          <w:tab w:val="num" w:pos="360"/>
        </w:tabs>
        <w:spacing w:after="0" w:line="240" w:lineRule="auto"/>
        <w:ind w:left="360"/>
      </w:pPr>
      <w:r>
        <w:rPr>
          <w:b/>
        </w:rPr>
        <w:t>Distribution of Materials</w:t>
      </w:r>
    </w:p>
    <w:p w14:paraId="22896567" w14:textId="77777777" w:rsidR="009F23E1" w:rsidRPr="009F23E1" w:rsidRDefault="009F23E1" w:rsidP="009F23E1">
      <w:pPr>
        <w:spacing w:after="0" w:line="240" w:lineRule="auto"/>
      </w:pPr>
    </w:p>
    <w:p w14:paraId="0C03EAFA" w14:textId="77777777" w:rsidR="009F23E1" w:rsidRPr="009F23E1" w:rsidRDefault="009F23E1" w:rsidP="009F23E1">
      <w:pPr>
        <w:spacing w:after="0" w:line="240" w:lineRule="auto"/>
        <w:ind w:left="360"/>
      </w:pPr>
      <w:r>
        <w:t>ORRP staff prepare and distribute IRB materials to the assigned reviewer(s) and IRB members seven to 10 days before convened meetings as described by HRPP policy [</w:t>
      </w:r>
      <w:hyperlink r:id="rId134" w:history="1">
        <w:r>
          <w:rPr>
            <w:color w:val="0000FF"/>
            <w:u w:val="single"/>
          </w:rPr>
          <w:t>Review of Research by the Convened IRB</w:t>
        </w:r>
      </w:hyperlink>
      <w:r>
        <w:t>]. In extenuating circumstances (e.g., IRB approval would lapse without review), when sufficient space exists on a meeting agenda for a late submission, every effort will be made to select reviewer(s) who can perform an in-depth review of the research and to forward materials to reviewer(s) and IRB members past this deadline.</w:t>
      </w:r>
    </w:p>
    <w:p w14:paraId="0D5A2209" w14:textId="77777777" w:rsidR="009F23E1" w:rsidRPr="009F23E1" w:rsidRDefault="009F23E1" w:rsidP="009F23E1">
      <w:pPr>
        <w:spacing w:after="0" w:line="240" w:lineRule="auto"/>
        <w:ind w:left="360"/>
      </w:pPr>
    </w:p>
    <w:p w14:paraId="55D862FF" w14:textId="77777777" w:rsidR="009F23E1" w:rsidRPr="009F23E1" w:rsidRDefault="009F23E1" w:rsidP="00A07209">
      <w:pPr>
        <w:numPr>
          <w:ilvl w:val="0"/>
          <w:numId w:val="106"/>
        </w:numPr>
        <w:tabs>
          <w:tab w:val="num" w:pos="360"/>
        </w:tabs>
        <w:spacing w:after="0" w:line="240" w:lineRule="auto"/>
        <w:ind w:left="360"/>
      </w:pPr>
      <w:r>
        <w:rPr>
          <w:b/>
        </w:rPr>
        <w:t>Applicable Regulations/Guidance</w:t>
      </w:r>
    </w:p>
    <w:p w14:paraId="695AC586" w14:textId="77777777" w:rsidR="009F23E1" w:rsidRPr="009F23E1" w:rsidRDefault="009F23E1" w:rsidP="009F23E1">
      <w:pPr>
        <w:spacing w:after="0" w:line="240" w:lineRule="auto"/>
      </w:pPr>
    </w:p>
    <w:p w14:paraId="5A588D4E" w14:textId="77777777" w:rsidR="009F23E1" w:rsidRPr="009F23E1" w:rsidRDefault="009F23E1" w:rsidP="009F23E1">
      <w:pPr>
        <w:spacing w:after="0" w:line="240" w:lineRule="auto"/>
        <w:ind w:left="360"/>
      </w:pPr>
      <w:r>
        <w:t>21 CFR 56.107, 21 CFR 56.108, 45 CFR 46.107, 45 CFR 46.108, 45 CFR 46.103(e)</w:t>
      </w:r>
    </w:p>
    <w:p w14:paraId="1231CB32" w14:textId="77777777" w:rsidR="009F23E1" w:rsidRPr="009F23E1" w:rsidRDefault="009F23E1" w:rsidP="009F23E1">
      <w:pPr>
        <w:spacing w:after="0" w:line="240" w:lineRule="auto"/>
        <w:ind w:left="360"/>
      </w:pPr>
    </w:p>
    <w:p w14:paraId="1B4CF92F" w14:textId="77777777" w:rsidR="009F23E1" w:rsidRPr="009F23E1" w:rsidRDefault="009F23E1" w:rsidP="00A07209">
      <w:pPr>
        <w:numPr>
          <w:ilvl w:val="0"/>
          <w:numId w:val="106"/>
        </w:numPr>
        <w:spacing w:after="0" w:line="240" w:lineRule="auto"/>
        <w:ind w:left="360"/>
        <w:rPr>
          <w:b/>
        </w:rPr>
      </w:pPr>
      <w:r>
        <w:rPr>
          <w:b/>
        </w:rPr>
        <w:t>History</w:t>
      </w:r>
    </w:p>
    <w:p w14:paraId="73004681" w14:textId="77777777" w:rsidR="009F23E1" w:rsidRPr="009F23E1" w:rsidRDefault="009F23E1" w:rsidP="009F23E1">
      <w:pPr>
        <w:spacing w:after="0" w:line="240" w:lineRule="auto"/>
        <w:rPr>
          <w:b/>
        </w:rPr>
      </w:pPr>
    </w:p>
    <w:p w14:paraId="6C9DB92C" w14:textId="77777777" w:rsidR="009F23E1" w:rsidRPr="009F23E1" w:rsidRDefault="009F23E1" w:rsidP="009F23E1">
      <w:pPr>
        <w:spacing w:after="0" w:line="240" w:lineRule="auto"/>
        <w:ind w:left="360"/>
      </w:pPr>
      <w:r>
        <w:t>Issued: 04/21/2008</w:t>
      </w:r>
    </w:p>
    <w:p w14:paraId="79D5C5FE" w14:textId="77777777" w:rsidR="009F23E1" w:rsidRPr="009F23E1" w:rsidRDefault="009F23E1" w:rsidP="009F23E1">
      <w:pPr>
        <w:spacing w:after="0" w:line="240" w:lineRule="auto"/>
        <w:ind w:left="360"/>
      </w:pPr>
      <w:r>
        <w:t>Revised: 09/17/2008, 06/05/2012, 09/19/2016, 02/18/2019</w:t>
      </w:r>
    </w:p>
    <w:p w14:paraId="1919889A" w14:textId="77777777" w:rsidR="009F23E1" w:rsidRPr="009F23E1" w:rsidRDefault="009F23E1" w:rsidP="009F23E1">
      <w:pPr>
        <w:spacing w:after="0" w:line="240" w:lineRule="auto"/>
        <w:ind w:left="360"/>
      </w:pPr>
      <w:r>
        <w:t>Edited: 04/28/2009, 07/25/2010, 01/14/2022, 04/20/2022</w:t>
      </w:r>
    </w:p>
    <w:p w14:paraId="039A4202" w14:textId="77777777" w:rsidR="009F23E1" w:rsidRPr="009F23E1" w:rsidRDefault="009F23E1" w:rsidP="009F23E1">
      <w:pPr>
        <w:spacing w:after="0" w:line="240" w:lineRule="auto"/>
        <w:ind w:left="360"/>
      </w:pPr>
    </w:p>
    <w:p w14:paraId="4FE2F3D5" w14:textId="77777777" w:rsidR="00F2286B" w:rsidRDefault="00F2286B">
      <w:pPr>
        <w:rPr>
          <w:i/>
          <w:iCs/>
          <w:sz w:val="28"/>
          <w:szCs w:val="28"/>
        </w:rPr>
      </w:pPr>
      <w:r>
        <w:rPr>
          <w:b/>
          <w:bCs/>
        </w:rPr>
        <w:br w:type="page"/>
      </w:r>
    </w:p>
    <w:p w14:paraId="50B1198E" w14:textId="77777777" w:rsidR="009F23E1" w:rsidRPr="009F23E1" w:rsidRDefault="65289B74" w:rsidP="00F2286B">
      <w:pPr>
        <w:pStyle w:val="Heading2"/>
      </w:pPr>
      <w:bookmarkStart w:id="255" w:name="_Toc1704745366"/>
      <w:bookmarkStart w:id="256" w:name="B8"/>
      <w:bookmarkStart w:id="257" w:name="_Toc212142205"/>
      <w:bookmarkStart w:id="258" w:name="_Toc225507745"/>
      <w:r>
        <w:lastRenderedPageBreak/>
        <w:t>Appendix B-8</w:t>
      </w:r>
      <w:bookmarkEnd w:id="255"/>
      <w:r>
        <w:t xml:space="preserve">  </w:t>
      </w:r>
      <w:bookmarkEnd w:id="256"/>
      <w:r>
        <w:tab/>
        <w:t>Review of Research by the Convened IRB</w:t>
      </w:r>
      <w:bookmarkEnd w:id="257"/>
      <w:bookmarkEnd w:id="258"/>
    </w:p>
    <w:p w14:paraId="352E3AFF" w14:textId="77777777" w:rsidR="009F23E1" w:rsidRPr="009F23E1" w:rsidRDefault="009F23E1" w:rsidP="009F23E1">
      <w:pPr>
        <w:spacing w:after="120" w:line="240" w:lineRule="auto"/>
        <w:jc w:val="center"/>
        <w:rPr>
          <w:b/>
          <w:smallCaps/>
          <w:sz w:val="20"/>
        </w:rPr>
      </w:pPr>
      <w:r>
        <w:rPr>
          <w:b/>
          <w:smallCaps/>
          <w:noProof/>
          <w:sz w:val="20"/>
        </w:rPr>
        <mc:AlternateContent>
          <mc:Choice Requires="wps">
            <w:drawing>
              <wp:anchor distT="0" distB="0" distL="114300" distR="114300" simplePos="0" relativeHeight="251659264" behindDoc="1" locked="0" layoutInCell="1" allowOverlap="1" wp14:anchorId="597E4B99" wp14:editId="03010996">
                <wp:simplePos x="0" y="0"/>
                <wp:positionH relativeFrom="column">
                  <wp:posOffset>10795</wp:posOffset>
                </wp:positionH>
                <wp:positionV relativeFrom="paragraph">
                  <wp:posOffset>170180</wp:posOffset>
                </wp:positionV>
                <wp:extent cx="5932805" cy="243840"/>
                <wp:effectExtent l="10795" t="7620" r="9525" b="5715"/>
                <wp:wrapNone/>
                <wp:docPr id="925581530"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2805" cy="24384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A1232" id="Rectangle 2" o:spid="_x0000_s1026" style="position:absolute;margin-left:.85pt;margin-top:13.4pt;width:467.15pt;height:1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qjsmzDwIAABYEAAAOAAAAZHJzL2Uyb0RvYy54bWysU9uO2yAQfa/Uf0C8N3a8SZtYcVYrp6kq bS/Sth9AMLZRMUMHEmf79R1INptenqr6ATGe4XDmzGF1exwMOyj0GmzFp5OcM2UlNNp2Ff/6Zftq wZkPwjbCgFUVf1Se365fvliNrlQF9GAahYxArC9HV/E+BFdmmZe9GoSfgFOWki3gIAKF2GUNipHQ B5MVef46GwEbhyCV9/R3c0rydcJvWyXDp7b1KjBTceIW0opp3cU1W69E2aFwvZZnGuIfWAxCW7r0 ArURQbA96j+gBi0RPLRhImHIoG21VKkH6maa/9bNQy+cSr2QON5dZPL/D1Z+PDy4zxipe3cP8ptn Fupe2E7dIcLYK9HQddMoVDY6X14OxMDTUbYbP0BDoxX7AEmDY4tDBKTu2DFJ/XiRWh0Dk/Rzvrwp FvmcM0m5YnazmKVZZKJ8Ou3Qh3cKBhY3FUcaZUIXh3sfIhtRPpUk9mB0s9XGpAC7XW2QHQSNvd7W m3qTGqAmr8uMZWPFl/NinpB/yflriDx9f4MYdCD/Gj1UfHEpEmWU7a1tkruC0Oa0J8rGnnWM0kWX +nIHzSPJiHAyJz0m2vSAPzgbyZgV99/3AhVn5r2lUSynM9KKhRTM5m8KCvA6s7vOCCsJquKBs9O2 Dif37x3qrqebpql3C3c0vlYnZZ9ZncmS+ZLg54cS3X0dp6rn57z+CQAA//8DAFBLAwQUAAYACAAA ACEAnGsbidsAAAAHAQAADwAAAGRycy9kb3ducmV2LnhtbEyPQU+DQBSE7yb+h80z8WYXMaIiS1Ob NCaeLHjx9mCfgLJvCbtt8d/7POlxMpOZb4r14kZ1pDkMng1crxJQxK23A3cG3urd1T2oEJEtjp7J wDcFWJfnZwXm1p94T8cqdkpKOORooI9xyrUObU8Ow8pPxOJ9+NlhFDl32s54knI36jRJMu1wYFno caJtT+1XdXAG6k1G9dS87+j15el5+Izb2GBlzOXFsnkEFWmJf2H4xRd0KIWp8Qe2QY2i7yRoIM3k gNgPN5lcawxktynostD/+csfAAAA//8DAFBLAQItABQABgAIAAAAIQC2gziS/gAAAOEBAAATAAAA AAAAAAAAAAAAAAAAAABbQ29udGVudF9UeXBlc10ueG1sUEsBAi0AFAAGAAgAAAAhADj9If/WAAAA lAEAAAsAAAAAAAAAAAAAAAAALwEAAF9yZWxzLy5yZWxzUEsBAi0AFAAGAAgAAAAhAGqOybMPAgAA FgQAAA4AAAAAAAAAAAAAAAAALgIAAGRycy9lMm9Eb2MueG1sUEsBAi0AFAAGAAgAAAAhAJxrG4nb AAAABwEAAA8AAAAAAAAAAAAAAAAAaQQAAGRycy9kb3ducmV2LnhtbFBLBQYAAAAABAAEAPMAAABx BQAAAAA= " fillcolor="#cfcdcd"/>
            </w:pict>
          </mc:Fallback>
        </mc:AlternateContent>
      </w:r>
    </w:p>
    <w:p w14:paraId="499A1D61" w14:textId="77777777" w:rsidR="009F23E1" w:rsidRPr="009F23E1" w:rsidRDefault="009F23E1" w:rsidP="00076836">
      <w:pPr>
        <w:spacing w:after="120" w:line="240" w:lineRule="auto"/>
        <w:rPr>
          <w:b/>
          <w:smallCaps/>
          <w:sz w:val="20"/>
        </w:rPr>
      </w:pPr>
      <w:r>
        <w:rPr>
          <w:b/>
          <w:smallCaps/>
          <w:sz w:val="20"/>
        </w:rPr>
        <w:t xml:space="preserve">       Language in gray boxes is only applicable to studies approved on/after January 21, 2019</w:t>
      </w:r>
    </w:p>
    <w:p w14:paraId="3865FCC9" w14:textId="77777777" w:rsidR="009F23E1" w:rsidRPr="009F23E1" w:rsidRDefault="009F23E1" w:rsidP="009F23E1">
      <w:pPr>
        <w:spacing w:after="0" w:line="240" w:lineRule="auto"/>
        <w:rPr>
          <w:b/>
          <w:smallCaps/>
        </w:rPr>
      </w:pPr>
    </w:p>
    <w:p w14:paraId="3B9F9019" w14:textId="77777777" w:rsidR="009F23E1" w:rsidRPr="0035670E" w:rsidRDefault="009F23E1" w:rsidP="00A07209">
      <w:pPr>
        <w:pStyle w:val="ListParagraph"/>
        <w:numPr>
          <w:ilvl w:val="3"/>
          <w:numId w:val="103"/>
        </w:numPr>
        <w:tabs>
          <w:tab w:val="num" w:pos="360"/>
        </w:tabs>
        <w:spacing w:after="0" w:line="240" w:lineRule="auto"/>
        <w:ind w:left="360"/>
        <w:rPr>
          <w:b/>
          <w:smallCaps/>
        </w:rPr>
      </w:pPr>
      <w:r>
        <w:rPr>
          <w:b/>
        </w:rPr>
        <w:t>Overview</w:t>
      </w:r>
    </w:p>
    <w:p w14:paraId="7367EA31" w14:textId="77777777" w:rsidR="009F23E1" w:rsidRPr="009F23E1" w:rsidRDefault="009F23E1" w:rsidP="009F23E1">
      <w:pPr>
        <w:spacing w:after="0" w:line="240" w:lineRule="auto"/>
      </w:pPr>
    </w:p>
    <w:p w14:paraId="74905534" w14:textId="77777777" w:rsidR="009F23E1" w:rsidRPr="009F23E1" w:rsidRDefault="009F23E1" w:rsidP="009F23E1">
      <w:pPr>
        <w:spacing w:after="0" w:line="240" w:lineRule="auto"/>
        <w:ind w:left="360"/>
      </w:pPr>
      <w:r>
        <w:t>All research involving human subjects reviewed by the convened IRB must be evaluated for issues in proposed study design and conduct that may affect the rights and welfare of human subjects, consistent with federal regulations, state and local laws, professional standards, and university policy.</w:t>
      </w:r>
    </w:p>
    <w:p w14:paraId="6021B263" w14:textId="77777777" w:rsidR="009F23E1" w:rsidRPr="009F23E1" w:rsidRDefault="009F23E1" w:rsidP="009F23E1">
      <w:pPr>
        <w:spacing w:after="0" w:line="240" w:lineRule="auto"/>
      </w:pPr>
    </w:p>
    <w:p w14:paraId="07C55B9B" w14:textId="77777777" w:rsidR="009F23E1" w:rsidRPr="009F23E1" w:rsidRDefault="009F23E1" w:rsidP="009F23E1">
      <w:pPr>
        <w:spacing w:after="0" w:line="240" w:lineRule="auto"/>
        <w:ind w:left="360"/>
      </w:pPr>
      <w:r>
        <w:t>The purpose of this policy is to describe the procedures used by the Office of Responsible Research Practices and the convened IRBs when processing and reviewing submissions for initial and continuing review and for amendments to previously approved research to ensure the protection of research participants. Convened review of reportable events is described separately in HRPP policy [</w:t>
      </w:r>
      <w:hyperlink r:id="rId135" w:history="1">
        <w:r>
          <w:rPr>
            <w:color w:val="0000FF"/>
            <w:u w:val="single"/>
          </w:rPr>
          <w:t>Event Reporting – Unanticipated Problems Involving Risks to Subjects or Others, Adverse Events, and Other Problems</w:t>
        </w:r>
      </w:hyperlink>
      <w:r>
        <w:t>].</w:t>
      </w:r>
    </w:p>
    <w:p w14:paraId="39580268" w14:textId="77777777" w:rsidR="009F23E1" w:rsidRPr="009F23E1" w:rsidRDefault="009F23E1" w:rsidP="009F23E1">
      <w:pPr>
        <w:spacing w:after="0" w:line="240" w:lineRule="auto"/>
        <w:rPr>
          <w:b/>
          <w:smallCaps/>
        </w:rPr>
      </w:pPr>
    </w:p>
    <w:p w14:paraId="006112FF" w14:textId="77777777" w:rsidR="009F23E1" w:rsidRPr="0035670E" w:rsidRDefault="009F23E1" w:rsidP="00A07209">
      <w:pPr>
        <w:pStyle w:val="ListParagraph"/>
        <w:numPr>
          <w:ilvl w:val="3"/>
          <w:numId w:val="103"/>
        </w:numPr>
        <w:tabs>
          <w:tab w:val="num" w:pos="360"/>
        </w:tabs>
        <w:spacing w:after="0" w:line="240" w:lineRule="auto"/>
        <w:ind w:left="360"/>
        <w:rPr>
          <w:b/>
          <w:smallCaps/>
        </w:rPr>
      </w:pPr>
      <w:r>
        <w:rPr>
          <w:b/>
        </w:rPr>
        <w:t>Definitions</w:t>
      </w:r>
    </w:p>
    <w:p w14:paraId="2722717E" w14:textId="77777777" w:rsidR="009F23E1" w:rsidRPr="009F23E1" w:rsidRDefault="009F23E1" w:rsidP="009F23E1">
      <w:pPr>
        <w:spacing w:after="0" w:line="240" w:lineRule="auto"/>
      </w:pPr>
    </w:p>
    <w:p w14:paraId="6F68B2BB" w14:textId="77777777" w:rsidR="009F23E1" w:rsidRPr="009F23E1" w:rsidRDefault="009F23E1" w:rsidP="009F23E1">
      <w:pPr>
        <w:spacing w:after="0" w:line="240" w:lineRule="auto"/>
        <w:ind w:left="360"/>
        <w:rPr>
          <w:i/>
        </w:rPr>
      </w:pPr>
      <w:r>
        <w:rPr>
          <w:b/>
        </w:rPr>
        <w:t xml:space="preserve">Appeal: </w:t>
      </w:r>
      <w:r>
        <w:t xml:space="preserve">Request for reconsideration of an IRB determination in research involving human subjects, including (but not limited to) decisions regarding approval status, conditions for approval, or noncompliance. </w:t>
      </w:r>
      <w:r>
        <w:rPr>
          <w:i/>
        </w:rPr>
        <w:t>Note: An appeal is reviewed by the convened IRB responsible for the determination being appealed; for a decision made by expedited review, the corresponding convened IRB may review the appeal. Also: request for reconsideration.</w:t>
      </w:r>
    </w:p>
    <w:p w14:paraId="1E9DB4DC" w14:textId="77777777" w:rsidR="009F23E1" w:rsidRPr="009F23E1" w:rsidRDefault="009F23E1" w:rsidP="009F23E1">
      <w:pPr>
        <w:spacing w:after="0" w:line="240" w:lineRule="auto"/>
      </w:pPr>
    </w:p>
    <w:p w14:paraId="23301864" w14:textId="77777777" w:rsidR="009F23E1" w:rsidRPr="0035670E" w:rsidRDefault="009F23E1" w:rsidP="00A07209">
      <w:pPr>
        <w:pStyle w:val="ListParagraph"/>
        <w:numPr>
          <w:ilvl w:val="3"/>
          <w:numId w:val="103"/>
        </w:numPr>
        <w:tabs>
          <w:tab w:val="num" w:pos="360"/>
        </w:tabs>
        <w:spacing w:after="0" w:line="240" w:lineRule="auto"/>
        <w:ind w:left="360"/>
        <w:rPr>
          <w:b/>
        </w:rPr>
      </w:pPr>
      <w:r>
        <w:rPr>
          <w:b/>
        </w:rPr>
        <w:t>General Information on Convened Review</w:t>
      </w:r>
    </w:p>
    <w:p w14:paraId="07247E36" w14:textId="77777777" w:rsidR="009F23E1" w:rsidRPr="009F23E1" w:rsidRDefault="009F23E1" w:rsidP="009F23E1">
      <w:pPr>
        <w:spacing w:after="0" w:line="240" w:lineRule="auto"/>
        <w:rPr>
          <w:b/>
        </w:rPr>
      </w:pPr>
    </w:p>
    <w:p w14:paraId="1E0A94D7" w14:textId="77777777" w:rsidR="0035670E" w:rsidRDefault="009F23E1" w:rsidP="00A07209">
      <w:pPr>
        <w:pStyle w:val="ListParagraph"/>
        <w:numPr>
          <w:ilvl w:val="1"/>
          <w:numId w:val="120"/>
        </w:numPr>
        <w:spacing w:after="0" w:line="240" w:lineRule="auto"/>
      </w:pPr>
      <w:r>
        <w:t>The IRB must provide substantive and meaningful review of research on a continuing basis, at the interval (at least once a year) established by the IRB at the prior review. IRB review must be performed by the convened IRB unless the research meets the criteria for expedited review, as described in HRPP policy [</w:t>
      </w:r>
      <w:hyperlink r:id="rId136" w:history="1">
        <w:r>
          <w:rPr>
            <w:color w:val="0000FF"/>
            <w:u w:val="single"/>
          </w:rPr>
          <w:t>Expedited and Administrative Review Procedures</w:t>
        </w:r>
      </w:hyperlink>
      <w:r>
        <w:t>].</w:t>
      </w:r>
    </w:p>
    <w:p w14:paraId="16FCD0ED" w14:textId="77777777" w:rsidR="009F23E1" w:rsidRPr="0035670E" w:rsidRDefault="009F23E1" w:rsidP="00A07209">
      <w:pPr>
        <w:pStyle w:val="ListParagraph"/>
        <w:numPr>
          <w:ilvl w:val="1"/>
          <w:numId w:val="120"/>
        </w:numPr>
        <w:spacing w:after="0" w:line="240" w:lineRule="auto"/>
      </w:pPr>
      <w:r>
        <w:t>To be approved, research that is reviewed by the convened IRBs must satisfy all of the following regulatory requirements:</w:t>
      </w:r>
    </w:p>
    <w:p w14:paraId="7BE7DF3F" w14:textId="77777777" w:rsidR="009F23E1" w:rsidRPr="009F23E1" w:rsidRDefault="009F23E1" w:rsidP="00A07209">
      <w:pPr>
        <w:numPr>
          <w:ilvl w:val="3"/>
          <w:numId w:val="121"/>
        </w:numPr>
        <w:tabs>
          <w:tab w:val="num" w:pos="1440"/>
        </w:tabs>
        <w:spacing w:after="60" w:line="240" w:lineRule="auto"/>
        <w:ind w:left="1440"/>
      </w:pPr>
      <w:r>
        <w:t>Risks to participants are minimized (but not necessarily eliminated) by using procedures that are consistent with sound research design and that do not unnecessarily expose participants to risk. Whenever appropriate, risks to participants are minimized by using procedures already being performed for diagnostic or treatment purposes.</w:t>
      </w:r>
    </w:p>
    <w:p w14:paraId="096C7B36" w14:textId="77777777" w:rsidR="009F23E1" w:rsidRPr="009F23E1" w:rsidRDefault="009F23E1" w:rsidP="00A07209">
      <w:pPr>
        <w:numPr>
          <w:ilvl w:val="3"/>
          <w:numId w:val="121"/>
        </w:numPr>
        <w:tabs>
          <w:tab w:val="num" w:pos="1440"/>
        </w:tabs>
        <w:spacing w:after="60" w:line="240" w:lineRule="auto"/>
        <w:ind w:left="1440"/>
      </w:pPr>
      <w:r>
        <w:t xml:space="preserve">Risks to participants are reasonable in relation to anticipated benefits (if any), and the importance of the knowledge that may reasonably be expected to result from the research. Note: </w:t>
      </w:r>
      <w:r>
        <w:rPr>
          <w:i/>
        </w:rPr>
        <w:t>The IRB will consider risks and benefits that may result from the research, not risks and benefits of treatments or other activities the subject would undergo even if he or she were not participating in the research</w:t>
      </w:r>
      <w:r>
        <w:t>.</w:t>
      </w:r>
    </w:p>
    <w:p w14:paraId="21BF7BE5" w14:textId="77777777" w:rsidR="009F23E1" w:rsidRPr="009F23E1" w:rsidRDefault="009F23E1" w:rsidP="00A07209">
      <w:pPr>
        <w:numPr>
          <w:ilvl w:val="3"/>
          <w:numId w:val="121"/>
        </w:numPr>
        <w:tabs>
          <w:tab w:val="num" w:pos="1440"/>
        </w:tabs>
        <w:spacing w:after="60" w:line="240" w:lineRule="auto"/>
        <w:ind w:left="1440"/>
      </w:pPr>
      <w:r>
        <w:t xml:space="preserve">Selection of participants is equitable, taking into account the purposes of the research and the setting in which the research will be conducted. (For more information on </w:t>
      </w:r>
      <w:r>
        <w:lastRenderedPageBreak/>
        <w:t>equitable selection and recruitment, see HRPP policy [</w:t>
      </w:r>
      <w:hyperlink r:id="rId137" w:history="1">
        <w:r>
          <w:rPr>
            <w:color w:val="0000FF"/>
            <w:u w:val="single"/>
          </w:rPr>
          <w:t>Recruiting Methods, Recruitment Materials, and Participant Compensation</w:t>
        </w:r>
      </w:hyperlink>
      <w:r>
        <w:t>]).</w:t>
      </w:r>
    </w:p>
    <w:p w14:paraId="4A00B949" w14:textId="77777777" w:rsidR="009F23E1" w:rsidRPr="009F23E1" w:rsidRDefault="009F23E1" w:rsidP="00A07209">
      <w:pPr>
        <w:numPr>
          <w:ilvl w:val="3"/>
          <w:numId w:val="121"/>
        </w:numPr>
        <w:tabs>
          <w:tab w:val="num" w:pos="1440"/>
        </w:tabs>
        <w:spacing w:after="60" w:line="240" w:lineRule="auto"/>
        <w:ind w:left="1440"/>
        <w:rPr>
          <w:b/>
        </w:rPr>
      </w:pPr>
      <w:r>
        <w:t>Informed consent is sought, obtained, and appropriately documented for each prospective participant or the participant’s legally authorized representative as required by the regulations (unless the appropriate waivers have been requested and approved by the Board). (For more information, see HRPP policies [</w:t>
      </w:r>
      <w:hyperlink r:id="rId138" w:history="1">
        <w:r>
          <w:rPr>
            <w:color w:val="0000FF"/>
            <w:u w:val="single"/>
          </w:rPr>
          <w:t>Informed Consent Process and Elements of Informed Consent</w:t>
        </w:r>
      </w:hyperlink>
      <w:r>
        <w:t>] and [</w:t>
      </w:r>
      <w:hyperlink r:id="rId139" w:history="1">
        <w:r>
          <w:rPr>
            <w:color w:val="0000FF"/>
            <w:u w:val="single"/>
          </w:rPr>
          <w:t>Documentation of the Informed Consent Process</w:t>
        </w:r>
      </w:hyperlink>
      <w:r>
        <w:t>]).</w:t>
      </w:r>
    </w:p>
    <w:p w14:paraId="18D10F19" w14:textId="77777777" w:rsidR="009F23E1" w:rsidRPr="009F23E1" w:rsidRDefault="009F23E1" w:rsidP="00A07209">
      <w:pPr>
        <w:numPr>
          <w:ilvl w:val="3"/>
          <w:numId w:val="121"/>
        </w:numPr>
        <w:tabs>
          <w:tab w:val="num" w:pos="1440"/>
        </w:tabs>
        <w:spacing w:after="60" w:line="240" w:lineRule="auto"/>
        <w:ind w:left="1440"/>
        <w:rPr>
          <w:b/>
        </w:rPr>
      </w:pPr>
      <w:r>
        <w:t>If the research involves greater than minimal risk, the data and safety monitoring plan and/or data and safety monitoring board (where appropriate) makes adequate provision for monitoring the data collected to ensure the safety of participants.</w:t>
      </w:r>
    </w:p>
    <w:p w14:paraId="273CE2F0" w14:textId="77777777" w:rsidR="009F23E1" w:rsidRPr="009F23E1" w:rsidRDefault="009F23E1" w:rsidP="00A07209">
      <w:pPr>
        <w:numPr>
          <w:ilvl w:val="3"/>
          <w:numId w:val="121"/>
        </w:numPr>
        <w:tabs>
          <w:tab w:val="num" w:pos="1440"/>
        </w:tabs>
        <w:spacing w:after="60" w:line="240" w:lineRule="auto"/>
        <w:ind w:left="1440"/>
      </w:pPr>
      <w:r>
        <w:t>There are adequate provisions to protect the privacy of participants and to maintain the confidentiality of data in accordance with HRPP policy [</w:t>
      </w:r>
      <w:hyperlink r:id="rId140" w:history="1">
        <w:r>
          <w:rPr>
            <w:color w:val="0000FF"/>
            <w:u w:val="single"/>
          </w:rPr>
          <w:t>Privacy and Confidentiality</w:t>
        </w:r>
      </w:hyperlink>
      <w:r>
        <w:t>].</w:t>
      </w:r>
    </w:p>
    <w:p w14:paraId="65DAD525" w14:textId="77777777" w:rsidR="009F23E1" w:rsidRPr="009F23E1" w:rsidRDefault="009F23E1" w:rsidP="00A07209">
      <w:pPr>
        <w:numPr>
          <w:ilvl w:val="3"/>
          <w:numId w:val="121"/>
        </w:numPr>
        <w:tabs>
          <w:tab w:val="num" w:pos="1440"/>
        </w:tabs>
        <w:spacing w:after="0" w:line="240" w:lineRule="auto"/>
        <w:ind w:left="1440"/>
      </w:pPr>
      <w:r>
        <w:t>When some or all of the participants are likely to be vulnerable to coercion or undue influence, such as children, prisoners, individuals with impaired decision-making capacity, or economically or educationally disadvantaged persons, additional safeguards have been included in the study to protect the rights and welfare of these participants.</w:t>
      </w:r>
    </w:p>
    <w:p w14:paraId="172FE2FB" w14:textId="77777777" w:rsidR="009F23E1" w:rsidRPr="009F23E1" w:rsidRDefault="009F23E1" w:rsidP="009F23E1">
      <w:pPr>
        <w:spacing w:after="0" w:line="240" w:lineRule="auto"/>
      </w:pPr>
    </w:p>
    <w:p w14:paraId="2323784C" w14:textId="77777777" w:rsidR="009F23E1" w:rsidRPr="0035670E" w:rsidRDefault="009F23E1" w:rsidP="00A07209">
      <w:pPr>
        <w:pStyle w:val="ListParagraph"/>
        <w:numPr>
          <w:ilvl w:val="1"/>
          <w:numId w:val="120"/>
        </w:numPr>
        <w:tabs>
          <w:tab w:val="num" w:pos="1008"/>
        </w:tabs>
        <w:spacing w:after="60" w:line="240" w:lineRule="auto"/>
      </w:pPr>
      <w:r>
        <w:t xml:space="preserve">When research involves the use of articles regulated by the Food and Drug Administration (e.g., drugs, devices, and biologics) or is otherwise regulated by the FDA, the convened IRB will also consider: </w:t>
      </w:r>
    </w:p>
    <w:p w14:paraId="22CACF88" w14:textId="77777777" w:rsidR="009F23E1" w:rsidRPr="009F23E1" w:rsidRDefault="009F23E1" w:rsidP="00A07209">
      <w:pPr>
        <w:numPr>
          <w:ilvl w:val="6"/>
          <w:numId w:val="121"/>
        </w:numPr>
        <w:tabs>
          <w:tab w:val="left" w:pos="1440"/>
        </w:tabs>
        <w:spacing w:after="60" w:line="240" w:lineRule="auto"/>
        <w:ind w:left="1440"/>
      </w:pPr>
      <w:r>
        <w:t>Marketing status of the drug or device (e.g., investigational, investigational use of an FDA-approved product, or FDA-approved product used for an approved indication)</w:t>
      </w:r>
    </w:p>
    <w:p w14:paraId="598858AA" w14:textId="77777777" w:rsidR="009F23E1" w:rsidRPr="009F23E1" w:rsidRDefault="009F23E1" w:rsidP="00A07209">
      <w:pPr>
        <w:numPr>
          <w:ilvl w:val="6"/>
          <w:numId w:val="121"/>
        </w:numPr>
        <w:tabs>
          <w:tab w:val="left" w:pos="1440"/>
        </w:tabs>
        <w:spacing w:after="60" w:line="240" w:lineRule="auto"/>
        <w:ind w:left="1440"/>
      </w:pPr>
      <w:r>
        <w:t>For drugs, the appropriateness of the dose, formulation, and route of administration</w:t>
      </w:r>
    </w:p>
    <w:p w14:paraId="5EBE5DCE" w14:textId="77777777" w:rsidR="009F23E1" w:rsidRPr="009F23E1" w:rsidRDefault="009F23E1" w:rsidP="00A07209">
      <w:pPr>
        <w:numPr>
          <w:ilvl w:val="6"/>
          <w:numId w:val="121"/>
        </w:numPr>
        <w:tabs>
          <w:tab w:val="left" w:pos="1440"/>
        </w:tabs>
        <w:spacing w:after="60" w:line="240" w:lineRule="auto"/>
        <w:ind w:left="1440"/>
      </w:pPr>
      <w:r>
        <w:t>For devices, the recommended risk status of the device (i.e., significant or non-significant)</w:t>
      </w:r>
    </w:p>
    <w:p w14:paraId="48217ED4" w14:textId="77777777" w:rsidR="009F23E1" w:rsidRPr="009F23E1" w:rsidRDefault="009F23E1" w:rsidP="00A07209">
      <w:pPr>
        <w:numPr>
          <w:ilvl w:val="6"/>
          <w:numId w:val="121"/>
        </w:numPr>
        <w:tabs>
          <w:tab w:val="left" w:pos="1440"/>
        </w:tabs>
        <w:spacing w:after="60" w:line="240" w:lineRule="auto"/>
        <w:ind w:left="1440"/>
      </w:pPr>
      <w:r>
        <w:t>For investigational agents, safety and efficacy data supporting the proposed phase of testing</w:t>
      </w:r>
    </w:p>
    <w:p w14:paraId="480B606F" w14:textId="77777777" w:rsidR="009F23E1" w:rsidRPr="009F23E1" w:rsidRDefault="009F23E1" w:rsidP="00A07209">
      <w:pPr>
        <w:numPr>
          <w:ilvl w:val="6"/>
          <w:numId w:val="121"/>
        </w:numPr>
        <w:tabs>
          <w:tab w:val="left" w:pos="1440"/>
        </w:tabs>
        <w:spacing w:after="60" w:line="240" w:lineRule="auto"/>
        <w:ind w:left="1440"/>
      </w:pPr>
      <w:r>
        <w:t>For investigational agents, a description of the plan for assuring appropriate accountability, storage, access, and control of the investigational agent(s)</w:t>
      </w:r>
    </w:p>
    <w:p w14:paraId="777F5EDC" w14:textId="77777777" w:rsidR="009F23E1" w:rsidRPr="009F23E1" w:rsidRDefault="009F23E1" w:rsidP="009F23E1">
      <w:pPr>
        <w:spacing w:after="0" w:line="240" w:lineRule="auto"/>
        <w:ind w:left="720"/>
      </w:pPr>
      <w:r>
        <w:t>For more information, see HRRP policies [</w:t>
      </w:r>
      <w:hyperlink r:id="rId141" w:history="1">
        <w:r>
          <w:rPr>
            <w:color w:val="0000FF"/>
            <w:u w:val="single"/>
          </w:rPr>
          <w:t>Research Involving Investigational Drugs</w:t>
        </w:r>
      </w:hyperlink>
      <w:r>
        <w:t>] and [</w:t>
      </w:r>
      <w:hyperlink r:id="rId142" w:history="1">
        <w:r>
          <w:rPr>
            <w:color w:val="0000FF"/>
            <w:u w:val="single"/>
          </w:rPr>
          <w:t>Research Involving Medical Devices</w:t>
        </w:r>
      </w:hyperlink>
      <w:r>
        <w:t>].</w:t>
      </w:r>
    </w:p>
    <w:p w14:paraId="6C670446" w14:textId="77777777" w:rsidR="009F23E1" w:rsidRPr="009F23E1" w:rsidRDefault="009F23E1" w:rsidP="009F23E1">
      <w:pPr>
        <w:spacing w:after="0" w:line="240" w:lineRule="auto"/>
        <w:rPr>
          <w:b/>
        </w:rPr>
      </w:pPr>
    </w:p>
    <w:p w14:paraId="471BD010" w14:textId="77777777" w:rsidR="009F23E1" w:rsidRPr="0035670E" w:rsidRDefault="009F23E1" w:rsidP="00A07209">
      <w:pPr>
        <w:pStyle w:val="ListParagraph"/>
        <w:numPr>
          <w:ilvl w:val="3"/>
          <w:numId w:val="103"/>
        </w:numPr>
        <w:tabs>
          <w:tab w:val="num" w:pos="360"/>
        </w:tabs>
        <w:spacing w:after="0" w:line="240" w:lineRule="auto"/>
        <w:ind w:left="360"/>
        <w:rPr>
          <w:b/>
        </w:rPr>
      </w:pPr>
      <w:r>
        <w:rPr>
          <w:b/>
        </w:rPr>
        <w:t>Convened Review Procedures</w:t>
      </w:r>
    </w:p>
    <w:p w14:paraId="1109DF8A" w14:textId="77777777" w:rsidR="009F23E1" w:rsidRPr="009F23E1" w:rsidRDefault="009F23E1" w:rsidP="009F23E1">
      <w:pPr>
        <w:spacing w:after="0" w:line="240" w:lineRule="auto"/>
      </w:pPr>
    </w:p>
    <w:p w14:paraId="42D16FEC" w14:textId="77777777" w:rsidR="009F23E1" w:rsidRPr="009F23E1" w:rsidRDefault="009F23E1" w:rsidP="00A07209">
      <w:pPr>
        <w:numPr>
          <w:ilvl w:val="0"/>
          <w:numId w:val="436"/>
        </w:numPr>
        <w:spacing w:after="0" w:line="240" w:lineRule="auto"/>
      </w:pPr>
      <w:r>
        <w:t>Once the Buck-IRB application has been submitted and determined to be complete in accordance with HRPP policy [</w:t>
      </w:r>
      <w:hyperlink r:id="rId143" w:history="1">
        <w:r>
          <w:rPr>
            <w:color w:val="0000FF"/>
            <w:u w:val="single"/>
          </w:rPr>
          <w:t>Submission and Pre-Review</w:t>
        </w:r>
      </w:hyperlink>
      <w:r>
        <w:t>], ORRP staff will determine the appropriate Board for review and assign appropriate reviewer(s) as described in HRPP policy [</w:t>
      </w:r>
      <w:hyperlink r:id="rId144" w:history="1">
        <w:r>
          <w:rPr>
            <w:color w:val="0000FF"/>
            <w:u w:val="single"/>
          </w:rPr>
          <w:t>Board Assignment and Reviewer Assignment for Convened Review</w:t>
        </w:r>
      </w:hyperlink>
      <w:r>
        <w:t>].</w:t>
      </w:r>
    </w:p>
    <w:p w14:paraId="77BF92D0" w14:textId="77777777" w:rsidR="009F23E1" w:rsidRPr="009F23E1" w:rsidRDefault="009F23E1" w:rsidP="009F23E1">
      <w:pPr>
        <w:spacing w:after="0" w:line="240" w:lineRule="auto"/>
      </w:pPr>
    </w:p>
    <w:p w14:paraId="0B702CDA" w14:textId="77777777" w:rsidR="009F23E1" w:rsidRPr="009F23E1" w:rsidRDefault="009F23E1" w:rsidP="00A07209">
      <w:pPr>
        <w:numPr>
          <w:ilvl w:val="0"/>
          <w:numId w:val="436"/>
        </w:numPr>
        <w:spacing w:after="0" w:line="240" w:lineRule="auto"/>
      </w:pPr>
      <w:r>
        <w:t>ORRP staff will prepare and distribute IRB materials as described below to IRB members in advance of the meeting in order to provide sufficient time for review, generally at least seven days before convened meetings. In extenuating circumstances (e.g., IRB approval would lapse without review), when sufficient space exists on a meeting agenda for a late submission, materials may be forwarded to IRB members past this deadline.</w:t>
      </w:r>
    </w:p>
    <w:p w14:paraId="69756143" w14:textId="77777777" w:rsidR="009F23E1" w:rsidRPr="009F23E1" w:rsidRDefault="009F23E1" w:rsidP="009F23E1">
      <w:pPr>
        <w:spacing w:after="0" w:line="240" w:lineRule="auto"/>
        <w:ind w:left="720"/>
      </w:pPr>
    </w:p>
    <w:p w14:paraId="57213EC6" w14:textId="77777777" w:rsidR="009F23E1" w:rsidRPr="009F23E1" w:rsidRDefault="009F23E1" w:rsidP="009F23E1">
      <w:pPr>
        <w:tabs>
          <w:tab w:val="left" w:pos="720"/>
        </w:tabs>
        <w:spacing w:after="0" w:line="240" w:lineRule="auto"/>
        <w:ind w:left="734" w:hanging="554"/>
        <w:rPr>
          <w:b/>
        </w:rPr>
      </w:pPr>
      <w:r>
        <w:rPr>
          <w:b/>
        </w:rPr>
        <w:t>4.1</w:t>
      </w:r>
      <w:r>
        <w:rPr>
          <w:b/>
        </w:rPr>
        <w:tab/>
        <w:t>Initial Review</w:t>
      </w:r>
    </w:p>
    <w:p w14:paraId="3172204D" w14:textId="77777777" w:rsidR="009F23E1" w:rsidRPr="009F23E1" w:rsidRDefault="009F23E1" w:rsidP="009F23E1">
      <w:pPr>
        <w:tabs>
          <w:tab w:val="left" w:pos="720"/>
        </w:tabs>
        <w:spacing w:after="0" w:line="240" w:lineRule="auto"/>
        <w:ind w:left="734" w:hanging="547"/>
      </w:pPr>
    </w:p>
    <w:p w14:paraId="024DF2CF" w14:textId="77777777" w:rsidR="009F23E1" w:rsidRPr="009F23E1" w:rsidRDefault="009F23E1" w:rsidP="00A07209">
      <w:pPr>
        <w:numPr>
          <w:ilvl w:val="3"/>
          <w:numId w:val="124"/>
        </w:numPr>
        <w:tabs>
          <w:tab w:val="num" w:pos="1080"/>
        </w:tabs>
        <w:spacing w:after="60" w:line="240" w:lineRule="auto"/>
        <w:ind w:left="1080"/>
      </w:pPr>
      <w:r>
        <w:t>All IRB members are responsible for reviewing the submitted materials in enough depth to be familiar with and prepared to discuss the information at the convened meeting. All IRB members will receive and review the following materials:</w:t>
      </w:r>
    </w:p>
    <w:p w14:paraId="03689198" w14:textId="77777777" w:rsidR="009F23E1" w:rsidRPr="009F23E1" w:rsidRDefault="009F23E1" w:rsidP="00A07209">
      <w:pPr>
        <w:numPr>
          <w:ilvl w:val="4"/>
          <w:numId w:val="117"/>
        </w:numPr>
        <w:tabs>
          <w:tab w:val="num" w:pos="1800"/>
        </w:tabs>
        <w:spacing w:after="60" w:line="240" w:lineRule="auto"/>
        <w:ind w:left="1800"/>
      </w:pPr>
      <w:r>
        <w:t xml:space="preserve">Buck-IRB initial review application </w:t>
      </w:r>
    </w:p>
    <w:p w14:paraId="5DA63602" w14:textId="77777777" w:rsidR="009F23E1" w:rsidRPr="009F23E1" w:rsidRDefault="009F23E1" w:rsidP="00A07209">
      <w:pPr>
        <w:numPr>
          <w:ilvl w:val="4"/>
          <w:numId w:val="117"/>
        </w:numPr>
        <w:tabs>
          <w:tab w:val="num" w:pos="1800"/>
        </w:tabs>
        <w:spacing w:after="60" w:line="240" w:lineRule="auto"/>
        <w:ind w:left="1800"/>
      </w:pPr>
      <w:r>
        <w:t>Consent form(s), assent form(s) and permission form(s), and verbal script(s), including translated documents, as applicable</w:t>
      </w:r>
    </w:p>
    <w:p w14:paraId="4C72C7A1" w14:textId="77777777" w:rsidR="009F23E1" w:rsidRPr="009F23E1" w:rsidRDefault="009F23E1" w:rsidP="00A07209">
      <w:pPr>
        <w:numPr>
          <w:ilvl w:val="4"/>
          <w:numId w:val="117"/>
        </w:numPr>
        <w:tabs>
          <w:tab w:val="num" w:pos="1800"/>
        </w:tabs>
        <w:spacing w:after="60" w:line="240" w:lineRule="auto"/>
        <w:ind w:left="1800"/>
      </w:pPr>
      <w:r>
        <w:t>Recruitment materials, as applicable, including advertisements intended to be seen or heard by potential participants</w:t>
      </w:r>
    </w:p>
    <w:p w14:paraId="6A613F08" w14:textId="77777777" w:rsidR="009F23E1" w:rsidRPr="009F23E1" w:rsidRDefault="009F23E1" w:rsidP="00A07209">
      <w:pPr>
        <w:numPr>
          <w:ilvl w:val="4"/>
          <w:numId w:val="117"/>
        </w:numPr>
        <w:tabs>
          <w:tab w:val="num" w:pos="1800"/>
        </w:tabs>
        <w:spacing w:after="60" w:line="240" w:lineRule="auto"/>
        <w:ind w:left="1080" w:firstLine="360"/>
      </w:pPr>
      <w:r>
        <w:t>Study instruments such as questionnaires, surveys, etc.</w:t>
      </w:r>
    </w:p>
    <w:p w14:paraId="2FBC040D" w14:textId="77777777" w:rsidR="009F23E1" w:rsidRPr="009F23E1" w:rsidRDefault="009F23E1" w:rsidP="009F23E1">
      <w:pPr>
        <w:spacing w:after="60" w:line="240" w:lineRule="auto"/>
        <w:ind w:left="1080"/>
      </w:pPr>
    </w:p>
    <w:p w14:paraId="5AF44103" w14:textId="77777777" w:rsidR="009F23E1" w:rsidRPr="009F23E1" w:rsidRDefault="009F23E1" w:rsidP="009F23E1">
      <w:pPr>
        <w:spacing w:after="60" w:line="240" w:lineRule="auto"/>
        <w:ind w:left="1080"/>
      </w:pPr>
      <w:r>
        <w:t>In addition to the materials above, the primary reviewers are also responsible for providing an in-depth review of the following:</w:t>
      </w:r>
    </w:p>
    <w:p w14:paraId="676EE535" w14:textId="77777777" w:rsidR="009F23E1" w:rsidRPr="009F23E1" w:rsidRDefault="009F23E1" w:rsidP="00A07209">
      <w:pPr>
        <w:numPr>
          <w:ilvl w:val="4"/>
          <w:numId w:val="118"/>
        </w:numPr>
        <w:tabs>
          <w:tab w:val="num" w:pos="1800"/>
        </w:tabs>
        <w:spacing w:after="60" w:line="240" w:lineRule="auto"/>
        <w:ind w:left="1800"/>
      </w:pPr>
      <w:r>
        <w:t>Complete research protocol</w:t>
      </w:r>
    </w:p>
    <w:p w14:paraId="245C0948" w14:textId="77777777" w:rsidR="009F23E1" w:rsidRPr="009F23E1" w:rsidRDefault="009F23E1" w:rsidP="00A07209">
      <w:pPr>
        <w:numPr>
          <w:ilvl w:val="4"/>
          <w:numId w:val="118"/>
        </w:numPr>
        <w:tabs>
          <w:tab w:val="num" w:pos="1800"/>
        </w:tabs>
        <w:spacing w:after="60" w:line="240" w:lineRule="auto"/>
        <w:ind w:left="1800"/>
      </w:pPr>
      <w:r>
        <w:t>Investigator’s brochure, as applicable</w:t>
      </w:r>
    </w:p>
    <w:p w14:paraId="79DCDFA0" w14:textId="77777777" w:rsidR="009F23E1" w:rsidRPr="009F23E1" w:rsidRDefault="009F23E1" w:rsidP="00A07209">
      <w:pPr>
        <w:numPr>
          <w:ilvl w:val="4"/>
          <w:numId w:val="118"/>
        </w:numPr>
        <w:tabs>
          <w:tab w:val="num" w:pos="1800"/>
        </w:tabs>
        <w:spacing w:after="60" w:line="240" w:lineRule="auto"/>
        <w:ind w:left="1800"/>
      </w:pPr>
      <w:r>
        <w:t>Questionnaires, when longer or more detailed than those normally reviewed by all IRB members</w:t>
      </w:r>
    </w:p>
    <w:p w14:paraId="297C007A" w14:textId="77777777" w:rsidR="009F23E1" w:rsidRPr="009F23E1" w:rsidRDefault="009F23E1" w:rsidP="00A07209">
      <w:pPr>
        <w:numPr>
          <w:ilvl w:val="4"/>
          <w:numId w:val="118"/>
        </w:numPr>
        <w:tabs>
          <w:tab w:val="num" w:pos="1800"/>
        </w:tabs>
        <w:spacing w:after="60" w:line="240" w:lineRule="auto"/>
        <w:ind w:left="1800"/>
      </w:pPr>
      <w:r>
        <w:t>Relevant grant application or funding proposal, as applicable</w:t>
      </w:r>
    </w:p>
    <w:p w14:paraId="152B0BD5" w14:textId="77777777" w:rsidR="009F23E1" w:rsidRPr="009F23E1" w:rsidRDefault="009F23E1" w:rsidP="00A07209">
      <w:pPr>
        <w:numPr>
          <w:ilvl w:val="4"/>
          <w:numId w:val="118"/>
        </w:numPr>
        <w:tabs>
          <w:tab w:val="num" w:pos="1800"/>
        </w:tabs>
        <w:spacing w:after="60" w:line="240" w:lineRule="auto"/>
        <w:ind w:left="1800"/>
      </w:pPr>
      <w:r>
        <w:t>All other information provided by the investigator</w:t>
      </w:r>
    </w:p>
    <w:p w14:paraId="2F71B71B" w14:textId="77777777" w:rsidR="009F23E1" w:rsidRPr="009F23E1" w:rsidRDefault="009F23E1" w:rsidP="009F23E1">
      <w:pPr>
        <w:spacing w:after="60" w:line="240" w:lineRule="auto"/>
        <w:ind w:left="1080"/>
      </w:pPr>
    </w:p>
    <w:p w14:paraId="388A60A6" w14:textId="77777777" w:rsidR="009F23E1" w:rsidRPr="009F23E1" w:rsidRDefault="009F23E1" w:rsidP="009F23E1">
      <w:pPr>
        <w:spacing w:after="60" w:line="240" w:lineRule="auto"/>
        <w:ind w:left="1080"/>
      </w:pPr>
      <w:r>
        <w:t>If the research is a DHHS-supported multi-center clinical trial, the primary reviewers also receive a copy of:</w:t>
      </w:r>
    </w:p>
    <w:p w14:paraId="2FAA91FA" w14:textId="77777777" w:rsidR="009F23E1" w:rsidRPr="009F23E1" w:rsidRDefault="009F23E1" w:rsidP="00A07209">
      <w:pPr>
        <w:numPr>
          <w:ilvl w:val="4"/>
          <w:numId w:val="119"/>
        </w:numPr>
        <w:tabs>
          <w:tab w:val="num" w:pos="1800"/>
        </w:tabs>
        <w:spacing w:after="60" w:line="240" w:lineRule="auto"/>
        <w:ind w:left="1800"/>
      </w:pPr>
      <w:r>
        <w:t>DHHS-approved sample informed consent document (when one exists)</w:t>
      </w:r>
    </w:p>
    <w:p w14:paraId="3DAEFD36" w14:textId="77777777" w:rsidR="009F23E1" w:rsidRPr="009F23E1" w:rsidRDefault="009F23E1" w:rsidP="00A07209">
      <w:pPr>
        <w:numPr>
          <w:ilvl w:val="4"/>
          <w:numId w:val="119"/>
        </w:numPr>
        <w:tabs>
          <w:tab w:val="num" w:pos="1800"/>
        </w:tabs>
        <w:spacing w:after="0" w:line="240" w:lineRule="auto"/>
        <w:ind w:left="1800"/>
      </w:pPr>
      <w:r>
        <w:t>Complete DHHS-approved protocol (when one exists)</w:t>
      </w:r>
    </w:p>
    <w:p w14:paraId="7D34CED7" w14:textId="77777777" w:rsidR="009F23E1" w:rsidRPr="009F23E1" w:rsidRDefault="009F23E1" w:rsidP="009F23E1">
      <w:pPr>
        <w:spacing w:after="0" w:line="240" w:lineRule="auto"/>
        <w:ind w:left="1440"/>
      </w:pPr>
    </w:p>
    <w:p w14:paraId="6DF00038" w14:textId="77777777" w:rsidR="009F23E1" w:rsidRPr="00977E45" w:rsidRDefault="009F23E1" w:rsidP="00A07209">
      <w:pPr>
        <w:pStyle w:val="ListParagraph"/>
        <w:numPr>
          <w:ilvl w:val="0"/>
          <w:numId w:val="122"/>
        </w:numPr>
        <w:spacing w:after="0" w:line="240" w:lineRule="auto"/>
      </w:pPr>
      <w:r>
        <w:t>Any IRB member can access the complete IRB file for review upon request to ORRP staff, prior to or during the convened meeting.</w:t>
      </w:r>
    </w:p>
    <w:p w14:paraId="2B4556C3" w14:textId="77777777" w:rsidR="009F23E1" w:rsidRPr="009F23E1" w:rsidRDefault="009F23E1" w:rsidP="009F23E1">
      <w:pPr>
        <w:spacing w:after="0" w:line="240" w:lineRule="auto"/>
        <w:ind w:left="1152"/>
      </w:pPr>
    </w:p>
    <w:p w14:paraId="1E1E3868" w14:textId="77777777" w:rsidR="009F23E1" w:rsidRPr="00977E45" w:rsidRDefault="009F23E1" w:rsidP="00A07209">
      <w:pPr>
        <w:pStyle w:val="ListParagraph"/>
        <w:numPr>
          <w:ilvl w:val="0"/>
          <w:numId w:val="122"/>
        </w:numPr>
        <w:tabs>
          <w:tab w:val="num" w:pos="1080"/>
        </w:tabs>
        <w:spacing w:after="60" w:line="240" w:lineRule="auto"/>
      </w:pPr>
      <w:r>
        <w:t>The primary reviewers are responsible for presenting findings regarding the submission and leading the discussion at convened IRB meetings. Additionally, all IRB members are responsible for the following:</w:t>
      </w:r>
    </w:p>
    <w:p w14:paraId="08669ECA"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45" w:history="1">
        <w:r>
          <w:rPr>
            <w:color w:val="0000FF"/>
            <w:u w:val="single"/>
          </w:rPr>
          <w:t>IRB Member and Consultant Conflict of Interest</w:t>
        </w:r>
      </w:hyperlink>
      <w:r>
        <w:t>]</w:t>
      </w:r>
    </w:p>
    <w:p w14:paraId="63E656EA"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16A13D4E"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42B99B33" w14:textId="77777777" w:rsidR="009F23E1" w:rsidRPr="009F23E1" w:rsidRDefault="009F23E1" w:rsidP="009F23E1">
      <w:pPr>
        <w:spacing w:after="0" w:line="240" w:lineRule="auto"/>
      </w:pPr>
    </w:p>
    <w:p w14:paraId="6583C067" w14:textId="77777777" w:rsidR="009F23E1" w:rsidRPr="009F23E1" w:rsidRDefault="009F23E1" w:rsidP="00A07209">
      <w:pPr>
        <w:numPr>
          <w:ilvl w:val="4"/>
          <w:numId w:val="131"/>
        </w:numPr>
        <w:tabs>
          <w:tab w:val="num" w:pos="1080"/>
        </w:tabs>
        <w:spacing w:after="0" w:line="240" w:lineRule="auto"/>
        <w:ind w:left="1080"/>
      </w:pPr>
      <w:r>
        <w:t>Reviewers will document their review and assessment of the research by completing an</w:t>
      </w:r>
      <w:r>
        <w:rPr>
          <w:b/>
        </w:rPr>
        <w:t xml:space="preserve"> </w:t>
      </w:r>
      <w:r>
        <w:rPr>
          <w:i/>
        </w:rPr>
        <w:t>IRB Reviewer Sheet</w:t>
      </w:r>
      <w:r>
        <w:t xml:space="preserve"> and submitting it via the IRB distribution website or in person to an ORRP staff member at the conclusion of the convened IRB meeting.</w:t>
      </w:r>
    </w:p>
    <w:p w14:paraId="0A791732" w14:textId="77777777" w:rsidR="009F23E1" w:rsidRPr="009F23E1" w:rsidRDefault="009F23E1" w:rsidP="009F23E1">
      <w:pPr>
        <w:spacing w:after="0" w:line="240" w:lineRule="auto"/>
      </w:pPr>
    </w:p>
    <w:p w14:paraId="627BA298" w14:textId="77777777" w:rsidR="009F23E1" w:rsidRPr="009F23E1" w:rsidRDefault="009F23E1" w:rsidP="009F23E1">
      <w:pPr>
        <w:spacing w:after="0" w:line="240" w:lineRule="auto"/>
        <w:ind w:left="734" w:hanging="547"/>
        <w:rPr>
          <w:b/>
        </w:rPr>
      </w:pPr>
      <w:r>
        <w:rPr>
          <w:b/>
        </w:rPr>
        <w:t>4.2</w:t>
      </w:r>
      <w:r>
        <w:rPr>
          <w:b/>
        </w:rPr>
        <w:tab/>
        <w:t>Continuing Review</w:t>
      </w:r>
    </w:p>
    <w:p w14:paraId="3C197B5C" w14:textId="77777777" w:rsidR="009F23E1" w:rsidRPr="009F23E1" w:rsidRDefault="009F23E1" w:rsidP="009F23E1">
      <w:pPr>
        <w:spacing w:after="0" w:line="240" w:lineRule="auto"/>
        <w:ind w:left="734" w:hanging="547"/>
        <w:rPr>
          <w:b/>
        </w:rPr>
      </w:pPr>
    </w:p>
    <w:p w14:paraId="389E3F9B" w14:textId="77777777" w:rsidR="009F23E1" w:rsidRPr="009F23E1" w:rsidRDefault="009F23E1" w:rsidP="00A07209">
      <w:pPr>
        <w:numPr>
          <w:ilvl w:val="2"/>
          <w:numId w:val="134"/>
        </w:numPr>
        <w:tabs>
          <w:tab w:val="left" w:pos="1080"/>
        </w:tabs>
        <w:spacing w:after="0" w:line="240" w:lineRule="auto"/>
        <w:ind w:left="1080" w:hanging="360"/>
      </w:pPr>
      <w:r>
        <w:lastRenderedPageBreak/>
        <w:t>Investigators and the IRBs should “plan ahead” to meet applicable continuing review requirements, allowing adequate time before the expiration date for review of the research and for resolution of any modifications that may be required prior to its re-approval.</w:t>
      </w:r>
    </w:p>
    <w:p w14:paraId="29FAE637" w14:textId="77777777" w:rsidR="009F23E1" w:rsidRPr="009F23E1" w:rsidRDefault="009F23E1" w:rsidP="009F23E1">
      <w:pPr>
        <w:spacing w:after="0" w:line="240" w:lineRule="auto"/>
        <w:ind w:left="720"/>
      </w:pPr>
    </w:p>
    <w:p w14:paraId="195E9BB5" w14:textId="77777777" w:rsidR="009F23E1" w:rsidRPr="009F23E1" w:rsidRDefault="009F23E1" w:rsidP="00A07209">
      <w:pPr>
        <w:numPr>
          <w:ilvl w:val="2"/>
          <w:numId w:val="134"/>
        </w:numPr>
        <w:tabs>
          <w:tab w:val="num" w:pos="1080"/>
        </w:tabs>
        <w:spacing w:after="0" w:line="240" w:lineRule="auto"/>
        <w:ind w:left="1080" w:hanging="360"/>
      </w:pPr>
      <w:r>
        <w:t xml:space="preserve">Research approved under the pre-2018 Common Rule, must undergo continuing review as long as the protocol remains active and involves human subjects. </w:t>
      </w:r>
    </w:p>
    <w:p w14:paraId="5D882C6B" w14:textId="77777777" w:rsidR="009F23E1" w:rsidRPr="009F23E1" w:rsidRDefault="009F23E1" w:rsidP="009F23E1">
      <w:pPr>
        <w:spacing w:after="60" w:line="240" w:lineRule="auto"/>
      </w:pPr>
      <w:r>
        <w:rPr>
          <w:noProof/>
        </w:rPr>
        <mc:AlternateContent>
          <mc:Choice Requires="wps">
            <w:drawing>
              <wp:anchor distT="0" distB="0" distL="114300" distR="114300" simplePos="0" relativeHeight="251660288" behindDoc="1" locked="0" layoutInCell="1" allowOverlap="1" wp14:anchorId="5D27055F" wp14:editId="0D7D79E5">
                <wp:simplePos x="0" y="0"/>
                <wp:positionH relativeFrom="margin">
                  <wp:align>right</wp:align>
                </wp:positionH>
                <wp:positionV relativeFrom="paragraph">
                  <wp:posOffset>151765</wp:posOffset>
                </wp:positionV>
                <wp:extent cx="5514975" cy="1095375"/>
                <wp:effectExtent l="0" t="0" r="28575" b="28575"/>
                <wp:wrapNone/>
                <wp:docPr id="755270288" name="Rectangl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4975" cy="10953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89B86A" id="Rectangle 1" o:spid="_x0000_s1026" style="position:absolute;margin-left:383.05pt;margin-top:11.95pt;width:434.25pt;height:86.25pt;z-index:-2516561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gUZFZDQIAABcEAAAOAAAAZHJzL2Uyb0RvYy54bWysU9tu2zAMfR+wfxD0vtjO4rUx4hSFswwD ugvQ7QMUWbaFyaJGKXGyrx8tp2l2eRrmB4E0qUPy8Gh1d+wNOyj0GmzJs1nKmbISam3bkn/9sn11 y5kPwtbCgFUlPynP79YvX6wGV6g5dGBqhYxArC8GV/IuBFckiZed6oWfgVOWgg1gLwK52CY1ioHQ e5PM0/RNMgDWDkEq7+nvZgrydcRvGiXDp6bxKjBTcuotxBPjuRvPZL0SRYvCdVqe2xD/0EUvtKWi F6iNCILtUf8B1WuJ4KEJMwl9Ak2jpYoz0DRZ+ts0j51wKs5C5Hh3ocn/P1j58fDoPuPYuncPIL95 ZqHqhG3VPSIMnRI1lctGopLB+eJyYXQ8XWW74QPUtFqxDxA5ODbYj4A0HTtGqk8XqtUxMEk/8zxb LG9yziTFsnSZvyZnrCGKp+sOfXinoGejUXKkXUZ4cXjwYUp9Sontg9H1VhsTHWx3lUF2ELT3altt qs0Z3V+nGcuGki/zeR6Rf4n5a4g0fn+D6HUgARvdl/z2kiSKkbe3to7yCkKbyabpjD0TOXI3ytQX O6hPxCPCpE56TWR0gD84G0iZJfff9wIVZ+a9pV0ss8VilHJ0FvnNnBy8juyuI8JKgip54GwyqzDJ f+9Qtx1VyuLsFu5pf42OzD53dW6W1Bd3c34po7yv/Zj1/J7XPwEAAP//AwBQSwMEFAAGAAgAAAAh AGEAizPcAAAABwEAAA8AAABkcnMvZG93bnJldi54bWxMj0FPg0AUhO8m/ofNM/FmF6sSiixNbdKY eFLw4m2BV6Cybwn72uK/93myx8lMZr7J1rMb1Amn0HsycL+IQCHVvumpNfBZ7u4SUIEtNXbwhAZ+ MMA6v77KbNr4M33gqeBWSQmF1BromMdU61B36GxY+BFJvL2fnGWRU6ubyZ6l3A16GUWxdrYnWejs iNsO6+/i6AyUmxjLsfra4fvby2t/4C1XtjDm9mbePINinPk/DH/4gg65MFX+SE1QgwE5wgaWDytQ 4iZx8gSqktgqfgSdZ/qSP/8FAAD//wMAUEsBAi0AFAAGAAgAAAAhALaDOJL+AAAA4QEAABMAAAAA AAAAAAAAAAAAAAAAAFtDb250ZW50X1R5cGVzXS54bWxQSwECLQAUAAYACAAAACEAOP0h/9YAAACU AQAACwAAAAAAAAAAAAAAAAAvAQAAX3JlbHMvLnJlbHNQSwECLQAUAAYACAAAACEA4FGRWQ0CAAAX BAAADgAAAAAAAAAAAAAAAAAuAgAAZHJzL2Uyb0RvYy54bWxQSwECLQAUAAYACAAAACEAYQCLM9wA AAAHAQAADwAAAAAAAAAAAAAAAABnBAAAZHJzL2Rvd25yZXYueG1sUEsFBgAAAAAEAAQA8wAAAHAF AAAAAA== " fillcolor="#cfcdcd">
                <w10:wrap anchorx="margin"/>
              </v:rect>
            </w:pict>
          </mc:Fallback>
        </mc:AlternateContent>
      </w:r>
    </w:p>
    <w:p w14:paraId="4C1CF184" w14:textId="77777777" w:rsidR="009F23E1" w:rsidRPr="009F23E1" w:rsidRDefault="009F23E1" w:rsidP="00A07209">
      <w:pPr>
        <w:numPr>
          <w:ilvl w:val="2"/>
          <w:numId w:val="134"/>
        </w:numPr>
        <w:tabs>
          <w:tab w:val="num" w:pos="1080"/>
        </w:tabs>
        <w:spacing w:after="60" w:line="240" w:lineRule="auto"/>
        <w:ind w:left="1080" w:hanging="360"/>
      </w:pPr>
      <w:r>
        <w:t xml:space="preserve">Research approved under the Final Rule, must undergo continuing review if one or more of the following is true: </w:t>
      </w:r>
    </w:p>
    <w:p w14:paraId="0D6A3D55" w14:textId="77777777" w:rsidR="009F23E1" w:rsidRPr="009F23E1" w:rsidRDefault="009F23E1" w:rsidP="00A07209">
      <w:pPr>
        <w:numPr>
          <w:ilvl w:val="3"/>
          <w:numId w:val="134"/>
        </w:numPr>
        <w:spacing w:after="60" w:line="240" w:lineRule="auto"/>
      </w:pPr>
      <w:r>
        <w:t>FDA-regulated</w:t>
      </w:r>
    </w:p>
    <w:p w14:paraId="3FBF9A54" w14:textId="77777777" w:rsidR="009F23E1" w:rsidRPr="009F23E1" w:rsidRDefault="009F23E1" w:rsidP="00A07209">
      <w:pPr>
        <w:numPr>
          <w:ilvl w:val="3"/>
          <w:numId w:val="134"/>
        </w:numPr>
        <w:spacing w:after="60" w:line="240" w:lineRule="auto"/>
      </w:pPr>
      <w:r>
        <w:t xml:space="preserve">Greater than minimal risk </w:t>
      </w:r>
    </w:p>
    <w:p w14:paraId="3490680D" w14:textId="77777777" w:rsidR="009F23E1" w:rsidRPr="009F23E1" w:rsidRDefault="009F23E1" w:rsidP="00A07209">
      <w:pPr>
        <w:numPr>
          <w:ilvl w:val="3"/>
          <w:numId w:val="134"/>
        </w:numPr>
        <w:spacing w:after="0" w:line="240" w:lineRule="auto"/>
      </w:pPr>
      <w:r>
        <w:t xml:space="preserve">Remains active and involves human subjects interventions </w:t>
      </w:r>
    </w:p>
    <w:p w14:paraId="22F484E7" w14:textId="77777777" w:rsidR="009F23E1" w:rsidRPr="009F23E1" w:rsidRDefault="009F23E1" w:rsidP="009F23E1">
      <w:pPr>
        <w:spacing w:after="0" w:line="240" w:lineRule="auto"/>
      </w:pPr>
    </w:p>
    <w:p w14:paraId="199B6504" w14:textId="77777777" w:rsidR="009F23E1" w:rsidRPr="009F23E1" w:rsidRDefault="009F23E1" w:rsidP="00A07209">
      <w:pPr>
        <w:numPr>
          <w:ilvl w:val="2"/>
          <w:numId w:val="134"/>
        </w:numPr>
        <w:tabs>
          <w:tab w:val="num" w:pos="1080"/>
        </w:tabs>
        <w:spacing w:after="60" w:line="240" w:lineRule="auto"/>
        <w:ind w:left="1080" w:hanging="360"/>
      </w:pPr>
      <w:r>
        <w:t>Under certain conditions, continuing review of research previously approved by the convened IRB may receive expedited or administrative review in accordance with HRPP policy [</w:t>
      </w:r>
      <w:hyperlink r:id="rId146" w:history="1">
        <w:r>
          <w:rPr>
            <w:color w:val="0000FF"/>
            <w:u w:val="single"/>
          </w:rPr>
          <w:t>Expedited and Administrative Review Procedures</w:t>
        </w:r>
      </w:hyperlink>
      <w:r>
        <w:t>].</w:t>
      </w:r>
    </w:p>
    <w:p w14:paraId="797F0EC9" w14:textId="77777777" w:rsidR="009F23E1" w:rsidRPr="009F23E1" w:rsidRDefault="009F23E1" w:rsidP="009F23E1">
      <w:pPr>
        <w:spacing w:after="60" w:line="240" w:lineRule="auto"/>
        <w:ind w:left="1080"/>
      </w:pPr>
    </w:p>
    <w:p w14:paraId="1A672809" w14:textId="77777777" w:rsidR="009F23E1" w:rsidRPr="009F23E1" w:rsidRDefault="009F23E1" w:rsidP="00A07209">
      <w:pPr>
        <w:numPr>
          <w:ilvl w:val="2"/>
          <w:numId w:val="134"/>
        </w:numPr>
        <w:tabs>
          <w:tab w:val="num" w:pos="1080"/>
        </w:tabs>
        <w:spacing w:after="60" w:line="240" w:lineRule="auto"/>
        <w:ind w:left="1080" w:hanging="360"/>
      </w:pPr>
      <w:r>
        <w:t>All IRB members are responsible for reviewing the submitted materials in enough depth to be familiar with and prepared to discuss the information at the convened meeting. All IRB members will receive and review the following materials:</w:t>
      </w:r>
    </w:p>
    <w:p w14:paraId="0277B438" w14:textId="77777777" w:rsidR="009F23E1" w:rsidRPr="009F23E1" w:rsidRDefault="009F23E1" w:rsidP="00A07209">
      <w:pPr>
        <w:numPr>
          <w:ilvl w:val="0"/>
          <w:numId w:val="125"/>
        </w:numPr>
        <w:tabs>
          <w:tab w:val="num" w:pos="1800"/>
        </w:tabs>
        <w:spacing w:after="0" w:line="240" w:lineRule="auto"/>
        <w:ind w:left="1800"/>
      </w:pPr>
      <w:r>
        <w:t>Buck-IRB continuing review application, including:</w:t>
      </w:r>
    </w:p>
    <w:p w14:paraId="45497EBE" w14:textId="77777777" w:rsidR="009F23E1" w:rsidRPr="009F23E1" w:rsidRDefault="009F23E1" w:rsidP="00A07209">
      <w:pPr>
        <w:numPr>
          <w:ilvl w:val="0"/>
          <w:numId w:val="137"/>
        </w:numPr>
        <w:tabs>
          <w:tab w:val="left" w:pos="2520"/>
        </w:tabs>
        <w:spacing w:after="0" w:line="240" w:lineRule="auto"/>
        <w:ind w:left="2520"/>
      </w:pPr>
      <w:r>
        <w:t>Protocol summary</w:t>
      </w:r>
    </w:p>
    <w:p w14:paraId="2F9013EC" w14:textId="77777777" w:rsidR="009F23E1" w:rsidRPr="009F23E1" w:rsidRDefault="009F23E1" w:rsidP="00A07209">
      <w:pPr>
        <w:numPr>
          <w:ilvl w:val="0"/>
          <w:numId w:val="137"/>
        </w:numPr>
        <w:tabs>
          <w:tab w:val="left" w:pos="2520"/>
        </w:tabs>
        <w:spacing w:after="60" w:line="240" w:lineRule="auto"/>
        <w:ind w:left="2520"/>
      </w:pPr>
      <w:r>
        <w:t>Status report on the progress of the research</w:t>
      </w:r>
    </w:p>
    <w:p w14:paraId="4559077F" w14:textId="77777777" w:rsidR="009F23E1" w:rsidRPr="009F23E1" w:rsidRDefault="009F23E1" w:rsidP="00A07209">
      <w:pPr>
        <w:numPr>
          <w:ilvl w:val="0"/>
          <w:numId w:val="125"/>
        </w:numPr>
        <w:tabs>
          <w:tab w:val="num" w:pos="1800"/>
        </w:tabs>
        <w:spacing w:after="60" w:line="240" w:lineRule="auto"/>
        <w:ind w:left="1800"/>
      </w:pPr>
      <w:r>
        <w:t>Current informed consent document</w:t>
      </w:r>
    </w:p>
    <w:p w14:paraId="038166E9" w14:textId="77777777" w:rsidR="009F23E1" w:rsidRPr="009F23E1" w:rsidRDefault="009F23E1" w:rsidP="00A07209">
      <w:pPr>
        <w:numPr>
          <w:ilvl w:val="0"/>
          <w:numId w:val="125"/>
        </w:numPr>
        <w:tabs>
          <w:tab w:val="num" w:pos="1800"/>
        </w:tabs>
        <w:spacing w:after="60" w:line="240" w:lineRule="auto"/>
        <w:ind w:left="1800"/>
      </w:pPr>
      <w:r>
        <w:t>Recruitment materials (if still in use), including advertisements intended to be seen or heard by potential participants</w:t>
      </w:r>
    </w:p>
    <w:p w14:paraId="1655AEF8" w14:textId="77777777" w:rsidR="009F23E1" w:rsidRPr="009F23E1" w:rsidRDefault="009F23E1" w:rsidP="00A07209">
      <w:pPr>
        <w:numPr>
          <w:ilvl w:val="0"/>
          <w:numId w:val="125"/>
        </w:numPr>
        <w:tabs>
          <w:tab w:val="num" w:pos="1800"/>
        </w:tabs>
        <w:spacing w:after="60" w:line="240" w:lineRule="auto"/>
        <w:ind w:left="1800"/>
      </w:pPr>
      <w:r>
        <w:t>Study instruments (if still in use) such as questionnaires, surveys, etc.</w:t>
      </w:r>
    </w:p>
    <w:p w14:paraId="70262E04" w14:textId="77777777" w:rsidR="009F23E1" w:rsidRPr="009F23E1" w:rsidRDefault="009F23E1" w:rsidP="00A07209">
      <w:pPr>
        <w:numPr>
          <w:ilvl w:val="0"/>
          <w:numId w:val="125"/>
        </w:numPr>
        <w:tabs>
          <w:tab w:val="num" w:pos="1800"/>
        </w:tabs>
        <w:spacing w:after="60" w:line="240" w:lineRule="auto"/>
        <w:ind w:left="1800"/>
      </w:pPr>
      <w:r>
        <w:t>Relevant multi-center trial reports</w:t>
      </w:r>
    </w:p>
    <w:p w14:paraId="03C04C10" w14:textId="77777777" w:rsidR="009F23E1" w:rsidRPr="009F23E1" w:rsidRDefault="009F23E1" w:rsidP="00A07209">
      <w:pPr>
        <w:numPr>
          <w:ilvl w:val="0"/>
          <w:numId w:val="125"/>
        </w:numPr>
        <w:tabs>
          <w:tab w:val="num" w:pos="1800"/>
        </w:tabs>
        <w:spacing w:after="60" w:line="240" w:lineRule="auto"/>
        <w:ind w:left="1800"/>
      </w:pPr>
      <w:r>
        <w:t xml:space="preserve">Data and safety monitoring reports (as applicable) </w:t>
      </w:r>
    </w:p>
    <w:p w14:paraId="0332B7FD" w14:textId="77777777" w:rsidR="009F23E1" w:rsidRPr="009F23E1" w:rsidRDefault="009F23E1" w:rsidP="00A07209">
      <w:pPr>
        <w:numPr>
          <w:ilvl w:val="0"/>
          <w:numId w:val="125"/>
        </w:numPr>
        <w:tabs>
          <w:tab w:val="num" w:pos="1800"/>
        </w:tabs>
        <w:spacing w:after="60" w:line="240" w:lineRule="auto"/>
        <w:ind w:left="1800"/>
      </w:pPr>
      <w:r>
        <w:t>Any interim findings</w:t>
      </w:r>
    </w:p>
    <w:p w14:paraId="4BC924E6" w14:textId="77777777" w:rsidR="009F23E1" w:rsidRPr="009F23E1" w:rsidRDefault="009F23E1" w:rsidP="00A07209">
      <w:pPr>
        <w:numPr>
          <w:ilvl w:val="0"/>
          <w:numId w:val="125"/>
        </w:numPr>
        <w:tabs>
          <w:tab w:val="num" w:pos="1800"/>
        </w:tabs>
        <w:spacing w:after="60" w:line="240" w:lineRule="auto"/>
        <w:ind w:left="1800"/>
      </w:pPr>
      <w:r>
        <w:t>Any other relevant information or recent literature, especially information about risks associated with the research</w:t>
      </w:r>
    </w:p>
    <w:p w14:paraId="7E996A0A" w14:textId="77777777" w:rsidR="009F23E1" w:rsidRPr="009F23E1" w:rsidRDefault="009F23E1" w:rsidP="00A07209">
      <w:pPr>
        <w:numPr>
          <w:ilvl w:val="0"/>
          <w:numId w:val="125"/>
        </w:numPr>
        <w:tabs>
          <w:tab w:val="num" w:pos="1800"/>
        </w:tabs>
        <w:spacing w:after="60" w:line="240" w:lineRule="auto"/>
        <w:ind w:left="1800"/>
      </w:pPr>
      <w:r>
        <w:t>Summary of participant benefits</w:t>
      </w:r>
    </w:p>
    <w:p w14:paraId="5E85F459" w14:textId="77777777" w:rsidR="009F23E1" w:rsidRPr="009F23E1" w:rsidRDefault="009F23E1" w:rsidP="00A07209">
      <w:pPr>
        <w:numPr>
          <w:ilvl w:val="0"/>
          <w:numId w:val="125"/>
        </w:numPr>
        <w:tabs>
          <w:tab w:val="num" w:pos="1800"/>
        </w:tabs>
        <w:spacing w:after="120" w:line="240" w:lineRule="auto"/>
        <w:ind w:left="1800"/>
      </w:pPr>
      <w:r>
        <w:t>Current risk-benefit assessment based upon study results</w:t>
      </w:r>
    </w:p>
    <w:p w14:paraId="53FBD7C4" w14:textId="77777777" w:rsidR="009F23E1" w:rsidRPr="009F23E1" w:rsidRDefault="009F23E1" w:rsidP="009F23E1">
      <w:pPr>
        <w:spacing w:after="60" w:line="240" w:lineRule="auto"/>
        <w:ind w:left="1080"/>
      </w:pPr>
      <w:r>
        <w:t>In addition to the materials above, the primary reviewers are also responsible for providing an in-depth review of the following:</w:t>
      </w:r>
    </w:p>
    <w:p w14:paraId="7F916772" w14:textId="77777777" w:rsidR="009F23E1" w:rsidRPr="009F23E1" w:rsidRDefault="009F23E1" w:rsidP="00A07209">
      <w:pPr>
        <w:numPr>
          <w:ilvl w:val="0"/>
          <w:numId w:val="126"/>
        </w:numPr>
        <w:tabs>
          <w:tab w:val="num" w:pos="1800"/>
        </w:tabs>
        <w:spacing w:after="60" w:line="240" w:lineRule="auto"/>
        <w:ind w:left="1800"/>
      </w:pPr>
      <w:r>
        <w:t xml:space="preserve">Complete research protocol (including any amendments previously approved) </w:t>
      </w:r>
    </w:p>
    <w:p w14:paraId="083A7A2D" w14:textId="77777777" w:rsidR="009F23E1" w:rsidRPr="009F23E1" w:rsidRDefault="009F23E1" w:rsidP="00A07209">
      <w:pPr>
        <w:numPr>
          <w:ilvl w:val="4"/>
          <w:numId w:val="118"/>
        </w:numPr>
        <w:tabs>
          <w:tab w:val="num" w:pos="1800"/>
        </w:tabs>
        <w:spacing w:after="60" w:line="240" w:lineRule="auto"/>
        <w:ind w:left="1800"/>
      </w:pPr>
      <w:r>
        <w:t>Investigator’s brochure, as applicable</w:t>
      </w:r>
    </w:p>
    <w:p w14:paraId="466DCA44" w14:textId="77777777" w:rsidR="009F23E1" w:rsidRPr="009F23E1" w:rsidRDefault="009F23E1" w:rsidP="00A07209">
      <w:pPr>
        <w:numPr>
          <w:ilvl w:val="0"/>
          <w:numId w:val="126"/>
        </w:numPr>
        <w:tabs>
          <w:tab w:val="num" w:pos="1800"/>
        </w:tabs>
        <w:spacing w:after="60" w:line="240" w:lineRule="auto"/>
        <w:ind w:left="1800"/>
      </w:pPr>
      <w:r>
        <w:t>Questionnaires, when longer or more detailed than those normally reviewed by all IRB members</w:t>
      </w:r>
    </w:p>
    <w:p w14:paraId="7CF57C33" w14:textId="77777777" w:rsidR="009F23E1" w:rsidRPr="009F23E1" w:rsidRDefault="009F23E1" w:rsidP="00A07209">
      <w:pPr>
        <w:numPr>
          <w:ilvl w:val="0"/>
          <w:numId w:val="126"/>
        </w:numPr>
        <w:tabs>
          <w:tab w:val="num" w:pos="1800"/>
        </w:tabs>
        <w:spacing w:after="60" w:line="240" w:lineRule="auto"/>
        <w:ind w:left="1800"/>
      </w:pPr>
      <w:r>
        <w:t>Relevant grant application or funding proposal, as applicable</w:t>
      </w:r>
    </w:p>
    <w:p w14:paraId="70AAA723" w14:textId="77777777" w:rsidR="009F23E1" w:rsidRPr="009F23E1" w:rsidRDefault="009F23E1" w:rsidP="00A07209">
      <w:pPr>
        <w:numPr>
          <w:ilvl w:val="0"/>
          <w:numId w:val="126"/>
        </w:numPr>
        <w:tabs>
          <w:tab w:val="num" w:pos="1800"/>
        </w:tabs>
        <w:spacing w:after="120" w:line="240" w:lineRule="auto"/>
        <w:ind w:left="1800"/>
      </w:pPr>
      <w:r>
        <w:t>All other information provided by the investigator</w:t>
      </w:r>
    </w:p>
    <w:p w14:paraId="5DDAD83C" w14:textId="77777777" w:rsidR="009F23E1" w:rsidRPr="009F23E1" w:rsidRDefault="009F23E1" w:rsidP="009F23E1">
      <w:pPr>
        <w:spacing w:after="60" w:line="240" w:lineRule="auto"/>
        <w:ind w:left="1080"/>
      </w:pPr>
      <w:r>
        <w:lastRenderedPageBreak/>
        <w:t>If the research is a DHHS-supported multi-center clinical trial, the primary reviewers also receive a copy of the following:</w:t>
      </w:r>
    </w:p>
    <w:p w14:paraId="2FA64CA4" w14:textId="77777777" w:rsidR="009F23E1" w:rsidRPr="009F23E1" w:rsidRDefault="009F23E1" w:rsidP="00A07209">
      <w:pPr>
        <w:numPr>
          <w:ilvl w:val="0"/>
          <w:numId w:val="127"/>
        </w:numPr>
        <w:tabs>
          <w:tab w:val="num" w:pos="1800"/>
        </w:tabs>
        <w:spacing w:after="60" w:line="240" w:lineRule="auto"/>
        <w:ind w:left="1800"/>
      </w:pPr>
      <w:r>
        <w:t>DHHS-approved sample informed consent document (when one exists)</w:t>
      </w:r>
    </w:p>
    <w:p w14:paraId="19D6F710" w14:textId="77777777" w:rsidR="009F23E1" w:rsidRPr="009F23E1" w:rsidRDefault="009F23E1" w:rsidP="00A07209">
      <w:pPr>
        <w:numPr>
          <w:ilvl w:val="0"/>
          <w:numId w:val="127"/>
        </w:numPr>
        <w:tabs>
          <w:tab w:val="num" w:pos="1800"/>
        </w:tabs>
        <w:spacing w:after="0" w:line="240" w:lineRule="auto"/>
        <w:ind w:left="1800"/>
      </w:pPr>
      <w:r>
        <w:t>Complete DHHS-approved protocol (when one exists)</w:t>
      </w:r>
    </w:p>
    <w:p w14:paraId="66D0DF3A" w14:textId="77777777" w:rsidR="009F23E1" w:rsidRPr="009F23E1" w:rsidRDefault="009F23E1" w:rsidP="009F23E1">
      <w:pPr>
        <w:spacing w:after="0" w:line="240" w:lineRule="auto"/>
      </w:pPr>
    </w:p>
    <w:p w14:paraId="761099AC" w14:textId="77777777" w:rsidR="009F23E1" w:rsidRPr="009F23E1" w:rsidRDefault="009F23E1" w:rsidP="00A07209">
      <w:pPr>
        <w:numPr>
          <w:ilvl w:val="2"/>
          <w:numId w:val="132"/>
        </w:numPr>
        <w:tabs>
          <w:tab w:val="num" w:pos="1080"/>
        </w:tabs>
        <w:spacing w:after="0" w:line="240" w:lineRule="auto"/>
        <w:ind w:left="1080"/>
      </w:pPr>
      <w:r>
        <w:t>Any IRB member can access the complete IRB file for review upon request to ORRP staff, prior to or during the convened meeting.</w:t>
      </w:r>
    </w:p>
    <w:p w14:paraId="75E44102" w14:textId="77777777" w:rsidR="009F23E1" w:rsidRPr="009F23E1" w:rsidRDefault="009F23E1" w:rsidP="009F23E1">
      <w:pPr>
        <w:spacing w:after="0" w:line="240" w:lineRule="auto"/>
        <w:ind w:left="720"/>
      </w:pPr>
    </w:p>
    <w:p w14:paraId="509EEEB9" w14:textId="77777777" w:rsidR="009F23E1" w:rsidRPr="009F23E1" w:rsidRDefault="009F23E1" w:rsidP="00A07209">
      <w:pPr>
        <w:numPr>
          <w:ilvl w:val="2"/>
          <w:numId w:val="132"/>
        </w:numPr>
        <w:tabs>
          <w:tab w:val="num" w:pos="1080"/>
        </w:tabs>
        <w:spacing w:after="60" w:line="240" w:lineRule="auto"/>
        <w:ind w:left="1080"/>
      </w:pPr>
      <w:r>
        <w:t>The primary reviewers are responsible for presenting findings regarding the submission and leading the discussion at convened IRB meetings. Additionally, all IRB members are responsible for the following:</w:t>
      </w:r>
    </w:p>
    <w:p w14:paraId="7C3918ED"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47" w:history="1">
        <w:r>
          <w:rPr>
            <w:color w:val="0000FF"/>
            <w:u w:val="single"/>
          </w:rPr>
          <w:t>IRB Member and Consultant Conflict of Interest</w:t>
        </w:r>
      </w:hyperlink>
      <w:r>
        <w:t>]</w:t>
      </w:r>
    </w:p>
    <w:p w14:paraId="357E479D"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488E3444"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1277F391" w14:textId="77777777" w:rsidR="009F23E1" w:rsidRPr="009F23E1" w:rsidRDefault="009F23E1" w:rsidP="009F23E1">
      <w:pPr>
        <w:spacing w:after="0" w:line="240" w:lineRule="auto"/>
        <w:ind w:left="720"/>
      </w:pPr>
    </w:p>
    <w:p w14:paraId="1EC7B381" w14:textId="77777777" w:rsidR="009F23E1" w:rsidRPr="009F23E1" w:rsidRDefault="009F23E1" w:rsidP="00A07209">
      <w:pPr>
        <w:numPr>
          <w:ilvl w:val="2"/>
          <w:numId w:val="133"/>
        </w:numPr>
        <w:tabs>
          <w:tab w:val="num" w:pos="1080"/>
        </w:tabs>
        <w:spacing w:after="60" w:line="240" w:lineRule="auto"/>
        <w:ind w:left="1080" w:hanging="360"/>
      </w:pPr>
      <w:r>
        <w:t>As with initial review, the IRBs must determine that the regulatory criteria for approval are met. Additionally, during continuing review the IRBs must also find the following:</w:t>
      </w:r>
    </w:p>
    <w:p w14:paraId="6E3E2DAF" w14:textId="77777777" w:rsidR="009F23E1" w:rsidRPr="009F23E1" w:rsidRDefault="009F23E1" w:rsidP="00A07209">
      <w:pPr>
        <w:numPr>
          <w:ilvl w:val="2"/>
          <w:numId w:val="128"/>
        </w:numPr>
        <w:tabs>
          <w:tab w:val="left" w:pos="-1440"/>
          <w:tab w:val="num" w:pos="1800"/>
        </w:tabs>
        <w:spacing w:after="60" w:line="240" w:lineRule="auto"/>
        <w:ind w:left="1800"/>
      </w:pPr>
      <w:r>
        <w:t>The informed consent document is accurate and complete.</w:t>
      </w:r>
    </w:p>
    <w:p w14:paraId="626B79E6" w14:textId="77777777" w:rsidR="009F23E1" w:rsidRPr="009F23E1" w:rsidRDefault="009F23E1" w:rsidP="00A07209">
      <w:pPr>
        <w:numPr>
          <w:ilvl w:val="2"/>
          <w:numId w:val="128"/>
        </w:numPr>
        <w:tabs>
          <w:tab w:val="left" w:pos="-1440"/>
          <w:tab w:val="num" w:pos="1800"/>
        </w:tabs>
        <w:spacing w:after="60" w:line="240" w:lineRule="auto"/>
        <w:ind w:left="1800"/>
      </w:pPr>
      <w:r>
        <w:t>No material changes have occurred since the previous IRB review.</w:t>
      </w:r>
    </w:p>
    <w:p w14:paraId="503058FA" w14:textId="77777777" w:rsidR="009F23E1" w:rsidRPr="009F23E1" w:rsidRDefault="009F23E1" w:rsidP="00A07209">
      <w:pPr>
        <w:numPr>
          <w:ilvl w:val="2"/>
          <w:numId w:val="128"/>
        </w:numPr>
        <w:tabs>
          <w:tab w:val="left" w:pos="-1440"/>
          <w:tab w:val="num" w:pos="1800"/>
        </w:tabs>
        <w:spacing w:after="0" w:line="240" w:lineRule="auto"/>
        <w:ind w:left="1800"/>
      </w:pPr>
      <w:r>
        <w:t>Significant new findings that may relate to a participant’s willingness to continue taking part in the research are provided.</w:t>
      </w:r>
    </w:p>
    <w:p w14:paraId="69D2424A" w14:textId="77777777" w:rsidR="009F23E1" w:rsidRPr="009F23E1" w:rsidRDefault="009F23E1" w:rsidP="009F23E1">
      <w:pPr>
        <w:tabs>
          <w:tab w:val="left" w:pos="-1440"/>
        </w:tabs>
        <w:spacing w:after="0" w:line="240" w:lineRule="auto"/>
        <w:ind w:left="360"/>
      </w:pPr>
    </w:p>
    <w:p w14:paraId="4245F80F" w14:textId="77777777" w:rsidR="009F23E1" w:rsidRPr="009F23E1" w:rsidRDefault="009F23E1" w:rsidP="00A07209">
      <w:pPr>
        <w:numPr>
          <w:ilvl w:val="2"/>
          <w:numId w:val="135"/>
        </w:numPr>
        <w:tabs>
          <w:tab w:val="left" w:pos="-1440"/>
          <w:tab w:val="num" w:pos="1080"/>
        </w:tabs>
        <w:spacing w:after="60" w:line="240" w:lineRule="auto"/>
        <w:ind w:left="1080" w:hanging="360"/>
      </w:pPr>
      <w:r>
        <w:t>The IRBs will consider obtaining verification from sources other than the investigator(s) that no material changes have occurred since previous IRB review in the following situations:</w:t>
      </w:r>
    </w:p>
    <w:p w14:paraId="114A35DD" w14:textId="77777777" w:rsidR="009F23E1" w:rsidRPr="009F23E1" w:rsidRDefault="009F23E1" w:rsidP="00A07209">
      <w:pPr>
        <w:numPr>
          <w:ilvl w:val="3"/>
          <w:numId w:val="138"/>
        </w:numPr>
        <w:tabs>
          <w:tab w:val="left" w:pos="-1440"/>
        </w:tabs>
        <w:spacing w:after="60" w:line="240" w:lineRule="auto"/>
      </w:pPr>
      <w:r>
        <w:t>Numerous protocol deviations or violations reported</w:t>
      </w:r>
    </w:p>
    <w:p w14:paraId="67010DAA" w14:textId="77777777" w:rsidR="009F23E1" w:rsidRPr="009F23E1" w:rsidRDefault="009F23E1" w:rsidP="00A07209">
      <w:pPr>
        <w:numPr>
          <w:ilvl w:val="3"/>
          <w:numId w:val="138"/>
        </w:numPr>
        <w:tabs>
          <w:tab w:val="left" w:pos="-1440"/>
        </w:tabs>
        <w:spacing w:after="60" w:line="240" w:lineRule="auto"/>
      </w:pPr>
      <w:r>
        <w:t>Inconsistent information/documentation submitted for continuing review</w:t>
      </w:r>
    </w:p>
    <w:p w14:paraId="2E761D4F" w14:textId="77777777" w:rsidR="009F23E1" w:rsidRPr="009F23E1" w:rsidRDefault="009F23E1" w:rsidP="00A07209">
      <w:pPr>
        <w:numPr>
          <w:ilvl w:val="3"/>
          <w:numId w:val="138"/>
        </w:numPr>
        <w:tabs>
          <w:tab w:val="left" w:pos="-1440"/>
        </w:tabs>
        <w:spacing w:after="60" w:line="240" w:lineRule="auto"/>
      </w:pPr>
      <w:r>
        <w:t>Previous investigator noncompliance involving changes without IRB approval</w:t>
      </w:r>
    </w:p>
    <w:p w14:paraId="044F1E6B" w14:textId="77777777" w:rsidR="009F23E1" w:rsidRPr="009F23E1" w:rsidRDefault="009F23E1" w:rsidP="00A07209">
      <w:pPr>
        <w:numPr>
          <w:ilvl w:val="3"/>
          <w:numId w:val="138"/>
        </w:numPr>
        <w:tabs>
          <w:tab w:val="left" w:pos="-1440"/>
        </w:tabs>
        <w:spacing w:after="0" w:line="240" w:lineRule="auto"/>
      </w:pPr>
      <w:r>
        <w:t>Complaint from research personnel or participant(s)</w:t>
      </w:r>
    </w:p>
    <w:p w14:paraId="6A4EA39E" w14:textId="77777777" w:rsidR="009F23E1" w:rsidRPr="009F23E1" w:rsidRDefault="009F23E1" w:rsidP="009F23E1">
      <w:pPr>
        <w:tabs>
          <w:tab w:val="left" w:pos="-1440"/>
        </w:tabs>
        <w:spacing w:after="0" w:line="240" w:lineRule="auto"/>
        <w:ind w:left="360"/>
      </w:pPr>
    </w:p>
    <w:p w14:paraId="65E7DFCE" w14:textId="77777777" w:rsidR="009F23E1" w:rsidRPr="009F23E1" w:rsidRDefault="009F23E1" w:rsidP="00A07209">
      <w:pPr>
        <w:numPr>
          <w:ilvl w:val="2"/>
          <w:numId w:val="135"/>
        </w:numPr>
        <w:tabs>
          <w:tab w:val="left" w:pos="-1440"/>
          <w:tab w:val="num" w:pos="1080"/>
        </w:tabs>
        <w:spacing w:after="0" w:line="240" w:lineRule="auto"/>
        <w:ind w:left="1080" w:hanging="360"/>
      </w:pPr>
      <w:r>
        <w:t>Reviewers will document their review and assessment of the research by completing an</w:t>
      </w:r>
      <w:r>
        <w:rPr>
          <w:b/>
        </w:rPr>
        <w:t xml:space="preserve"> </w:t>
      </w:r>
      <w:r>
        <w:rPr>
          <w:i/>
        </w:rPr>
        <w:t xml:space="preserve">IRB Reviewer Sheet </w:t>
      </w:r>
      <w:r>
        <w:t>and submitting it via secure website or in person to an ORRP staff member at the conclusion of the convened IRB meeting.</w:t>
      </w:r>
    </w:p>
    <w:p w14:paraId="0B81C1E6" w14:textId="77777777" w:rsidR="009F23E1" w:rsidRPr="009F23E1" w:rsidRDefault="009F23E1" w:rsidP="009F23E1">
      <w:pPr>
        <w:tabs>
          <w:tab w:val="left" w:pos="-1440"/>
        </w:tabs>
        <w:spacing w:after="0" w:line="240" w:lineRule="auto"/>
        <w:ind w:left="720"/>
      </w:pPr>
    </w:p>
    <w:p w14:paraId="0BF842CA" w14:textId="77777777" w:rsidR="009F23E1" w:rsidRPr="009F23E1" w:rsidRDefault="009F23E1" w:rsidP="00A07209">
      <w:pPr>
        <w:numPr>
          <w:ilvl w:val="2"/>
          <w:numId w:val="135"/>
        </w:numPr>
        <w:tabs>
          <w:tab w:val="left" w:pos="-1440"/>
          <w:tab w:val="num" w:pos="1080"/>
        </w:tabs>
        <w:spacing w:after="60" w:line="240" w:lineRule="auto"/>
        <w:ind w:left="1080" w:hanging="360"/>
      </w:pPr>
      <w:r>
        <w:t>If an investigator fails to provide continuing review information to the IRB, or the IRB has not reviewed and approved a protocol by the expiration date:</w:t>
      </w:r>
    </w:p>
    <w:p w14:paraId="4E26F5A1" w14:textId="77777777" w:rsidR="009F23E1" w:rsidRPr="009F23E1" w:rsidRDefault="009F23E1" w:rsidP="00A07209">
      <w:pPr>
        <w:numPr>
          <w:ilvl w:val="2"/>
          <w:numId w:val="116"/>
        </w:numPr>
        <w:tabs>
          <w:tab w:val="left" w:pos="1800"/>
        </w:tabs>
        <w:spacing w:after="60" w:line="240" w:lineRule="auto"/>
        <w:ind w:left="1800"/>
      </w:pPr>
      <w:r>
        <w:t>The investigator is notified immediately of the study expiration, and research activities must stop, including recruitment, enrollment, interventions, interactions, and data analysis.</w:t>
      </w:r>
    </w:p>
    <w:p w14:paraId="47AA0ECF" w14:textId="77777777" w:rsidR="009F23E1" w:rsidRPr="009F23E1" w:rsidRDefault="009F23E1" w:rsidP="00A07209">
      <w:pPr>
        <w:numPr>
          <w:ilvl w:val="2"/>
          <w:numId w:val="116"/>
        </w:numPr>
        <w:tabs>
          <w:tab w:val="left" w:pos="1800"/>
        </w:tabs>
        <w:spacing w:after="60" w:line="240" w:lineRule="auto"/>
        <w:ind w:left="1800"/>
      </w:pPr>
      <w:r>
        <w:t>For current participants, investigators who believe it is in the best interest of individual subjects to continue participating in the research interventions or interactions must contact the IRB chair. The chair will determine whether there is an overriding safety concern or ethical issue involved that justifies individual subjects’ continued participation in the research.</w:t>
      </w:r>
    </w:p>
    <w:p w14:paraId="6206F590" w14:textId="77777777" w:rsidR="009F23E1" w:rsidRPr="009F23E1" w:rsidRDefault="009F23E1" w:rsidP="00A07209">
      <w:pPr>
        <w:numPr>
          <w:ilvl w:val="2"/>
          <w:numId w:val="116"/>
        </w:numPr>
        <w:tabs>
          <w:tab w:val="left" w:pos="1800"/>
        </w:tabs>
        <w:spacing w:after="0" w:line="240" w:lineRule="auto"/>
        <w:ind w:left="1800"/>
      </w:pPr>
      <w:r>
        <w:lastRenderedPageBreak/>
        <w:t>The IRB will determine whether the lapse in approval should be evaluated as noncompliance in accordance with HRPP policy [</w:t>
      </w:r>
      <w:hyperlink r:id="rId148" w:history="1">
        <w:r>
          <w:rPr>
            <w:color w:val="0000FF"/>
            <w:u w:val="single"/>
          </w:rPr>
          <w:t>Noncompliance</w:t>
        </w:r>
      </w:hyperlink>
      <w:r>
        <w:t>].</w:t>
      </w:r>
    </w:p>
    <w:p w14:paraId="40077166" w14:textId="77777777" w:rsidR="009F23E1" w:rsidRPr="009F23E1" w:rsidRDefault="009F23E1" w:rsidP="009F23E1">
      <w:pPr>
        <w:spacing w:after="0" w:line="240" w:lineRule="auto"/>
      </w:pPr>
    </w:p>
    <w:p w14:paraId="789638F5" w14:textId="77777777" w:rsidR="009F23E1" w:rsidRPr="009F23E1" w:rsidRDefault="009F23E1" w:rsidP="009F23E1">
      <w:pPr>
        <w:spacing w:after="0" w:line="240" w:lineRule="auto"/>
        <w:ind w:left="734" w:hanging="547"/>
        <w:rPr>
          <w:b/>
        </w:rPr>
      </w:pPr>
      <w:r>
        <w:rPr>
          <w:b/>
        </w:rPr>
        <w:t>4.3</w:t>
      </w:r>
      <w:r>
        <w:rPr>
          <w:b/>
        </w:rPr>
        <w:tab/>
        <w:t>Review of Amendments</w:t>
      </w:r>
    </w:p>
    <w:p w14:paraId="36140637" w14:textId="77777777" w:rsidR="009F23E1" w:rsidRPr="009F23E1" w:rsidRDefault="009F23E1" w:rsidP="009F23E1">
      <w:pPr>
        <w:spacing w:after="0" w:line="240" w:lineRule="auto"/>
        <w:ind w:left="734" w:hanging="547"/>
        <w:rPr>
          <w:b/>
        </w:rPr>
      </w:pPr>
    </w:p>
    <w:p w14:paraId="393F4585" w14:textId="77777777" w:rsidR="009F23E1" w:rsidRPr="009F23E1" w:rsidRDefault="009F23E1" w:rsidP="00A07209">
      <w:pPr>
        <w:numPr>
          <w:ilvl w:val="1"/>
          <w:numId w:val="129"/>
        </w:numPr>
        <w:tabs>
          <w:tab w:val="num" w:pos="1080"/>
        </w:tabs>
        <w:spacing w:after="0" w:line="240" w:lineRule="auto"/>
        <w:ind w:left="1080"/>
      </w:pPr>
      <w:r>
        <w:t>Changes to IRB-approved research may not be initiated without prior IRB review and approval, except when necessary to eliminate apparent immediate hazards to participants. Minor changes to previously approved research can be reviewed by expedited procedures as described in HRPP policy [</w:t>
      </w:r>
      <w:hyperlink r:id="rId149" w:history="1">
        <w:r>
          <w:rPr>
            <w:color w:val="0000FF"/>
            <w:u w:val="single"/>
          </w:rPr>
          <w:t>Expedited and Administrative Review Procedures</w:t>
        </w:r>
      </w:hyperlink>
      <w:r>
        <w:t>]. Changes meeting the definition of “minor changes” are described (with specific examples provided) in HRPP policy [</w:t>
      </w:r>
      <w:hyperlink r:id="rId150" w:history="1">
        <w:r>
          <w:rPr>
            <w:color w:val="0000FF"/>
            <w:u w:val="single"/>
          </w:rPr>
          <w:t>Expedited and Administrative Review Procedures</w:t>
        </w:r>
      </w:hyperlink>
      <w:r>
        <w:t>].</w:t>
      </w:r>
      <w:r>
        <w:br/>
      </w:r>
    </w:p>
    <w:p w14:paraId="4B5ADB7A" w14:textId="77777777" w:rsidR="009F23E1" w:rsidRPr="009F23E1" w:rsidRDefault="009F23E1" w:rsidP="00A07209">
      <w:pPr>
        <w:numPr>
          <w:ilvl w:val="1"/>
          <w:numId w:val="129"/>
        </w:numPr>
        <w:tabs>
          <w:tab w:val="num" w:pos="1080"/>
        </w:tabs>
        <w:spacing w:after="0" w:line="240" w:lineRule="auto"/>
        <w:ind w:left="1080"/>
      </w:pPr>
      <w:r>
        <w:t>Amendments that do not meet the criteria for expedited review must be reviewed by the convened IRB. All IRB members will be provided all modified documents (and any other information supplied by the investigator) and are responsible for reviewing the submitted materials in enough depth to be familiar with and prepared to discuss the information at the convened meeting.</w:t>
      </w:r>
    </w:p>
    <w:p w14:paraId="77A2C131" w14:textId="77777777" w:rsidR="009F23E1" w:rsidRPr="009F23E1" w:rsidRDefault="009F23E1" w:rsidP="009F23E1">
      <w:pPr>
        <w:spacing w:after="0" w:line="240" w:lineRule="auto"/>
        <w:ind w:left="720"/>
      </w:pPr>
    </w:p>
    <w:p w14:paraId="39DA67E4" w14:textId="77777777" w:rsidR="009F23E1" w:rsidRPr="009F23E1" w:rsidRDefault="009F23E1" w:rsidP="00A07209">
      <w:pPr>
        <w:numPr>
          <w:ilvl w:val="1"/>
          <w:numId w:val="129"/>
        </w:numPr>
        <w:tabs>
          <w:tab w:val="num" w:pos="1080"/>
        </w:tabs>
        <w:spacing w:after="0" w:line="240" w:lineRule="auto"/>
        <w:ind w:left="1080"/>
      </w:pPr>
      <w:r>
        <w:t>Any IRB member can access the complete protocol file for review purposes upon request to ORRP staff, prior to or during the convened IRB meeting.</w:t>
      </w:r>
    </w:p>
    <w:p w14:paraId="0AD06FAC" w14:textId="77777777" w:rsidR="009F23E1" w:rsidRPr="009F23E1" w:rsidRDefault="009F23E1" w:rsidP="009F23E1">
      <w:pPr>
        <w:spacing w:after="0" w:line="240" w:lineRule="auto"/>
        <w:ind w:left="720"/>
      </w:pPr>
    </w:p>
    <w:p w14:paraId="7958C4CA" w14:textId="77777777" w:rsidR="009F23E1" w:rsidRPr="009F23E1" w:rsidRDefault="009F23E1" w:rsidP="00A07209">
      <w:pPr>
        <w:numPr>
          <w:ilvl w:val="1"/>
          <w:numId w:val="129"/>
        </w:numPr>
        <w:tabs>
          <w:tab w:val="num" w:pos="1080"/>
        </w:tabs>
        <w:spacing w:after="60" w:line="240" w:lineRule="auto"/>
        <w:ind w:left="1080"/>
      </w:pPr>
      <w:r>
        <w:t>The primary reviewer(s) are responsible for presenting findings regarding the submission and leading the discussion at convened IRB meetings. Additionally, all IRB members are responsible for the following:</w:t>
      </w:r>
    </w:p>
    <w:p w14:paraId="5D827922" w14:textId="77777777" w:rsidR="009F23E1" w:rsidRPr="009F23E1" w:rsidRDefault="009F23E1" w:rsidP="00A07209">
      <w:pPr>
        <w:numPr>
          <w:ilvl w:val="0"/>
          <w:numId w:val="123"/>
        </w:numPr>
        <w:tabs>
          <w:tab w:val="num" w:pos="1800"/>
        </w:tabs>
        <w:spacing w:after="60" w:line="240" w:lineRule="auto"/>
        <w:ind w:left="1800"/>
      </w:pPr>
      <w:r>
        <w:t>Declaration of any conflicting interests in accordance with HRPP policy [</w:t>
      </w:r>
      <w:hyperlink r:id="rId151" w:history="1">
        <w:r>
          <w:rPr>
            <w:color w:val="0000FF"/>
            <w:u w:val="single"/>
          </w:rPr>
          <w:t>IRB Member and Consultant Conflict of Interest</w:t>
        </w:r>
      </w:hyperlink>
      <w:r>
        <w:t>]</w:t>
      </w:r>
    </w:p>
    <w:p w14:paraId="716E0203" w14:textId="77777777" w:rsidR="009F23E1" w:rsidRPr="009F23E1" w:rsidRDefault="009F23E1" w:rsidP="00A07209">
      <w:pPr>
        <w:numPr>
          <w:ilvl w:val="0"/>
          <w:numId w:val="123"/>
        </w:numPr>
        <w:tabs>
          <w:tab w:val="num" w:pos="1800"/>
        </w:tabs>
        <w:spacing w:after="60" w:line="240" w:lineRule="auto"/>
        <w:ind w:left="1800"/>
      </w:pPr>
      <w:r>
        <w:t>Consideration of the need for any additional expertise</w:t>
      </w:r>
    </w:p>
    <w:p w14:paraId="2450262D" w14:textId="77777777" w:rsidR="009F23E1" w:rsidRPr="009F23E1" w:rsidRDefault="009F23E1" w:rsidP="00A07209">
      <w:pPr>
        <w:numPr>
          <w:ilvl w:val="0"/>
          <w:numId w:val="123"/>
        </w:numPr>
        <w:tabs>
          <w:tab w:val="num" w:pos="1800"/>
        </w:tabs>
        <w:spacing w:after="0" w:line="240" w:lineRule="auto"/>
        <w:ind w:left="1800"/>
      </w:pPr>
      <w:r>
        <w:t>Communication with investigators, as applicable</w:t>
      </w:r>
    </w:p>
    <w:p w14:paraId="31D55435" w14:textId="77777777" w:rsidR="009F23E1" w:rsidRPr="009F23E1" w:rsidRDefault="009F23E1" w:rsidP="009F23E1">
      <w:pPr>
        <w:spacing w:after="0" w:line="240" w:lineRule="auto"/>
      </w:pPr>
    </w:p>
    <w:p w14:paraId="600C3025" w14:textId="77777777" w:rsidR="009F23E1" w:rsidRPr="009F23E1" w:rsidRDefault="009F23E1" w:rsidP="00A07209">
      <w:pPr>
        <w:numPr>
          <w:ilvl w:val="1"/>
          <w:numId w:val="129"/>
        </w:numPr>
        <w:tabs>
          <w:tab w:val="num" w:pos="1080"/>
        </w:tabs>
        <w:spacing w:after="60" w:line="240" w:lineRule="auto"/>
        <w:ind w:left="1080"/>
      </w:pPr>
      <w:r>
        <w:t>As with initial and continuing review, for a proposed amendment the IRBs must determine that the regulatory criteria for approval are met (when the modification affects one or more criteria for approval). Additionally, the IRBs must also find that significant new findings that may relate to a participant’s willingness to continue taking part in the research are provided.</w:t>
      </w:r>
    </w:p>
    <w:p w14:paraId="4E9FF2CD" w14:textId="77777777" w:rsidR="009F23E1" w:rsidRPr="009F23E1" w:rsidRDefault="009F23E1" w:rsidP="009F23E1">
      <w:pPr>
        <w:spacing w:after="0" w:line="240" w:lineRule="auto"/>
      </w:pPr>
    </w:p>
    <w:p w14:paraId="693289DF" w14:textId="77777777" w:rsidR="009F23E1" w:rsidRPr="009F23E1" w:rsidRDefault="009F23E1" w:rsidP="00A07209">
      <w:pPr>
        <w:numPr>
          <w:ilvl w:val="1"/>
          <w:numId w:val="129"/>
        </w:numPr>
        <w:tabs>
          <w:tab w:val="num" w:pos="1080"/>
        </w:tabs>
        <w:spacing w:after="0" w:line="240" w:lineRule="auto"/>
        <w:ind w:left="1080"/>
      </w:pPr>
      <w:r>
        <w:t>Reviewers will document their review and assessment of the amendment by completing an</w:t>
      </w:r>
      <w:r>
        <w:rPr>
          <w:b/>
        </w:rPr>
        <w:t xml:space="preserve"> </w:t>
      </w:r>
      <w:r>
        <w:rPr>
          <w:i/>
        </w:rPr>
        <w:t>IRB Reviewer Sheet</w:t>
      </w:r>
      <w:r>
        <w:t xml:space="preserve"> and submitting it via secure website or in person to an ORRP staff member at the conclusion of the convened IRB meeting.</w:t>
      </w:r>
      <w:bookmarkStart w:id="259" w:name="_Toc160863390"/>
    </w:p>
    <w:p w14:paraId="52E02353" w14:textId="77777777" w:rsidR="009F23E1" w:rsidRPr="009F23E1" w:rsidRDefault="009F23E1" w:rsidP="009F23E1">
      <w:pPr>
        <w:spacing w:after="0" w:line="240" w:lineRule="auto"/>
      </w:pPr>
    </w:p>
    <w:p w14:paraId="7BB815E5" w14:textId="77777777" w:rsidR="009F23E1" w:rsidRPr="009F23E1" w:rsidRDefault="009F23E1" w:rsidP="00A07209">
      <w:pPr>
        <w:numPr>
          <w:ilvl w:val="1"/>
          <w:numId w:val="129"/>
        </w:numPr>
        <w:tabs>
          <w:tab w:val="num" w:pos="1080"/>
        </w:tabs>
        <w:spacing w:after="0" w:line="240" w:lineRule="auto"/>
        <w:ind w:left="1080"/>
      </w:pPr>
      <w:r>
        <w:t>Changes to approved research initiated without IRB approval that are made to eliminate apparent immediate hazards to subjects may represent unanticipated problems involving risks to subjects or others and should be promptly reported as described by HRPP policy [</w:t>
      </w:r>
      <w:hyperlink r:id="rId152" w:history="1">
        <w:r>
          <w:rPr>
            <w:color w:val="0000FF"/>
            <w:u w:val="single"/>
          </w:rPr>
          <w:t>Event Reporting – Unanticipated Problems Involving Risks to Subjects or Others, Adverse Events, and Other Problems</w:t>
        </w:r>
      </w:hyperlink>
      <w:r>
        <w:t xml:space="preserve">]. Such changes will be reviewed by the convened IRB to determine whether the change is consistent with ensuring the continued welfare of participants. </w:t>
      </w:r>
    </w:p>
    <w:p w14:paraId="602CDDDD" w14:textId="77777777" w:rsidR="009F23E1" w:rsidRPr="009F23E1" w:rsidRDefault="009F23E1" w:rsidP="009F23E1">
      <w:pPr>
        <w:spacing w:after="0" w:line="240" w:lineRule="auto"/>
      </w:pPr>
    </w:p>
    <w:p w14:paraId="344841E0" w14:textId="77777777" w:rsidR="009F23E1" w:rsidRPr="009F23E1" w:rsidRDefault="009F23E1" w:rsidP="00A07209">
      <w:pPr>
        <w:numPr>
          <w:ilvl w:val="1"/>
          <w:numId w:val="129"/>
        </w:numPr>
        <w:tabs>
          <w:tab w:val="num" w:pos="1080"/>
        </w:tabs>
        <w:spacing w:after="0" w:line="240" w:lineRule="auto"/>
        <w:ind w:left="1080"/>
      </w:pPr>
      <w:r>
        <w:lastRenderedPageBreak/>
        <w:t xml:space="preserve">Completion and/or closure of a study also represent changes to research. A </w:t>
      </w:r>
      <w:r>
        <w:rPr>
          <w:i/>
        </w:rPr>
        <w:t xml:space="preserve">Final Study Report </w:t>
      </w:r>
      <w:r>
        <w:t xml:space="preserve">is submitted to notify the IRB that a study is completed or is being closed. Notification of study completion/closure may be submitted at any time during the review period. A </w:t>
      </w:r>
      <w:r>
        <w:rPr>
          <w:i/>
        </w:rPr>
        <w:t>Final Study Report</w:t>
      </w:r>
      <w:r>
        <w:t xml:space="preserve"> form should not be submitted until all research activities involving human subjects, including collection and/or analysis of private, identifiable (or coded) data and/or biospecimens have ended.</w:t>
      </w:r>
    </w:p>
    <w:p w14:paraId="5313F901" w14:textId="77777777" w:rsidR="009F23E1" w:rsidRPr="009F23E1" w:rsidRDefault="009F23E1" w:rsidP="009F23E1">
      <w:pPr>
        <w:spacing w:after="0" w:line="240" w:lineRule="auto"/>
      </w:pPr>
    </w:p>
    <w:p w14:paraId="404471E8" w14:textId="77777777" w:rsidR="009F23E1" w:rsidRPr="009F23E1" w:rsidRDefault="009F23E1" w:rsidP="009F23E1">
      <w:pPr>
        <w:spacing w:after="0" w:line="240" w:lineRule="auto"/>
        <w:ind w:left="1080"/>
      </w:pPr>
      <w:r>
        <w:t xml:space="preserve">Note: For further information regarding data retention following study completion, see the university’s </w:t>
      </w:r>
      <w:hyperlink r:id="rId153" w:history="1">
        <w:r>
          <w:rPr>
            <w:color w:val="0000FF"/>
            <w:u w:val="single"/>
          </w:rPr>
          <w:t>Research Data</w:t>
        </w:r>
      </w:hyperlink>
      <w:r>
        <w:t xml:space="preserve"> policy and HRPP policies [</w:t>
      </w:r>
      <w:hyperlink r:id="rId154" w:history="1">
        <w:r>
          <w:rPr>
            <w:color w:val="0000FF"/>
            <w:u w:val="single"/>
          </w:rPr>
          <w:t>IRB Recordkeeping</w:t>
        </w:r>
      </w:hyperlink>
      <w:r>
        <w:t>] and [</w:t>
      </w:r>
      <w:hyperlink r:id="rId155" w:history="1">
        <w:r>
          <w:rPr>
            <w:color w:val="0000FF"/>
            <w:u w:val="single"/>
          </w:rPr>
          <w:t>Research Involving Data and/or Biospecimens</w:t>
        </w:r>
      </w:hyperlink>
      <w:r>
        <w:t>].</w:t>
      </w:r>
    </w:p>
    <w:bookmarkEnd w:id="259"/>
    <w:p w14:paraId="1CD2A341" w14:textId="77777777" w:rsidR="009F23E1" w:rsidRPr="009F23E1" w:rsidRDefault="009F23E1" w:rsidP="009F23E1">
      <w:pPr>
        <w:spacing w:after="0" w:line="240" w:lineRule="auto"/>
        <w:ind w:left="1080"/>
      </w:pPr>
    </w:p>
    <w:p w14:paraId="57CDC383" w14:textId="77777777" w:rsidR="009F23E1" w:rsidRPr="009F23E1" w:rsidRDefault="009F23E1" w:rsidP="00A07209">
      <w:pPr>
        <w:numPr>
          <w:ilvl w:val="0"/>
          <w:numId w:val="130"/>
        </w:numPr>
        <w:tabs>
          <w:tab w:val="left" w:pos="360"/>
        </w:tabs>
        <w:spacing w:after="0" w:line="240" w:lineRule="auto"/>
        <w:ind w:left="360"/>
        <w:rPr>
          <w:b/>
        </w:rPr>
      </w:pPr>
      <w:r>
        <w:rPr>
          <w:b/>
        </w:rPr>
        <w:t>IRB Determinations and Post-Review Procedures</w:t>
      </w:r>
    </w:p>
    <w:p w14:paraId="0BD25CB3" w14:textId="77777777" w:rsidR="009F23E1" w:rsidRPr="009F23E1" w:rsidRDefault="009F23E1" w:rsidP="009F23E1">
      <w:pPr>
        <w:spacing w:after="0" w:line="240" w:lineRule="auto"/>
        <w:rPr>
          <w:b/>
        </w:rPr>
      </w:pPr>
    </w:p>
    <w:p w14:paraId="203AE5EB" w14:textId="77777777" w:rsidR="009F23E1" w:rsidRPr="009F23E1" w:rsidRDefault="009F23E1" w:rsidP="00A07209">
      <w:pPr>
        <w:numPr>
          <w:ilvl w:val="1"/>
          <w:numId w:val="130"/>
        </w:numPr>
        <w:tabs>
          <w:tab w:val="num" w:pos="720"/>
        </w:tabs>
        <w:spacing w:after="0" w:line="240" w:lineRule="auto"/>
        <w:ind w:left="720"/>
      </w:pPr>
      <w:r>
        <w:t>The range of possible actions that the convened IRBs may take following review of research is described in HRPP policy [</w:t>
      </w:r>
      <w:hyperlink r:id="rId156" w:history="1">
        <w:r>
          <w:rPr>
            <w:color w:val="0000FF"/>
            <w:u w:val="single"/>
          </w:rPr>
          <w:t>IRB Actions and Communications</w:t>
        </w:r>
      </w:hyperlink>
      <w:r>
        <w:t>]. To approve research, the IRBs must determine that the research meets the regulatory criteria for approval.</w:t>
      </w:r>
    </w:p>
    <w:p w14:paraId="0E932644" w14:textId="77777777" w:rsidR="009F23E1" w:rsidRPr="009F23E1" w:rsidRDefault="009F23E1" w:rsidP="009F23E1">
      <w:pPr>
        <w:spacing w:after="0" w:line="240" w:lineRule="auto"/>
        <w:ind w:left="360"/>
      </w:pPr>
    </w:p>
    <w:p w14:paraId="3E2FB387" w14:textId="77777777" w:rsidR="009F23E1" w:rsidRPr="009F23E1" w:rsidRDefault="009F23E1" w:rsidP="00A07209">
      <w:pPr>
        <w:numPr>
          <w:ilvl w:val="1"/>
          <w:numId w:val="130"/>
        </w:numPr>
        <w:tabs>
          <w:tab w:val="num" w:pos="720"/>
        </w:tabs>
        <w:spacing w:after="0" w:line="240" w:lineRule="auto"/>
        <w:ind w:left="720"/>
      </w:pPr>
      <w:r>
        <w:t>Determination of the approval period for research approved by the convened IRBs is made as described in HRPP policy [</w:t>
      </w:r>
      <w:hyperlink r:id="rId157" w:history="1">
        <w:r>
          <w:rPr>
            <w:color w:val="0000FF"/>
            <w:u w:val="single"/>
          </w:rPr>
          <w:t>IRB Actions and Communications</w:t>
        </w:r>
      </w:hyperlink>
      <w:r>
        <w:t>].</w:t>
      </w:r>
    </w:p>
    <w:p w14:paraId="47071E0E" w14:textId="77777777" w:rsidR="009F23E1" w:rsidRPr="009F23E1" w:rsidRDefault="009F23E1" w:rsidP="009F23E1">
      <w:pPr>
        <w:spacing w:after="0" w:line="240" w:lineRule="auto"/>
        <w:ind w:left="360"/>
      </w:pPr>
    </w:p>
    <w:p w14:paraId="7718DB05" w14:textId="77777777" w:rsidR="009F23E1" w:rsidRPr="009F23E1" w:rsidRDefault="009F23E1" w:rsidP="00A07209">
      <w:pPr>
        <w:numPr>
          <w:ilvl w:val="1"/>
          <w:numId w:val="130"/>
        </w:numPr>
        <w:tabs>
          <w:tab w:val="num" w:pos="720"/>
        </w:tabs>
        <w:spacing w:after="0" w:line="240" w:lineRule="auto"/>
        <w:ind w:left="720"/>
      </w:pPr>
      <w:r>
        <w:t>IRB actions and findings will be reported to the principal investigator and institutional officials as described in HRPP policy [</w:t>
      </w:r>
      <w:hyperlink r:id="rId158" w:history="1">
        <w:r>
          <w:rPr>
            <w:color w:val="0000FF"/>
            <w:u w:val="single"/>
          </w:rPr>
          <w:t>IRB Actions and Communications</w:t>
        </w:r>
      </w:hyperlink>
      <w:r>
        <w:t>].</w:t>
      </w:r>
    </w:p>
    <w:p w14:paraId="0F974A27" w14:textId="77777777" w:rsidR="009F23E1" w:rsidRPr="009F23E1" w:rsidRDefault="009F23E1" w:rsidP="009F23E1">
      <w:pPr>
        <w:spacing w:after="0" w:line="240" w:lineRule="auto"/>
        <w:ind w:left="360"/>
      </w:pPr>
    </w:p>
    <w:p w14:paraId="3A046D0C" w14:textId="77777777" w:rsidR="009F23E1" w:rsidRPr="009F23E1" w:rsidRDefault="009F23E1" w:rsidP="00A07209">
      <w:pPr>
        <w:numPr>
          <w:ilvl w:val="1"/>
          <w:numId w:val="130"/>
        </w:numPr>
        <w:tabs>
          <w:tab w:val="num" w:pos="720"/>
        </w:tabs>
        <w:spacing w:after="0" w:line="240" w:lineRule="auto"/>
        <w:ind w:left="720"/>
      </w:pPr>
      <w:r>
        <w:t>Research that has been approved by the IRBs may be subject to further review and approval (or disapproval) by officials of the institution (e.g., institutional official, deans, college research officers, etc.). However, no one may approve human subjects research (i.e., and authorize it to proceed) that has not been approved by the IRB.</w:t>
      </w:r>
    </w:p>
    <w:p w14:paraId="56D825A6" w14:textId="77777777" w:rsidR="009F23E1" w:rsidRPr="009F23E1" w:rsidRDefault="009F23E1" w:rsidP="009F23E1">
      <w:pPr>
        <w:spacing w:after="0" w:line="240" w:lineRule="auto"/>
        <w:ind w:left="360"/>
      </w:pPr>
    </w:p>
    <w:p w14:paraId="3D29254D" w14:textId="77777777" w:rsidR="009F23E1" w:rsidRPr="009F23E1" w:rsidRDefault="009F23E1" w:rsidP="00A07209">
      <w:pPr>
        <w:numPr>
          <w:ilvl w:val="0"/>
          <w:numId w:val="130"/>
        </w:numPr>
        <w:tabs>
          <w:tab w:val="num" w:pos="360"/>
        </w:tabs>
        <w:spacing w:after="0" w:line="240" w:lineRule="auto"/>
        <w:ind w:left="360"/>
        <w:rPr>
          <w:b/>
        </w:rPr>
      </w:pPr>
      <w:r>
        <w:rPr>
          <w:b/>
        </w:rPr>
        <w:t>Investigator Appeals/Requests for Reconsideration</w:t>
      </w:r>
    </w:p>
    <w:p w14:paraId="6E88C633" w14:textId="77777777" w:rsidR="009F23E1" w:rsidRPr="009F23E1" w:rsidRDefault="009F23E1" w:rsidP="009F23E1">
      <w:pPr>
        <w:spacing w:after="0" w:line="240" w:lineRule="auto"/>
      </w:pPr>
    </w:p>
    <w:p w14:paraId="10287A75" w14:textId="77777777" w:rsidR="009F23E1" w:rsidRPr="009F23E1" w:rsidRDefault="009F23E1" w:rsidP="00A07209">
      <w:pPr>
        <w:numPr>
          <w:ilvl w:val="1"/>
          <w:numId w:val="136"/>
        </w:numPr>
        <w:spacing w:after="0" w:line="240" w:lineRule="auto"/>
      </w:pPr>
      <w:r>
        <w:t>Investigators may appeal an IRB decision by submitting a request addressed to the appropriate IRB chair to IRBinfo@osu.edu, including a statement of the reason(s) for the appeal and any materials supporting the request. Supporting materials may include (but are not limited to) letters of support, current literature, and/or other information relating to the state of the art/science in the research discipline.</w:t>
      </w:r>
    </w:p>
    <w:p w14:paraId="7BEE8B94" w14:textId="77777777" w:rsidR="009F23E1" w:rsidRPr="009F23E1" w:rsidRDefault="009F23E1" w:rsidP="009F23E1">
      <w:pPr>
        <w:spacing w:after="0" w:line="240" w:lineRule="auto"/>
        <w:ind w:left="720"/>
      </w:pPr>
    </w:p>
    <w:p w14:paraId="096DABFF" w14:textId="77777777" w:rsidR="009F23E1" w:rsidRPr="009F23E1" w:rsidRDefault="009F23E1" w:rsidP="00A07209">
      <w:pPr>
        <w:numPr>
          <w:ilvl w:val="1"/>
          <w:numId w:val="136"/>
        </w:numPr>
        <w:spacing w:after="0" w:line="240" w:lineRule="auto"/>
      </w:pPr>
      <w:r>
        <w:t>Requests for reconsideration will be reviewed by the convened IRB responsible for the determination being appealed. Decisions made by expedited review can be reconsidered by expedited review, but rejection of an appeal can be made only by the corresponding convened IRB. Investigators will be notified of and may attend the IRB meeting at which this review will occur.</w:t>
      </w:r>
    </w:p>
    <w:p w14:paraId="4F6C1999" w14:textId="77777777" w:rsidR="009F23E1" w:rsidRPr="009F23E1" w:rsidRDefault="009F23E1" w:rsidP="009F23E1">
      <w:pPr>
        <w:spacing w:after="0" w:line="240" w:lineRule="auto"/>
      </w:pPr>
    </w:p>
    <w:p w14:paraId="011ED2C2" w14:textId="77777777" w:rsidR="009F23E1" w:rsidRPr="009F23E1" w:rsidRDefault="009F23E1" w:rsidP="00A07209">
      <w:pPr>
        <w:numPr>
          <w:ilvl w:val="1"/>
          <w:numId w:val="136"/>
        </w:numPr>
        <w:spacing w:after="0" w:line="240" w:lineRule="auto"/>
      </w:pPr>
      <w:r>
        <w:t>Appeals must be made within 30 days of investigator notification of the IRB decision in question. The IRB will review the request within 30 days of receipt of the investigator’s written materials. Investigators and institutional officials will be notified of the IRB’s decision regarding the appeal within 14 days of convened review as described in HRPP policy [</w:t>
      </w:r>
      <w:hyperlink r:id="rId159" w:history="1">
        <w:r>
          <w:rPr>
            <w:color w:val="0000FF"/>
            <w:u w:val="single"/>
          </w:rPr>
          <w:t>IRB Actions and Communications</w:t>
        </w:r>
      </w:hyperlink>
      <w:r>
        <w:t xml:space="preserve">].    </w:t>
      </w:r>
    </w:p>
    <w:p w14:paraId="16881D98" w14:textId="77777777" w:rsidR="009F23E1" w:rsidRPr="009F23E1" w:rsidRDefault="009F23E1" w:rsidP="009F23E1">
      <w:pPr>
        <w:spacing w:after="0" w:line="240" w:lineRule="auto"/>
        <w:ind w:left="720"/>
      </w:pPr>
    </w:p>
    <w:p w14:paraId="7EE3FDC6" w14:textId="77777777" w:rsidR="009F23E1" w:rsidRPr="009F23E1" w:rsidRDefault="009F23E1" w:rsidP="00A07209">
      <w:pPr>
        <w:numPr>
          <w:ilvl w:val="1"/>
          <w:numId w:val="136"/>
        </w:numPr>
        <w:spacing w:after="0" w:line="240" w:lineRule="auto"/>
      </w:pPr>
      <w:r>
        <w:lastRenderedPageBreak/>
        <w:t>Institutional officials may not overrule IRB decisions regarding appeals in research activities involving human subjects.</w:t>
      </w:r>
    </w:p>
    <w:p w14:paraId="0B8B8B0F" w14:textId="77777777" w:rsidR="009F23E1" w:rsidRPr="009F23E1" w:rsidRDefault="009F23E1" w:rsidP="009F23E1">
      <w:pPr>
        <w:spacing w:after="0" w:line="240" w:lineRule="auto"/>
      </w:pPr>
    </w:p>
    <w:p w14:paraId="03626C89" w14:textId="77777777" w:rsidR="009F23E1" w:rsidRPr="009F23E1" w:rsidRDefault="009F23E1" w:rsidP="00A07209">
      <w:pPr>
        <w:numPr>
          <w:ilvl w:val="0"/>
          <w:numId w:val="130"/>
        </w:numPr>
        <w:tabs>
          <w:tab w:val="num" w:pos="360"/>
        </w:tabs>
        <w:spacing w:after="0" w:line="240" w:lineRule="auto"/>
        <w:ind w:left="360"/>
      </w:pPr>
      <w:r>
        <w:rPr>
          <w:b/>
        </w:rPr>
        <w:t>Applicable Regulations/Guidance</w:t>
      </w:r>
    </w:p>
    <w:p w14:paraId="71EA6C14" w14:textId="77777777" w:rsidR="009F23E1" w:rsidRPr="009F23E1" w:rsidRDefault="009F23E1" w:rsidP="009F23E1">
      <w:pPr>
        <w:spacing w:after="0" w:line="240" w:lineRule="auto"/>
      </w:pPr>
    </w:p>
    <w:p w14:paraId="494130D4" w14:textId="77777777" w:rsidR="009F23E1" w:rsidRPr="009F23E1" w:rsidRDefault="009F23E1" w:rsidP="009F23E1">
      <w:pPr>
        <w:spacing w:after="0" w:line="240" w:lineRule="auto"/>
        <w:ind w:left="360"/>
      </w:pPr>
      <w:r>
        <w:t>21 CFR 50.25, 21 CFR 56.108, 21 CFR 56.111, pre-2018 and Final Rule (45 CFR 46.103, 45 CFR 46.111, 45 CFR 46.116), FDA Information Sheets: Frequently Asked Questions, OHRP “Guidance on Continuing Review” (11/10/10), OHRP “Institutional Review Board Written Procedures: Guidance for Institutions and IRBs” (05/18), The Ohio State University “Research Data Policy” (03/24/17)</w:t>
      </w:r>
    </w:p>
    <w:p w14:paraId="64FB0EB4" w14:textId="77777777" w:rsidR="009F23E1" w:rsidRPr="009F23E1" w:rsidRDefault="009F23E1" w:rsidP="009F23E1">
      <w:pPr>
        <w:spacing w:after="0" w:line="240" w:lineRule="auto"/>
        <w:ind w:left="360"/>
      </w:pPr>
    </w:p>
    <w:p w14:paraId="0E6FF97E" w14:textId="77777777" w:rsidR="009F23E1" w:rsidRPr="009F23E1" w:rsidRDefault="009F23E1" w:rsidP="00A07209">
      <w:pPr>
        <w:numPr>
          <w:ilvl w:val="0"/>
          <w:numId w:val="130"/>
        </w:numPr>
        <w:spacing w:after="0" w:line="240" w:lineRule="auto"/>
        <w:ind w:left="360"/>
        <w:rPr>
          <w:b/>
        </w:rPr>
      </w:pPr>
      <w:r>
        <w:rPr>
          <w:b/>
        </w:rPr>
        <w:t>History</w:t>
      </w:r>
    </w:p>
    <w:p w14:paraId="78C3120A" w14:textId="77777777" w:rsidR="009F23E1" w:rsidRPr="009F23E1" w:rsidRDefault="009F23E1" w:rsidP="009F23E1">
      <w:pPr>
        <w:spacing w:after="0" w:line="240" w:lineRule="auto"/>
        <w:ind w:left="360"/>
      </w:pPr>
      <w:r>
        <w:t>Issued: 05/19/2008</w:t>
      </w:r>
    </w:p>
    <w:p w14:paraId="6E97FD78" w14:textId="77777777" w:rsidR="009F23E1" w:rsidRPr="009F23E1" w:rsidRDefault="009F23E1" w:rsidP="009F23E1">
      <w:pPr>
        <w:spacing w:after="0" w:line="240" w:lineRule="auto"/>
        <w:ind w:firstLine="360"/>
      </w:pPr>
      <w:r>
        <w:t xml:space="preserve">Revised: 04/28/2009, 06/07/2009, 01/06/2011, 05/04/2012, 06/20/2016, 12/17/2018 </w:t>
      </w:r>
    </w:p>
    <w:p w14:paraId="57E3DDE7" w14:textId="77777777" w:rsidR="009F23E1" w:rsidRPr="009F23E1" w:rsidRDefault="009F23E1" w:rsidP="009F23E1">
      <w:pPr>
        <w:spacing w:after="0" w:line="240" w:lineRule="auto"/>
        <w:ind w:firstLine="360"/>
      </w:pPr>
      <w:r>
        <w:t>Edited: 01/14/2022, 04/20/2022</w:t>
      </w:r>
    </w:p>
    <w:p w14:paraId="5BC4C3C1" w14:textId="77777777" w:rsidR="00F2286B" w:rsidRDefault="00F2286B">
      <w:pPr>
        <w:rPr>
          <w:b/>
          <w:bCs/>
          <w:i/>
          <w:iCs/>
          <w:sz w:val="28"/>
          <w:szCs w:val="28"/>
        </w:rPr>
      </w:pPr>
      <w:r>
        <w:br w:type="page"/>
      </w:r>
    </w:p>
    <w:p w14:paraId="26969EFA" w14:textId="77777777" w:rsidR="009F23E1" w:rsidRPr="009F23E1" w:rsidRDefault="75B94B03" w:rsidP="00F2286B">
      <w:pPr>
        <w:pStyle w:val="Heading2"/>
      </w:pPr>
      <w:bookmarkStart w:id="260" w:name="_Toc434768440"/>
      <w:bookmarkStart w:id="261" w:name="B9"/>
      <w:bookmarkStart w:id="262" w:name="_Toc212142206"/>
      <w:bookmarkStart w:id="263" w:name="_Toc225507746"/>
      <w:r>
        <w:lastRenderedPageBreak/>
        <w:t>Appendix B-9</w:t>
      </w:r>
      <w:bookmarkEnd w:id="260"/>
      <w:r>
        <w:t xml:space="preserve">  </w:t>
      </w:r>
      <w:bookmarkEnd w:id="261"/>
      <w:r>
        <w:tab/>
        <w:t>IRB Actions and Communications</w:t>
      </w:r>
      <w:bookmarkEnd w:id="262"/>
      <w:bookmarkEnd w:id="263"/>
    </w:p>
    <w:p w14:paraId="7B5DAAD1" w14:textId="77777777" w:rsidR="009F23E1" w:rsidRPr="009F23E1" w:rsidRDefault="009F23E1" w:rsidP="009F23E1">
      <w:pPr>
        <w:spacing w:after="0" w:line="240" w:lineRule="auto"/>
        <w:rPr>
          <w:b/>
          <w:smallCaps/>
        </w:rPr>
      </w:pPr>
    </w:p>
    <w:p w14:paraId="536F1780" w14:textId="77777777" w:rsidR="009F23E1" w:rsidRPr="009F23E1" w:rsidRDefault="009F23E1" w:rsidP="00A07209">
      <w:pPr>
        <w:numPr>
          <w:ilvl w:val="0"/>
          <w:numId w:val="150"/>
        </w:numPr>
        <w:spacing w:after="0" w:line="240" w:lineRule="auto"/>
        <w:rPr>
          <w:b/>
          <w:smallCaps/>
        </w:rPr>
      </w:pPr>
      <w:r>
        <w:rPr>
          <w:b/>
        </w:rPr>
        <w:t>Overview</w:t>
      </w:r>
    </w:p>
    <w:p w14:paraId="67E561D7" w14:textId="77777777" w:rsidR="009F23E1" w:rsidRPr="009F23E1" w:rsidRDefault="009F23E1" w:rsidP="009F23E1">
      <w:pPr>
        <w:spacing w:after="0" w:line="240" w:lineRule="auto"/>
      </w:pPr>
    </w:p>
    <w:p w14:paraId="65E754DD" w14:textId="77777777" w:rsidR="009F23E1" w:rsidRPr="009F23E1" w:rsidRDefault="009F23E1" w:rsidP="009F23E1">
      <w:pPr>
        <w:spacing w:after="0" w:line="240" w:lineRule="auto"/>
        <w:ind w:left="360"/>
      </w:pPr>
      <w:r>
        <w:t>When reviewing research, the convened IRB is responsible for determining the approval status and appropriate approval period (up to one year) of a study under review and must notify the investigator and institutional officials of its decisions.</w:t>
      </w:r>
    </w:p>
    <w:p w14:paraId="76AF815E" w14:textId="77777777" w:rsidR="009F23E1" w:rsidRPr="009F23E1" w:rsidRDefault="009F23E1" w:rsidP="009F23E1">
      <w:pPr>
        <w:spacing w:after="0" w:line="240" w:lineRule="auto"/>
        <w:ind w:left="360"/>
      </w:pPr>
    </w:p>
    <w:p w14:paraId="4602E03E" w14:textId="77777777" w:rsidR="00390695" w:rsidRDefault="009F23E1" w:rsidP="009F23E1">
      <w:pPr>
        <w:spacing w:after="0" w:line="240" w:lineRule="auto"/>
        <w:ind w:left="360"/>
      </w:pPr>
      <w:r>
        <w:t>This policy describes actions that the convened IRBs may take during review of research and communication of these actions, as well as the process for review of investigator responses to IRB determinations.</w:t>
      </w:r>
    </w:p>
    <w:p w14:paraId="77619658" w14:textId="77777777" w:rsidR="004662E4" w:rsidRPr="009F23E1" w:rsidRDefault="004662E4" w:rsidP="009F23E1">
      <w:pPr>
        <w:spacing w:after="0" w:line="240" w:lineRule="auto"/>
        <w:ind w:left="360"/>
      </w:pPr>
    </w:p>
    <w:p w14:paraId="75D1966A" w14:textId="77777777" w:rsidR="009F23E1" w:rsidRPr="00076836" w:rsidRDefault="009F23E1" w:rsidP="00A07209">
      <w:pPr>
        <w:pStyle w:val="ListParagraph"/>
        <w:numPr>
          <w:ilvl w:val="0"/>
          <w:numId w:val="150"/>
        </w:numPr>
        <w:spacing w:after="0" w:line="240" w:lineRule="auto"/>
        <w:rPr>
          <w:b/>
          <w:smallCaps/>
        </w:rPr>
      </w:pPr>
      <w:r>
        <w:rPr>
          <w:b/>
        </w:rPr>
        <w:t>Definitions</w:t>
      </w:r>
    </w:p>
    <w:p w14:paraId="048468CE" w14:textId="77777777" w:rsidR="009F23E1" w:rsidRPr="009F23E1" w:rsidRDefault="009F23E1" w:rsidP="009F23E1">
      <w:pPr>
        <w:spacing w:after="0" w:line="240" w:lineRule="auto"/>
      </w:pPr>
    </w:p>
    <w:p w14:paraId="66B569E5" w14:textId="77777777" w:rsidR="009F23E1" w:rsidRPr="009F23E1" w:rsidRDefault="009F23E1" w:rsidP="009F23E1">
      <w:pPr>
        <w:spacing w:after="0" w:line="240" w:lineRule="auto"/>
        <w:ind w:left="360"/>
      </w:pPr>
      <w:r>
        <w:rPr>
          <w:b/>
        </w:rPr>
        <w:t xml:space="preserve">Approved: </w:t>
      </w:r>
      <w:r>
        <w:t>An IRB action taken when the required determinations are made that allows research involving human subjects to proceed consistent with federal regulations, state and local laws, and university policy.</w:t>
      </w:r>
    </w:p>
    <w:p w14:paraId="58AC65D5" w14:textId="77777777" w:rsidR="009F23E1" w:rsidRPr="009F23E1" w:rsidRDefault="009F23E1" w:rsidP="009F23E1">
      <w:pPr>
        <w:spacing w:after="0" w:line="240" w:lineRule="auto"/>
      </w:pPr>
    </w:p>
    <w:p w14:paraId="68CB8EF1" w14:textId="77777777" w:rsidR="009F23E1" w:rsidRPr="009F23E1" w:rsidRDefault="009F23E1" w:rsidP="009F23E1">
      <w:pPr>
        <w:spacing w:after="0" w:line="240" w:lineRule="auto"/>
        <w:ind w:left="360"/>
        <w:rPr>
          <w:i/>
        </w:rPr>
      </w:pPr>
      <w:r>
        <w:rPr>
          <w:b/>
        </w:rPr>
        <w:t>Modifications Required</w:t>
      </w:r>
      <w:r>
        <w:t xml:space="preserve">: An IRB action that specifies conditions under which research can be approved, pending the following: confirmation of specific understandings by the IRB about how the research will be conducted, submission of additional documentation, precise language changes to the protocol and/or informed consent document(s), and/or substantive changes to documents with specific parameters the changes must satisfy. </w:t>
      </w:r>
      <w:r>
        <w:rPr>
          <w:i/>
        </w:rPr>
        <w:t>Note: Verification that the investigator’s response(s) satisfies the conditions for approval set by the IRB may be performed by the IRB chair and/or other designated individual(s). Also: contingent approval, approval with conditions.</w:t>
      </w:r>
    </w:p>
    <w:p w14:paraId="6437A956" w14:textId="77777777" w:rsidR="009F23E1" w:rsidRPr="009F23E1" w:rsidRDefault="009F23E1" w:rsidP="009F23E1">
      <w:pPr>
        <w:spacing w:after="0" w:line="240" w:lineRule="auto"/>
        <w:ind w:left="360"/>
      </w:pPr>
    </w:p>
    <w:p w14:paraId="466836C3" w14:textId="77777777" w:rsidR="009F23E1" w:rsidRPr="009F23E1" w:rsidRDefault="009F23E1" w:rsidP="009F23E1">
      <w:pPr>
        <w:spacing w:after="0" w:line="240" w:lineRule="auto"/>
        <w:ind w:left="360"/>
      </w:pPr>
      <w:r>
        <w:rPr>
          <w:b/>
        </w:rPr>
        <w:t>Deferred</w:t>
      </w:r>
      <w:r>
        <w:t xml:space="preserve">: An IRB action taken when the convened IRB cannot fully evaluate the research under review and make the determinations required for approval without modifications to the protocol and/or informed consent document, or submission of clarifications or additional materials prior to reconsideration of the research. </w:t>
      </w:r>
      <w:r>
        <w:rPr>
          <w:i/>
        </w:rPr>
        <w:t>Note: Convened IRB review of the investigator’s response(s) is required.</w:t>
      </w:r>
    </w:p>
    <w:p w14:paraId="2709AD9C" w14:textId="77777777" w:rsidR="009F23E1" w:rsidRPr="009F23E1" w:rsidRDefault="009F23E1" w:rsidP="009F23E1">
      <w:pPr>
        <w:spacing w:after="0" w:line="240" w:lineRule="auto"/>
        <w:ind w:left="360"/>
      </w:pPr>
    </w:p>
    <w:p w14:paraId="3955FA30" w14:textId="77777777" w:rsidR="009F23E1" w:rsidRPr="009F23E1" w:rsidRDefault="009F23E1" w:rsidP="009F23E1">
      <w:pPr>
        <w:spacing w:after="0" w:line="240" w:lineRule="auto"/>
        <w:ind w:left="360"/>
        <w:rPr>
          <w:i/>
        </w:rPr>
      </w:pPr>
      <w:r>
        <w:rPr>
          <w:b/>
        </w:rPr>
        <w:t xml:space="preserve">Disapproved: </w:t>
      </w:r>
      <w:r>
        <w:t xml:space="preserve">An IRB action taken when the determinations required for approval of research cannot be made, even with substantive clarifications or modifications to the protocol and/or informed consent process/document. </w:t>
      </w:r>
      <w:r>
        <w:rPr>
          <w:i/>
        </w:rPr>
        <w:t>Note: Research cannot be disapproved by expedited review.</w:t>
      </w:r>
    </w:p>
    <w:p w14:paraId="326BC5FA" w14:textId="77777777" w:rsidR="009F23E1" w:rsidRPr="009F23E1" w:rsidRDefault="009F23E1" w:rsidP="009F23E1">
      <w:pPr>
        <w:spacing w:after="0" w:line="240" w:lineRule="auto"/>
      </w:pPr>
    </w:p>
    <w:p w14:paraId="6B96C6AF" w14:textId="77777777" w:rsidR="009F23E1" w:rsidRPr="009F23E1" w:rsidRDefault="009F23E1" w:rsidP="009F23E1">
      <w:pPr>
        <w:spacing w:after="0" w:line="240" w:lineRule="auto"/>
        <w:ind w:left="360"/>
      </w:pPr>
      <w:r>
        <w:rPr>
          <w:b/>
        </w:rPr>
        <w:t xml:space="preserve">Tabled: </w:t>
      </w:r>
      <w:r>
        <w:t>An IRB “action” that indicates that review was not initiated or was not completed, resulting in postponement of IRB review, usually due to loss of quorum or other administrative issue. Research tabled at a convened meeting will be reviewed at a future convened meeting.</w:t>
      </w:r>
    </w:p>
    <w:p w14:paraId="125110A0" w14:textId="77777777" w:rsidR="009F23E1" w:rsidRPr="009F23E1" w:rsidRDefault="009F23E1" w:rsidP="009F23E1">
      <w:pPr>
        <w:spacing w:after="0" w:line="240" w:lineRule="auto"/>
        <w:ind w:left="360"/>
      </w:pPr>
    </w:p>
    <w:p w14:paraId="4AF79713" w14:textId="77777777" w:rsidR="009F23E1" w:rsidRDefault="009F23E1" w:rsidP="009F23E1">
      <w:pPr>
        <w:spacing w:after="0" w:line="240" w:lineRule="auto"/>
        <w:ind w:left="360"/>
        <w:rPr>
          <w:i/>
        </w:rPr>
      </w:pPr>
      <w:r>
        <w:rPr>
          <w:b/>
        </w:rPr>
        <w:t xml:space="preserve">Approval Date: </w:t>
      </w:r>
      <w:r>
        <w:t xml:space="preserve">The first date that research can be performed (following notification from the IRB), consistent with federal regulations, state and local laws, and university policy. The approval date is the date that the research is approved by convened or expedited review, or if modifications are required (to secure approval), the date that the modifications/conditions are met by the investigator. </w:t>
      </w:r>
      <w:r>
        <w:rPr>
          <w:i/>
        </w:rPr>
        <w:t>See also Approval Period.</w:t>
      </w:r>
    </w:p>
    <w:p w14:paraId="176BA2A6" w14:textId="77777777" w:rsidR="004662E4" w:rsidRPr="009F23E1" w:rsidRDefault="004662E4" w:rsidP="009F23E1">
      <w:pPr>
        <w:spacing w:after="0" w:line="240" w:lineRule="auto"/>
        <w:ind w:left="360"/>
        <w:rPr>
          <w:i/>
        </w:rPr>
      </w:pPr>
    </w:p>
    <w:p w14:paraId="174B7F9E" w14:textId="77777777" w:rsidR="009F23E1" w:rsidRPr="009F23E1" w:rsidRDefault="009F23E1" w:rsidP="009F23E1">
      <w:pPr>
        <w:spacing w:after="0" w:line="240" w:lineRule="auto"/>
        <w:ind w:left="360"/>
        <w:rPr>
          <w:i/>
        </w:rPr>
      </w:pPr>
      <w:r>
        <w:rPr>
          <w:b/>
        </w:rPr>
        <w:lastRenderedPageBreak/>
        <w:t xml:space="preserve">Approval Period: </w:t>
      </w:r>
      <w:r>
        <w:t xml:space="preserve">For initial review, the interval that begins on the day research is approved by convened or expedited review, or if modifications are required (to secure approval), the date that the modifications/conditions are met by the investigator. For continuing review, the interval that begins on the day research is re-approved (by convened or expedited review) or modifications are required. If the modifications are not met prior to the continuing review expiration date, the interval will begin on the date that the modifications/conditions are met by the investigator. </w:t>
      </w:r>
      <w:r>
        <w:rPr>
          <w:i/>
        </w:rPr>
        <w:t>Note: An approval period for initial or continuing review may not be longer than one year.</w:t>
      </w:r>
    </w:p>
    <w:p w14:paraId="466B848C" w14:textId="77777777" w:rsidR="009F23E1" w:rsidRPr="009F23E1" w:rsidRDefault="009F23E1" w:rsidP="009F23E1">
      <w:pPr>
        <w:spacing w:after="0" w:line="240" w:lineRule="auto"/>
        <w:ind w:left="360"/>
      </w:pPr>
    </w:p>
    <w:p w14:paraId="25C8D8E3" w14:textId="77777777" w:rsidR="009F23E1" w:rsidRPr="009F23E1" w:rsidRDefault="009F23E1" w:rsidP="009F23E1">
      <w:pPr>
        <w:spacing w:after="0" w:line="240" w:lineRule="auto"/>
        <w:ind w:left="360"/>
      </w:pPr>
      <w:r>
        <w:rPr>
          <w:b/>
        </w:rPr>
        <w:t xml:space="preserve">Expiration Date: </w:t>
      </w:r>
      <w:r>
        <w:t xml:space="preserve">The date that the IRB’s approval of research has lapsed and research can no longer be performed. </w:t>
      </w:r>
      <w:r>
        <w:rPr>
          <w:i/>
        </w:rPr>
        <w:t>Note: An expiration date may not be longer than one year from the date the approval period begins.</w:t>
      </w:r>
    </w:p>
    <w:p w14:paraId="253530C4" w14:textId="77777777" w:rsidR="009F23E1" w:rsidRPr="009F23E1" w:rsidRDefault="009F23E1" w:rsidP="009F23E1">
      <w:pPr>
        <w:spacing w:after="0" w:line="240" w:lineRule="auto"/>
      </w:pPr>
    </w:p>
    <w:p w14:paraId="049CA0CE" w14:textId="77777777" w:rsidR="009F23E1" w:rsidRPr="009F23E1" w:rsidRDefault="009F23E1" w:rsidP="00A07209">
      <w:pPr>
        <w:numPr>
          <w:ilvl w:val="0"/>
          <w:numId w:val="150"/>
        </w:numPr>
        <w:tabs>
          <w:tab w:val="num" w:pos="360"/>
        </w:tabs>
        <w:spacing w:after="0" w:line="240" w:lineRule="auto"/>
        <w:rPr>
          <w:b/>
        </w:rPr>
      </w:pPr>
      <w:r>
        <w:rPr>
          <w:b/>
        </w:rPr>
        <w:t>Actions of the IRB</w:t>
      </w:r>
    </w:p>
    <w:p w14:paraId="07D1AAE6" w14:textId="77777777" w:rsidR="009F23E1" w:rsidRPr="009F23E1" w:rsidRDefault="009F23E1" w:rsidP="009F23E1">
      <w:pPr>
        <w:spacing w:after="0" w:line="240" w:lineRule="auto"/>
      </w:pPr>
    </w:p>
    <w:p w14:paraId="1195E58A" w14:textId="77777777" w:rsidR="009F23E1" w:rsidRPr="009F23E1" w:rsidRDefault="009F23E1" w:rsidP="00A07209">
      <w:pPr>
        <w:numPr>
          <w:ilvl w:val="1"/>
          <w:numId w:val="150"/>
        </w:numPr>
        <w:spacing w:after="60" w:line="240" w:lineRule="auto"/>
        <w:ind w:left="720"/>
      </w:pPr>
      <w:r>
        <w:t>When reviewing research, the convened IRBs will take one of the following actions:</w:t>
      </w:r>
    </w:p>
    <w:p w14:paraId="3E93AA83" w14:textId="77777777" w:rsidR="009F23E1" w:rsidRPr="009F23E1" w:rsidRDefault="009F23E1" w:rsidP="00A07209">
      <w:pPr>
        <w:numPr>
          <w:ilvl w:val="3"/>
          <w:numId w:val="139"/>
        </w:numPr>
        <w:tabs>
          <w:tab w:val="num" w:pos="1440"/>
        </w:tabs>
        <w:spacing w:after="0" w:line="240" w:lineRule="auto"/>
        <w:ind w:left="1440"/>
      </w:pPr>
      <w:r>
        <w:t>Approved</w:t>
      </w:r>
    </w:p>
    <w:p w14:paraId="42013317" w14:textId="77777777" w:rsidR="009F23E1" w:rsidRPr="009F23E1" w:rsidRDefault="009F23E1" w:rsidP="00A07209">
      <w:pPr>
        <w:numPr>
          <w:ilvl w:val="3"/>
          <w:numId w:val="139"/>
        </w:numPr>
        <w:tabs>
          <w:tab w:val="num" w:pos="1440"/>
        </w:tabs>
        <w:spacing w:after="0" w:line="240" w:lineRule="auto"/>
        <w:ind w:left="1440"/>
      </w:pPr>
      <w:r>
        <w:t>Modifications required</w:t>
      </w:r>
    </w:p>
    <w:p w14:paraId="4311C87B" w14:textId="77777777" w:rsidR="009F23E1" w:rsidRPr="009F23E1" w:rsidRDefault="009F23E1" w:rsidP="00A07209">
      <w:pPr>
        <w:numPr>
          <w:ilvl w:val="3"/>
          <w:numId w:val="139"/>
        </w:numPr>
        <w:tabs>
          <w:tab w:val="num" w:pos="1440"/>
        </w:tabs>
        <w:spacing w:after="0" w:line="240" w:lineRule="auto"/>
        <w:ind w:left="1440"/>
      </w:pPr>
      <w:r>
        <w:t>Deferred</w:t>
      </w:r>
    </w:p>
    <w:p w14:paraId="1C44E955" w14:textId="77777777" w:rsidR="009F23E1" w:rsidRPr="009F23E1" w:rsidRDefault="009F23E1" w:rsidP="00A07209">
      <w:pPr>
        <w:numPr>
          <w:ilvl w:val="3"/>
          <w:numId w:val="139"/>
        </w:numPr>
        <w:tabs>
          <w:tab w:val="num" w:pos="1440"/>
        </w:tabs>
        <w:spacing w:after="0" w:line="240" w:lineRule="auto"/>
        <w:ind w:left="1440"/>
      </w:pPr>
      <w:r>
        <w:t>Disapproved</w:t>
      </w:r>
    </w:p>
    <w:p w14:paraId="1AB822C5" w14:textId="77777777" w:rsidR="009F23E1" w:rsidRPr="009F23E1" w:rsidRDefault="009F23E1" w:rsidP="00A07209">
      <w:pPr>
        <w:numPr>
          <w:ilvl w:val="3"/>
          <w:numId w:val="139"/>
        </w:numPr>
        <w:tabs>
          <w:tab w:val="num" w:pos="1440"/>
        </w:tabs>
        <w:spacing w:after="0" w:line="240" w:lineRule="auto"/>
        <w:ind w:left="1440"/>
      </w:pPr>
      <w:r>
        <w:t>Tabled</w:t>
      </w:r>
    </w:p>
    <w:p w14:paraId="251A9E95" w14:textId="77777777" w:rsidR="009F23E1" w:rsidRPr="009F23E1" w:rsidRDefault="009F23E1" w:rsidP="009F23E1">
      <w:pPr>
        <w:spacing w:after="0" w:line="240" w:lineRule="auto"/>
      </w:pPr>
    </w:p>
    <w:p w14:paraId="09428AC1" w14:textId="77777777" w:rsidR="004662E4" w:rsidRDefault="009F23E1" w:rsidP="00A07209">
      <w:pPr>
        <w:numPr>
          <w:ilvl w:val="1"/>
          <w:numId w:val="150"/>
        </w:numPr>
        <w:autoSpaceDE w:val="0"/>
        <w:spacing w:after="0" w:line="240" w:lineRule="auto"/>
        <w:ind w:left="720"/>
      </w:pPr>
      <w:r>
        <w:t>These actions are applicable when the convened IRBs conduct initial review, continuing review, or review of amendments to previously approved research. Actions that can be taken when reviewing research by expedited procedures are described in HRPP policy [</w:t>
      </w:r>
      <w:hyperlink r:id="rId160" w:history="1">
        <w:r>
          <w:rPr>
            <w:color w:val="0000FF"/>
            <w:u w:val="single"/>
          </w:rPr>
          <w:t>Expedited and Administrative Review Procedures</w:t>
        </w:r>
      </w:hyperlink>
      <w:r>
        <w:t>].</w:t>
      </w:r>
    </w:p>
    <w:p w14:paraId="58D1D2AC" w14:textId="77777777" w:rsidR="004662E4" w:rsidRDefault="004662E4" w:rsidP="004662E4">
      <w:pPr>
        <w:autoSpaceDE w:val="0"/>
        <w:spacing w:after="0" w:line="240" w:lineRule="auto"/>
        <w:ind w:left="720"/>
      </w:pPr>
    </w:p>
    <w:p w14:paraId="048BF20C" w14:textId="77777777" w:rsidR="009F23E1" w:rsidRPr="004662E4" w:rsidRDefault="009F23E1" w:rsidP="00A07209">
      <w:pPr>
        <w:numPr>
          <w:ilvl w:val="0"/>
          <w:numId w:val="150"/>
        </w:numPr>
        <w:autoSpaceDE w:val="0"/>
        <w:spacing w:after="0" w:line="240" w:lineRule="auto"/>
      </w:pPr>
      <w:r>
        <w:rPr>
          <w:b/>
        </w:rPr>
        <w:t>IRB Review</w:t>
      </w:r>
    </w:p>
    <w:p w14:paraId="07D15682" w14:textId="77777777" w:rsidR="009F23E1" w:rsidRPr="009F23E1" w:rsidRDefault="009F23E1" w:rsidP="009F23E1">
      <w:pPr>
        <w:spacing w:after="0" w:line="240" w:lineRule="auto"/>
        <w:rPr>
          <w:b/>
        </w:rPr>
      </w:pPr>
    </w:p>
    <w:p w14:paraId="04F069C9" w14:textId="77777777" w:rsidR="004662E4" w:rsidRDefault="009F23E1" w:rsidP="004662E4">
      <w:pPr>
        <w:autoSpaceDE w:val="0"/>
        <w:spacing w:after="0" w:line="240" w:lineRule="auto"/>
        <w:ind w:left="360"/>
      </w:pPr>
      <w:r>
        <w:t>Initial and continuing review of research and review of amendments to previously approved research by the convened IRBs are conducted as described in HRPP policy [</w:t>
      </w:r>
      <w:hyperlink r:id="rId161" w:history="1">
        <w:r>
          <w:rPr>
            <w:color w:val="0000FF"/>
            <w:u w:val="single"/>
          </w:rPr>
          <w:t>Review of Research by the Convened IRB</w:t>
        </w:r>
      </w:hyperlink>
      <w:r>
        <w:t>]. Review of research by the expedited procedure is performed according to HRPP policy [</w:t>
      </w:r>
      <w:hyperlink r:id="rId162" w:history="1">
        <w:r>
          <w:rPr>
            <w:color w:val="0000FF"/>
            <w:u w:val="single"/>
          </w:rPr>
          <w:t>Expedited and Administrative Review Procedures</w:t>
        </w:r>
      </w:hyperlink>
      <w:r>
        <w:t>].</w:t>
      </w:r>
    </w:p>
    <w:p w14:paraId="1616EC1C" w14:textId="77777777" w:rsidR="004662E4" w:rsidRDefault="004662E4" w:rsidP="004662E4">
      <w:pPr>
        <w:autoSpaceDE w:val="0"/>
        <w:spacing w:after="0" w:line="240" w:lineRule="auto"/>
        <w:ind w:left="360"/>
      </w:pPr>
    </w:p>
    <w:p w14:paraId="086CA878" w14:textId="77777777" w:rsidR="009F23E1" w:rsidRPr="004662E4" w:rsidRDefault="009F23E1" w:rsidP="00A07209">
      <w:pPr>
        <w:pStyle w:val="ListParagraph"/>
        <w:numPr>
          <w:ilvl w:val="0"/>
          <w:numId w:val="150"/>
        </w:numPr>
        <w:autoSpaceDE w:val="0"/>
        <w:spacing w:after="0" w:line="240" w:lineRule="auto"/>
      </w:pPr>
      <w:r>
        <w:rPr>
          <w:b/>
        </w:rPr>
        <w:t>IRB Approval Period</w:t>
      </w:r>
    </w:p>
    <w:p w14:paraId="4B87C335" w14:textId="77777777" w:rsidR="009F23E1" w:rsidRPr="009F23E1" w:rsidRDefault="009F23E1" w:rsidP="009F23E1">
      <w:pPr>
        <w:spacing w:after="0" w:line="240" w:lineRule="auto"/>
        <w:rPr>
          <w:b/>
        </w:rPr>
      </w:pPr>
    </w:p>
    <w:p w14:paraId="3258AA43" w14:textId="77777777" w:rsidR="009F23E1" w:rsidRPr="009F23E1" w:rsidRDefault="009F23E1" w:rsidP="00A07209">
      <w:pPr>
        <w:numPr>
          <w:ilvl w:val="1"/>
          <w:numId w:val="150"/>
        </w:numPr>
        <w:spacing w:after="0" w:line="240" w:lineRule="auto"/>
        <w:ind w:left="720"/>
      </w:pPr>
      <w:r>
        <w:t>The IRBs may approve research for a period of up to one year. The initial and continuing review approval periods for a study reviewed by either convened or expedited review are determined as described below.</w:t>
      </w:r>
    </w:p>
    <w:p w14:paraId="0E88964C" w14:textId="77777777" w:rsidR="009F23E1" w:rsidRPr="009F23E1" w:rsidRDefault="009F23E1" w:rsidP="009F23E1">
      <w:pPr>
        <w:spacing w:after="0" w:line="240" w:lineRule="auto"/>
        <w:ind w:left="360"/>
      </w:pPr>
    </w:p>
    <w:p w14:paraId="28FA9FCD" w14:textId="77777777" w:rsidR="009F23E1" w:rsidRPr="009F23E1" w:rsidRDefault="009F23E1" w:rsidP="00A07209">
      <w:pPr>
        <w:numPr>
          <w:ilvl w:val="1"/>
          <w:numId w:val="150"/>
        </w:numPr>
        <w:spacing w:after="60" w:line="240" w:lineRule="auto"/>
        <w:ind w:left="720"/>
      </w:pPr>
      <w:r>
        <w:t xml:space="preserve">For initial review, the date that research is approved, or if modifications are required (to secure approval), the date that the modifications/conditions are met by the investigator is the “start date” for the approval period. </w:t>
      </w:r>
    </w:p>
    <w:p w14:paraId="31D14C2C" w14:textId="77777777" w:rsidR="009F23E1" w:rsidRPr="009F23E1" w:rsidRDefault="009F23E1" w:rsidP="00A07209">
      <w:pPr>
        <w:numPr>
          <w:ilvl w:val="2"/>
          <w:numId w:val="142"/>
        </w:numPr>
        <w:tabs>
          <w:tab w:val="num" w:pos="1440"/>
        </w:tabs>
        <w:spacing w:after="60" w:line="240" w:lineRule="auto"/>
        <w:ind w:left="1440"/>
      </w:pPr>
      <w:r>
        <w:t>For example, if modifications were required for a study reviewed by the convened IRB on May 1, 2016, and the required modifications/conditions were met by the investigator on May 15, 2016, the maximum approval period begins May 15, 2016, and ends May 14, 2017.</w:t>
      </w:r>
    </w:p>
    <w:p w14:paraId="4563FF83" w14:textId="77777777" w:rsidR="009F23E1" w:rsidRPr="009F23E1" w:rsidRDefault="009F23E1" w:rsidP="00A07209">
      <w:pPr>
        <w:numPr>
          <w:ilvl w:val="2"/>
          <w:numId w:val="142"/>
        </w:numPr>
        <w:tabs>
          <w:tab w:val="num" w:pos="1440"/>
        </w:tabs>
        <w:spacing w:after="0" w:line="240" w:lineRule="auto"/>
        <w:ind w:left="1440"/>
      </w:pPr>
      <w:r>
        <w:lastRenderedPageBreak/>
        <w:t>In the example above, the first date that the research can be performed (assuming that notification from the IRB is received) is May 15, 2016.</w:t>
      </w:r>
    </w:p>
    <w:p w14:paraId="284E2207" w14:textId="77777777" w:rsidR="009F23E1" w:rsidRPr="009F23E1" w:rsidRDefault="009F23E1" w:rsidP="00A07209">
      <w:pPr>
        <w:numPr>
          <w:ilvl w:val="1"/>
          <w:numId w:val="150"/>
        </w:numPr>
        <w:spacing w:after="60" w:line="240" w:lineRule="auto"/>
        <w:ind w:left="720"/>
        <w:rPr>
          <w:i/>
          <w:iCs/>
        </w:rPr>
      </w:pPr>
      <w:r>
        <w:t xml:space="preserve">For continuing review, the date that research is re-approved or modifications are required is the “start date” for the approval period. </w:t>
      </w:r>
      <w:r>
        <w:rPr>
          <w:i/>
          <w:iCs/>
        </w:rPr>
        <w:t xml:space="preserve">Note: When modifications are required, the approval period begins on the date that modifications are required by the IRB (e.g., date of the convened meeting), </w:t>
      </w:r>
      <w:r>
        <w:rPr>
          <w:b/>
          <w:i/>
          <w:iCs/>
        </w:rPr>
        <w:t>NOT</w:t>
      </w:r>
      <w:r>
        <w:rPr>
          <w:i/>
          <w:iCs/>
        </w:rPr>
        <w:t xml:space="preserve"> the date that the modifications/conditions were met by the investigator, which is different from the initial review “start date.”</w:t>
      </w:r>
    </w:p>
    <w:p w14:paraId="587C2D6D" w14:textId="77777777" w:rsidR="009F23E1" w:rsidRPr="009F23E1" w:rsidRDefault="009F23E1" w:rsidP="00A07209">
      <w:pPr>
        <w:numPr>
          <w:ilvl w:val="2"/>
          <w:numId w:val="142"/>
        </w:numPr>
        <w:tabs>
          <w:tab w:val="num" w:pos="1440"/>
        </w:tabs>
        <w:spacing w:after="0" w:line="240" w:lineRule="auto"/>
        <w:ind w:left="1440"/>
      </w:pPr>
      <w:r>
        <w:t>For example, if modifications were required for a study reviewed by expedited procedures on May 1, 2016, and the required modifications/conditions were met by the investigator on May 15, 2016, the maximum approval period begins May 1, 2016, and ends April 30, 2017.</w:t>
      </w:r>
    </w:p>
    <w:p w14:paraId="2EE781FF" w14:textId="77777777" w:rsidR="009F23E1" w:rsidRPr="009F23E1" w:rsidRDefault="009F23E1" w:rsidP="009F23E1">
      <w:pPr>
        <w:tabs>
          <w:tab w:val="left" w:pos="-1440"/>
        </w:tabs>
        <w:spacing w:after="0" w:line="240" w:lineRule="auto"/>
        <w:ind w:left="720"/>
      </w:pPr>
    </w:p>
    <w:p w14:paraId="0272CD7C" w14:textId="77777777" w:rsidR="009F23E1" w:rsidRPr="009F23E1" w:rsidRDefault="009F23E1" w:rsidP="00A07209">
      <w:pPr>
        <w:numPr>
          <w:ilvl w:val="1"/>
          <w:numId w:val="150"/>
        </w:numPr>
        <w:tabs>
          <w:tab w:val="left" w:pos="-1440"/>
        </w:tabs>
        <w:spacing w:after="60" w:line="240" w:lineRule="auto"/>
        <w:ind w:left="720"/>
      </w:pPr>
      <w:r>
        <w:t>The expiration date is the first date following the approval period, on which the IRB’s approval of research has lapsed and research can no longer be performed.</w:t>
      </w:r>
    </w:p>
    <w:p w14:paraId="0941CA38" w14:textId="77777777" w:rsidR="009F23E1" w:rsidRPr="009F23E1" w:rsidRDefault="009F23E1" w:rsidP="00A07209">
      <w:pPr>
        <w:numPr>
          <w:ilvl w:val="2"/>
          <w:numId w:val="143"/>
        </w:numPr>
        <w:tabs>
          <w:tab w:val="left" w:pos="-1440"/>
          <w:tab w:val="num" w:pos="1440"/>
        </w:tabs>
        <w:spacing w:after="60" w:line="240" w:lineRule="auto"/>
        <w:ind w:left="1440"/>
      </w:pPr>
      <w:r>
        <w:t>For example, the expiration date for research that was approved on June 1, 2016, with a continuing review frequency of one year is June 1, 2017.</w:t>
      </w:r>
    </w:p>
    <w:p w14:paraId="3BF7745A" w14:textId="77777777" w:rsidR="004662E4" w:rsidRDefault="009F23E1" w:rsidP="00A07209">
      <w:pPr>
        <w:numPr>
          <w:ilvl w:val="2"/>
          <w:numId w:val="143"/>
        </w:numPr>
        <w:tabs>
          <w:tab w:val="num" w:pos="1440"/>
        </w:tabs>
        <w:spacing w:after="0" w:line="240" w:lineRule="auto"/>
        <w:ind w:left="1440"/>
      </w:pPr>
      <w:r>
        <w:t>In the example above, the last date that the research can be performed (unless the study is re-approved) is May 31, 2017.</w:t>
      </w:r>
    </w:p>
    <w:p w14:paraId="1F377F66" w14:textId="77777777" w:rsidR="009F23E1" w:rsidRPr="004662E4" w:rsidRDefault="009F23E1" w:rsidP="00A07209">
      <w:pPr>
        <w:pStyle w:val="ListParagraph"/>
        <w:numPr>
          <w:ilvl w:val="0"/>
          <w:numId w:val="150"/>
        </w:numPr>
        <w:spacing w:after="0" w:line="240" w:lineRule="auto"/>
      </w:pPr>
      <w:r>
        <w:rPr>
          <w:b/>
        </w:rPr>
        <w:t>Frequency of IRB Review</w:t>
      </w:r>
    </w:p>
    <w:p w14:paraId="2F1F2706" w14:textId="77777777" w:rsidR="009F23E1" w:rsidRPr="009F23E1" w:rsidRDefault="009F23E1" w:rsidP="009F23E1">
      <w:pPr>
        <w:tabs>
          <w:tab w:val="left" w:pos="-1440"/>
        </w:tabs>
        <w:spacing w:after="0" w:line="240" w:lineRule="auto"/>
        <w:ind w:left="360"/>
      </w:pPr>
    </w:p>
    <w:p w14:paraId="5928E925" w14:textId="77777777" w:rsidR="009F23E1" w:rsidRPr="009F23E1" w:rsidRDefault="009F23E1" w:rsidP="00A07209">
      <w:pPr>
        <w:numPr>
          <w:ilvl w:val="1"/>
          <w:numId w:val="150"/>
        </w:numPr>
        <w:tabs>
          <w:tab w:val="left" w:pos="-1440"/>
        </w:tabs>
        <w:spacing w:after="60" w:line="240" w:lineRule="auto"/>
        <w:ind w:left="720"/>
      </w:pPr>
      <w:r>
        <w:t>The IRBs will require continuing review at intervals appropriate to the degree of risk, but not less than once per year. The criteria used to consider whether more frequent review is required includes, but is not limited to, the following:</w:t>
      </w:r>
    </w:p>
    <w:p w14:paraId="118513B9" w14:textId="77777777" w:rsidR="009F23E1" w:rsidRPr="009F23E1" w:rsidRDefault="009F23E1" w:rsidP="00A07209">
      <w:pPr>
        <w:numPr>
          <w:ilvl w:val="3"/>
          <w:numId w:val="140"/>
        </w:numPr>
        <w:tabs>
          <w:tab w:val="left" w:pos="-1440"/>
          <w:tab w:val="num" w:pos="1440"/>
        </w:tabs>
        <w:spacing w:after="60" w:line="240" w:lineRule="auto"/>
        <w:ind w:left="1440"/>
      </w:pPr>
      <w:r>
        <w:t>High-risk research where there is concern about serious adverse events</w:t>
      </w:r>
    </w:p>
    <w:p w14:paraId="39526D89" w14:textId="77777777" w:rsidR="009F23E1" w:rsidRPr="009F23E1" w:rsidRDefault="009F23E1" w:rsidP="00A07209">
      <w:pPr>
        <w:numPr>
          <w:ilvl w:val="3"/>
          <w:numId w:val="140"/>
        </w:numPr>
        <w:tabs>
          <w:tab w:val="left" w:pos="-1440"/>
          <w:tab w:val="num" w:pos="1440"/>
        </w:tabs>
        <w:spacing w:after="60" w:line="240" w:lineRule="auto"/>
        <w:ind w:left="1440"/>
      </w:pPr>
      <w:r>
        <w:t>Research where the potential risks in humans are unknown and may have the potential to be serious (e.g., phase I drug study)</w:t>
      </w:r>
    </w:p>
    <w:p w14:paraId="2A40E5A1" w14:textId="77777777" w:rsidR="009F23E1" w:rsidRPr="009F23E1" w:rsidRDefault="009F23E1" w:rsidP="00A07209">
      <w:pPr>
        <w:numPr>
          <w:ilvl w:val="3"/>
          <w:numId w:val="140"/>
        </w:numPr>
        <w:tabs>
          <w:tab w:val="left" w:pos="-1440"/>
          <w:tab w:val="num" w:pos="1440"/>
        </w:tabs>
        <w:spacing w:after="60" w:line="240" w:lineRule="auto"/>
        <w:ind w:left="1440"/>
      </w:pPr>
      <w:r>
        <w:t>Protocols with complex regulatory compliance requirements, such as research involving an investigator-held IND or IDE</w:t>
      </w:r>
    </w:p>
    <w:p w14:paraId="16B6288F" w14:textId="77777777" w:rsidR="009F23E1" w:rsidRPr="009F23E1" w:rsidRDefault="009F23E1" w:rsidP="00A07209">
      <w:pPr>
        <w:numPr>
          <w:ilvl w:val="3"/>
          <w:numId w:val="140"/>
        </w:numPr>
        <w:tabs>
          <w:tab w:val="left" w:pos="-1440"/>
          <w:tab w:val="num" w:pos="1440"/>
        </w:tabs>
        <w:spacing w:after="60" w:line="240" w:lineRule="auto"/>
        <w:ind w:left="1440"/>
      </w:pPr>
      <w:r>
        <w:t>Research being conducted in international or other off-site location(s) when a university IRB is serving as the IRB of record</w:t>
      </w:r>
    </w:p>
    <w:p w14:paraId="653EABF8" w14:textId="77777777" w:rsidR="009F23E1" w:rsidRPr="009F23E1" w:rsidRDefault="009F23E1" w:rsidP="00A07209">
      <w:pPr>
        <w:numPr>
          <w:ilvl w:val="3"/>
          <w:numId w:val="140"/>
        </w:numPr>
        <w:tabs>
          <w:tab w:val="left" w:pos="-1440"/>
          <w:tab w:val="num" w:pos="1440"/>
        </w:tabs>
        <w:spacing w:after="60" w:line="240" w:lineRule="auto"/>
        <w:ind w:left="1440"/>
      </w:pPr>
      <w:r>
        <w:t>Research in which an investigator has a potential conflict of interest that warrants more frequent reporting and review</w:t>
      </w:r>
    </w:p>
    <w:p w14:paraId="305847E0" w14:textId="77777777" w:rsidR="009F23E1" w:rsidRPr="009F23E1" w:rsidRDefault="009F23E1" w:rsidP="00A07209">
      <w:pPr>
        <w:numPr>
          <w:ilvl w:val="3"/>
          <w:numId w:val="140"/>
        </w:numPr>
        <w:tabs>
          <w:tab w:val="left" w:pos="-1440"/>
          <w:tab w:val="num" w:pos="1440"/>
        </w:tabs>
        <w:spacing w:after="60" w:line="240" w:lineRule="auto"/>
        <w:ind w:left="1440"/>
      </w:pPr>
      <w:r>
        <w:t>Investigator/protocol has had compliance problems in the recent past</w:t>
      </w:r>
    </w:p>
    <w:p w14:paraId="45CA1CBD" w14:textId="77777777" w:rsidR="009F23E1" w:rsidRPr="009F23E1" w:rsidRDefault="009F23E1" w:rsidP="00A07209">
      <w:pPr>
        <w:numPr>
          <w:ilvl w:val="3"/>
          <w:numId w:val="140"/>
        </w:numPr>
        <w:tabs>
          <w:tab w:val="left" w:pos="-1440"/>
          <w:tab w:val="num" w:pos="1440"/>
        </w:tabs>
        <w:spacing w:after="0" w:line="240" w:lineRule="auto"/>
        <w:ind w:left="1440"/>
      </w:pPr>
      <w:r>
        <w:t>Other issue warranting more frequent review at the discretion of the IRB</w:t>
      </w:r>
    </w:p>
    <w:p w14:paraId="75BD599F" w14:textId="77777777" w:rsidR="009F23E1" w:rsidRPr="009F23E1" w:rsidRDefault="009F23E1" w:rsidP="009F23E1">
      <w:pPr>
        <w:tabs>
          <w:tab w:val="left" w:pos="-1440"/>
        </w:tabs>
        <w:spacing w:after="0" w:line="240" w:lineRule="auto"/>
        <w:ind w:left="360"/>
      </w:pPr>
    </w:p>
    <w:p w14:paraId="7C24163B" w14:textId="77777777" w:rsidR="009F23E1" w:rsidRPr="009F23E1" w:rsidRDefault="009F23E1" w:rsidP="00A07209">
      <w:pPr>
        <w:numPr>
          <w:ilvl w:val="1"/>
          <w:numId w:val="144"/>
        </w:numPr>
        <w:tabs>
          <w:tab w:val="left" w:pos="-1440"/>
        </w:tabs>
        <w:spacing w:after="60" w:line="240" w:lineRule="auto"/>
      </w:pPr>
      <w:r>
        <w:t>Depending on the research, the following types of interval frequencies may be considered:</w:t>
      </w:r>
    </w:p>
    <w:p w14:paraId="0F75BDD0" w14:textId="77777777" w:rsidR="009F23E1" w:rsidRPr="009F23E1" w:rsidRDefault="009F23E1" w:rsidP="00A07209">
      <w:pPr>
        <w:numPr>
          <w:ilvl w:val="2"/>
          <w:numId w:val="141"/>
        </w:numPr>
        <w:tabs>
          <w:tab w:val="left" w:pos="-1440"/>
          <w:tab w:val="num" w:pos="1440"/>
        </w:tabs>
        <w:spacing w:after="60" w:line="240" w:lineRule="auto"/>
        <w:ind w:left="1440"/>
      </w:pPr>
      <w:r>
        <w:t>Specified time period (such as annual, semi-annual, or quarterly review)</w:t>
      </w:r>
    </w:p>
    <w:p w14:paraId="32FF8917" w14:textId="77777777" w:rsidR="009F23E1" w:rsidRPr="009F23E1" w:rsidRDefault="009F23E1" w:rsidP="00A07209">
      <w:pPr>
        <w:numPr>
          <w:ilvl w:val="2"/>
          <w:numId w:val="141"/>
        </w:numPr>
        <w:tabs>
          <w:tab w:val="left" w:pos="-1440"/>
          <w:tab w:val="num" w:pos="1440"/>
        </w:tabs>
        <w:spacing w:after="60" w:line="240" w:lineRule="auto"/>
        <w:ind w:left="1440"/>
      </w:pPr>
      <w:r>
        <w:t>Requirement to report back to the IRB after a specified number of participants have been enrolled or undergone study interventions</w:t>
      </w:r>
    </w:p>
    <w:p w14:paraId="103AF77F" w14:textId="77777777" w:rsidR="009F23E1" w:rsidRPr="009F23E1" w:rsidRDefault="009F23E1" w:rsidP="00A07209">
      <w:pPr>
        <w:numPr>
          <w:ilvl w:val="2"/>
          <w:numId w:val="141"/>
        </w:numPr>
        <w:tabs>
          <w:tab w:val="left" w:pos="-1440"/>
          <w:tab w:val="num" w:pos="1440"/>
        </w:tabs>
        <w:spacing w:after="0" w:line="240" w:lineRule="auto"/>
        <w:ind w:left="1440"/>
      </w:pPr>
      <w:r>
        <w:t>Other point in the research meriting reporting and review (e.g., completion of phase I of a multi-phase study)</w:t>
      </w:r>
    </w:p>
    <w:p w14:paraId="41358932" w14:textId="77777777" w:rsidR="009F23E1" w:rsidRPr="009F23E1" w:rsidRDefault="009F23E1" w:rsidP="009F23E1">
      <w:pPr>
        <w:tabs>
          <w:tab w:val="left" w:pos="-1440"/>
        </w:tabs>
        <w:spacing w:after="0" w:line="240" w:lineRule="auto"/>
      </w:pPr>
    </w:p>
    <w:p w14:paraId="3DDD16A2" w14:textId="77777777" w:rsidR="009F23E1" w:rsidRPr="004662E4" w:rsidRDefault="009F23E1" w:rsidP="00A07209">
      <w:pPr>
        <w:pStyle w:val="ListParagraph"/>
        <w:numPr>
          <w:ilvl w:val="0"/>
          <w:numId w:val="150"/>
        </w:numPr>
        <w:tabs>
          <w:tab w:val="num" w:pos="360"/>
        </w:tabs>
        <w:spacing w:after="0" w:line="240" w:lineRule="auto"/>
      </w:pPr>
      <w:r>
        <w:rPr>
          <w:b/>
        </w:rPr>
        <w:t>Review of Investigator Responses</w:t>
      </w:r>
    </w:p>
    <w:p w14:paraId="65BA2C07" w14:textId="77777777" w:rsidR="009F23E1" w:rsidRPr="009F23E1" w:rsidRDefault="009F23E1" w:rsidP="009F23E1">
      <w:pPr>
        <w:spacing w:after="0" w:line="240" w:lineRule="auto"/>
      </w:pPr>
    </w:p>
    <w:p w14:paraId="3237E6F4" w14:textId="77777777" w:rsidR="009F23E1" w:rsidRPr="009F23E1" w:rsidRDefault="009F23E1" w:rsidP="00A07209">
      <w:pPr>
        <w:numPr>
          <w:ilvl w:val="1"/>
          <w:numId w:val="145"/>
        </w:numPr>
        <w:spacing w:after="0" w:line="240" w:lineRule="auto"/>
      </w:pPr>
      <w:r>
        <w:lastRenderedPageBreak/>
        <w:t xml:space="preserve">When the IRBs require modifications to research, investigators’ responses will be reviewed to verify that the conditions for approval have been satisfied. Depending on the nature of the modifications, this subsequent review/verification may be performed by the IRB chair, one or more IRB members or a consultant with specific expertise, and/or qualified ORRP staff (who may or may not be IRB members). Questions about whether the conditions for approval have been satisfied will be forwarded to the IRB chairs or vice chairs. When the conditions for approval are not met, investigators will be notified; and the submission will be referred to the convened IRBs for review (i.e., research cannot be disapproved except by convened review). </w:t>
      </w:r>
      <w:r>
        <w:rPr>
          <w:bCs/>
        </w:rPr>
        <w:t xml:space="preserve">For specific details regarding the administrative review/verification of investigators’ responses to modifications, see </w:t>
      </w:r>
      <w:hyperlink w:anchor="Attachment1" w:history="1">
        <w:r>
          <w:rPr>
            <w:color w:val="0000FF"/>
            <w:u w:val="single"/>
          </w:rPr>
          <w:t>Attachment 1</w:t>
        </w:r>
      </w:hyperlink>
      <w:r>
        <w:t>.</w:t>
      </w:r>
    </w:p>
    <w:p w14:paraId="25A3F363" w14:textId="77777777" w:rsidR="009F23E1" w:rsidRPr="009F23E1" w:rsidRDefault="009F23E1" w:rsidP="009F23E1">
      <w:pPr>
        <w:spacing w:after="0" w:line="240" w:lineRule="auto"/>
        <w:ind w:left="720"/>
      </w:pPr>
    </w:p>
    <w:p w14:paraId="1DBCE127" w14:textId="77777777" w:rsidR="009F23E1" w:rsidRPr="009F23E1" w:rsidRDefault="009F23E1" w:rsidP="00A07209">
      <w:pPr>
        <w:numPr>
          <w:ilvl w:val="1"/>
          <w:numId w:val="145"/>
        </w:numPr>
        <w:spacing w:after="0" w:line="240" w:lineRule="auto"/>
      </w:pPr>
      <w:r>
        <w:t>When research is deferred by convened review, only the convened IRB may reconsider the clarifications and/or modifications made to the submission. Whenever possible, the original IRB reviewer(s) will be reassigned review of the research.</w:t>
      </w:r>
    </w:p>
    <w:p w14:paraId="721653E1" w14:textId="77777777" w:rsidR="009F23E1" w:rsidRPr="009F23E1" w:rsidRDefault="009F23E1" w:rsidP="009F23E1">
      <w:pPr>
        <w:spacing w:after="0" w:line="240" w:lineRule="auto"/>
        <w:ind w:left="720"/>
      </w:pPr>
    </w:p>
    <w:p w14:paraId="5D9CE036" w14:textId="77777777" w:rsidR="009F23E1" w:rsidRPr="009F23E1" w:rsidRDefault="009F23E1" w:rsidP="00A07209">
      <w:pPr>
        <w:numPr>
          <w:ilvl w:val="1"/>
          <w:numId w:val="145"/>
        </w:numPr>
        <w:autoSpaceDE w:val="0"/>
        <w:spacing w:after="0" w:line="240" w:lineRule="auto"/>
      </w:pPr>
      <w:r>
        <w:t>When research is disapproved, an investigator will submit a new, revised application to request approval. Review of such applications will be by the convened IRBs unless the research meets the criteria for expedited review, as described in HRPP policy [</w:t>
      </w:r>
      <w:hyperlink r:id="rId163" w:history="1">
        <w:r>
          <w:rPr>
            <w:color w:val="0000FF"/>
            <w:u w:val="single"/>
          </w:rPr>
          <w:t>Expedited and Administrative Review Procedures</w:t>
        </w:r>
      </w:hyperlink>
      <w:r>
        <w:t>].</w:t>
      </w:r>
    </w:p>
    <w:p w14:paraId="66527306" w14:textId="77777777" w:rsidR="009F23E1" w:rsidRPr="009F23E1" w:rsidRDefault="009F23E1" w:rsidP="009F23E1">
      <w:pPr>
        <w:spacing w:after="0" w:line="240" w:lineRule="auto"/>
        <w:ind w:hanging="360"/>
      </w:pPr>
    </w:p>
    <w:p w14:paraId="04138D3E" w14:textId="77777777" w:rsidR="009F23E1" w:rsidRPr="009F23E1" w:rsidRDefault="009F23E1" w:rsidP="00A07209">
      <w:pPr>
        <w:numPr>
          <w:ilvl w:val="1"/>
          <w:numId w:val="145"/>
        </w:numPr>
        <w:autoSpaceDE w:val="0"/>
        <w:spacing w:after="0" w:line="240" w:lineRule="auto"/>
      </w:pPr>
      <w:r>
        <w:t>Investigator appeals of IRB decisions are reviewed by the IRBs as described in HRPP policy [</w:t>
      </w:r>
      <w:hyperlink r:id="rId164" w:history="1">
        <w:r>
          <w:rPr>
            <w:color w:val="0000FF"/>
            <w:u w:val="single"/>
          </w:rPr>
          <w:t>Review of Research by the Convened IRB</w:t>
        </w:r>
      </w:hyperlink>
      <w:r>
        <w:t>].</w:t>
      </w:r>
    </w:p>
    <w:p w14:paraId="7D1E31C0" w14:textId="77777777" w:rsidR="009F23E1" w:rsidRPr="009F23E1" w:rsidRDefault="009F23E1" w:rsidP="009F23E1">
      <w:pPr>
        <w:spacing w:after="0" w:line="240" w:lineRule="auto"/>
        <w:ind w:hanging="360"/>
      </w:pPr>
    </w:p>
    <w:p w14:paraId="0A6795BA" w14:textId="77777777" w:rsidR="009F23E1" w:rsidRPr="009F23E1" w:rsidRDefault="009F23E1" w:rsidP="00A07209">
      <w:pPr>
        <w:numPr>
          <w:ilvl w:val="1"/>
          <w:numId w:val="145"/>
        </w:numPr>
        <w:spacing w:after="0" w:line="240" w:lineRule="auto"/>
      </w:pPr>
      <w:r>
        <w:t>For IRB actions that require a response(s) from an investigator before the research can proceed, reminder notices are sent weekly from the Buck-IRB system until a response is received. If the response is not received within 90 days, the principal investigator will be notified that the submission has been administratively withdrawn.</w:t>
      </w:r>
    </w:p>
    <w:p w14:paraId="42E7C787" w14:textId="77777777" w:rsidR="009F23E1" w:rsidRPr="009F23E1" w:rsidRDefault="009F23E1" w:rsidP="009F23E1">
      <w:pPr>
        <w:spacing w:after="0" w:line="240" w:lineRule="auto"/>
      </w:pPr>
    </w:p>
    <w:p w14:paraId="50DE6068" w14:textId="77777777" w:rsidR="009F23E1" w:rsidRPr="009F23E1" w:rsidRDefault="009F23E1" w:rsidP="00A07209">
      <w:pPr>
        <w:numPr>
          <w:ilvl w:val="0"/>
          <w:numId w:val="146"/>
        </w:numPr>
        <w:spacing w:after="0" w:line="240" w:lineRule="auto"/>
      </w:pPr>
      <w:r>
        <w:rPr>
          <w:b/>
        </w:rPr>
        <w:t>Communication of IRB Actions</w:t>
      </w:r>
    </w:p>
    <w:p w14:paraId="7E2551DD" w14:textId="77777777" w:rsidR="009F23E1" w:rsidRPr="009F23E1" w:rsidRDefault="009F23E1" w:rsidP="009F23E1">
      <w:pPr>
        <w:spacing w:after="0" w:line="240" w:lineRule="auto"/>
        <w:rPr>
          <w:b/>
        </w:rPr>
      </w:pPr>
    </w:p>
    <w:p w14:paraId="78C2948D" w14:textId="77777777" w:rsidR="009F23E1" w:rsidRPr="009F23E1" w:rsidRDefault="009F23E1" w:rsidP="00A07209">
      <w:pPr>
        <w:numPr>
          <w:ilvl w:val="1"/>
          <w:numId w:val="146"/>
        </w:numPr>
        <w:tabs>
          <w:tab w:val="num" w:pos="720"/>
        </w:tabs>
        <w:spacing w:after="0" w:line="240" w:lineRule="auto"/>
        <w:ind w:left="720"/>
      </w:pPr>
      <w:r>
        <w:t xml:space="preserve">After the IRB chairs (or designees) approve the minutes of the convened IRB meetings, ORRP staff prepare notification letters to inform investigators of IRB actions. </w:t>
      </w:r>
      <w:r>
        <w:rPr>
          <w:i/>
          <w:iCs/>
        </w:rPr>
        <w:t>Note: Approval letters can be sent prior to completion of the meeting minutes.</w:t>
      </w:r>
    </w:p>
    <w:p w14:paraId="5BC9DC6F" w14:textId="77777777" w:rsidR="009F23E1" w:rsidRPr="009F23E1" w:rsidRDefault="009F23E1" w:rsidP="009F23E1">
      <w:pPr>
        <w:spacing w:after="0" w:line="240" w:lineRule="auto"/>
        <w:ind w:left="360"/>
      </w:pPr>
    </w:p>
    <w:p w14:paraId="6A1A67DC" w14:textId="77777777" w:rsidR="009F23E1" w:rsidRPr="009F23E1" w:rsidRDefault="009F23E1" w:rsidP="00A07209">
      <w:pPr>
        <w:numPr>
          <w:ilvl w:val="1"/>
          <w:numId w:val="146"/>
        </w:numPr>
        <w:tabs>
          <w:tab w:val="num" w:pos="720"/>
        </w:tabs>
        <w:spacing w:after="60" w:line="240" w:lineRule="auto"/>
        <w:ind w:left="720"/>
      </w:pPr>
      <w:r>
        <w:t>Notification letters sent from Buck-IRB include (minimally) the following information:</w:t>
      </w:r>
    </w:p>
    <w:p w14:paraId="120F6573" w14:textId="77777777" w:rsidR="009F23E1" w:rsidRPr="009F23E1" w:rsidRDefault="009F23E1" w:rsidP="00A07209">
      <w:pPr>
        <w:numPr>
          <w:ilvl w:val="0"/>
          <w:numId w:val="147"/>
        </w:numPr>
        <w:tabs>
          <w:tab w:val="num" w:pos="1440"/>
        </w:tabs>
        <w:spacing w:after="60" w:line="240" w:lineRule="auto"/>
        <w:ind w:left="1440"/>
      </w:pPr>
      <w:r>
        <w:t>Date of review</w:t>
      </w:r>
    </w:p>
    <w:p w14:paraId="73B3B049" w14:textId="77777777" w:rsidR="009F23E1" w:rsidRPr="009F23E1" w:rsidRDefault="009F23E1" w:rsidP="00A07209">
      <w:pPr>
        <w:numPr>
          <w:ilvl w:val="0"/>
          <w:numId w:val="147"/>
        </w:numPr>
        <w:tabs>
          <w:tab w:val="num" w:pos="1440"/>
        </w:tabs>
        <w:spacing w:after="60" w:line="240" w:lineRule="auto"/>
        <w:ind w:left="1440"/>
      </w:pPr>
      <w:r>
        <w:t>Type of submission reviewed (e.g., initial review, continuing review, or review of amendments to previously approved research)</w:t>
      </w:r>
    </w:p>
    <w:p w14:paraId="4F7ED39C" w14:textId="77777777" w:rsidR="009F23E1" w:rsidRPr="009F23E1" w:rsidRDefault="009F23E1" w:rsidP="00A07209">
      <w:pPr>
        <w:numPr>
          <w:ilvl w:val="0"/>
          <w:numId w:val="147"/>
        </w:numPr>
        <w:tabs>
          <w:tab w:val="num" w:pos="1440"/>
        </w:tabs>
        <w:spacing w:after="60" w:line="240" w:lineRule="auto"/>
        <w:ind w:left="1440"/>
      </w:pPr>
      <w:r>
        <w:t>IRB action</w:t>
      </w:r>
    </w:p>
    <w:p w14:paraId="4F88E183" w14:textId="77777777" w:rsidR="009F23E1" w:rsidRPr="009F23E1" w:rsidRDefault="009F23E1" w:rsidP="00A07209">
      <w:pPr>
        <w:numPr>
          <w:ilvl w:val="0"/>
          <w:numId w:val="147"/>
        </w:numPr>
        <w:tabs>
          <w:tab w:val="num" w:pos="1440"/>
        </w:tabs>
        <w:spacing w:after="60" w:line="240" w:lineRule="auto"/>
        <w:ind w:left="1440"/>
      </w:pPr>
      <w:r>
        <w:t>Approval and expiration date (when applicable)</w:t>
      </w:r>
    </w:p>
    <w:p w14:paraId="51403043" w14:textId="77777777" w:rsidR="009F23E1" w:rsidRPr="009F23E1" w:rsidRDefault="009F23E1" w:rsidP="00A07209">
      <w:pPr>
        <w:numPr>
          <w:ilvl w:val="0"/>
          <w:numId w:val="147"/>
        </w:numPr>
        <w:tabs>
          <w:tab w:val="num" w:pos="1440"/>
        </w:tabs>
        <w:spacing w:after="60" w:line="240" w:lineRule="auto"/>
        <w:ind w:left="1440"/>
      </w:pPr>
      <w:r>
        <w:t>Any associated approvals requiring specific regulatory findings (e.g., waiver of the requirement for obtaining informed consent)</w:t>
      </w:r>
    </w:p>
    <w:p w14:paraId="268853BB" w14:textId="77777777" w:rsidR="009F23E1" w:rsidRPr="009F23E1" w:rsidRDefault="009F23E1" w:rsidP="00A07209">
      <w:pPr>
        <w:numPr>
          <w:ilvl w:val="0"/>
          <w:numId w:val="147"/>
        </w:numPr>
        <w:tabs>
          <w:tab w:val="num" w:pos="1440"/>
        </w:tabs>
        <w:spacing w:after="60" w:line="240" w:lineRule="auto"/>
        <w:ind w:left="1440"/>
      </w:pPr>
      <w:r>
        <w:t>Modifications or additional clarifications required, or other conditions that must be satisfied by the investigator, if any, for IRB approval</w:t>
      </w:r>
    </w:p>
    <w:p w14:paraId="5700FB28" w14:textId="77777777" w:rsidR="009F23E1" w:rsidRPr="009F23E1" w:rsidRDefault="009F23E1" w:rsidP="00A07209">
      <w:pPr>
        <w:numPr>
          <w:ilvl w:val="0"/>
          <w:numId w:val="147"/>
        </w:numPr>
        <w:tabs>
          <w:tab w:val="num" w:pos="1440"/>
        </w:tabs>
        <w:spacing w:after="60" w:line="240" w:lineRule="auto"/>
        <w:ind w:left="1440"/>
      </w:pPr>
      <w:r>
        <w:t>For initial review, any conditions under which the research may be initiated</w:t>
      </w:r>
    </w:p>
    <w:p w14:paraId="5BB01FA5" w14:textId="77777777" w:rsidR="009F23E1" w:rsidRPr="009F23E1" w:rsidRDefault="009F23E1" w:rsidP="00A07209">
      <w:pPr>
        <w:numPr>
          <w:ilvl w:val="0"/>
          <w:numId w:val="147"/>
        </w:numPr>
        <w:tabs>
          <w:tab w:val="num" w:pos="1440"/>
        </w:tabs>
        <w:spacing w:after="60" w:line="240" w:lineRule="auto"/>
        <w:ind w:left="1440"/>
      </w:pPr>
      <w:r>
        <w:lastRenderedPageBreak/>
        <w:t>For continuing review and amendments, any conditions that must be satisfied before an investigator can continue research activities</w:t>
      </w:r>
    </w:p>
    <w:p w14:paraId="0EBAEF49" w14:textId="77777777" w:rsidR="009F23E1" w:rsidRPr="009F23E1" w:rsidRDefault="009F23E1" w:rsidP="00A07209">
      <w:pPr>
        <w:numPr>
          <w:ilvl w:val="0"/>
          <w:numId w:val="147"/>
        </w:numPr>
        <w:tabs>
          <w:tab w:val="num" w:pos="1440"/>
        </w:tabs>
        <w:spacing w:after="60" w:line="240" w:lineRule="auto"/>
        <w:ind w:left="1440"/>
      </w:pPr>
      <w:r>
        <w:t>For research that is deferred, a statement of the reasons for deferral and a description of how the investigator can respond</w:t>
      </w:r>
    </w:p>
    <w:p w14:paraId="347A7E0A" w14:textId="77777777" w:rsidR="009F23E1" w:rsidRPr="009F23E1" w:rsidRDefault="009F23E1" w:rsidP="00A07209">
      <w:pPr>
        <w:numPr>
          <w:ilvl w:val="0"/>
          <w:numId w:val="147"/>
        </w:numPr>
        <w:tabs>
          <w:tab w:val="num" w:pos="1440"/>
        </w:tabs>
        <w:spacing w:after="0" w:line="240" w:lineRule="auto"/>
        <w:ind w:left="1440"/>
      </w:pPr>
      <w:r>
        <w:t>For research that is disapproved, a statement of the reasons for disapproval and a description of how the investigator can respond</w:t>
      </w:r>
    </w:p>
    <w:p w14:paraId="5A421A27" w14:textId="77777777" w:rsidR="009F23E1" w:rsidRPr="009F23E1" w:rsidRDefault="009F23E1" w:rsidP="009F23E1">
      <w:pPr>
        <w:tabs>
          <w:tab w:val="left" w:pos="-1440"/>
        </w:tabs>
        <w:spacing w:after="0" w:line="240" w:lineRule="auto"/>
        <w:ind w:left="360"/>
      </w:pPr>
    </w:p>
    <w:p w14:paraId="34F21FD0" w14:textId="77777777" w:rsidR="009F23E1" w:rsidRPr="009F23E1" w:rsidRDefault="009F23E1" w:rsidP="00A07209">
      <w:pPr>
        <w:numPr>
          <w:ilvl w:val="1"/>
          <w:numId w:val="146"/>
        </w:numPr>
        <w:tabs>
          <w:tab w:val="left" w:pos="-1440"/>
          <w:tab w:val="num" w:pos="720"/>
        </w:tabs>
        <w:spacing w:after="0" w:line="240" w:lineRule="auto"/>
        <w:ind w:left="720"/>
      </w:pPr>
      <w:r>
        <w:t>IRB members and institutional officials are notified of the IRBs’ actions and findings via summary documentation that is posted on the IRB distribution website.</w:t>
      </w:r>
    </w:p>
    <w:p w14:paraId="47BB39A4" w14:textId="77777777" w:rsidR="009F23E1" w:rsidRPr="009F23E1" w:rsidRDefault="009F23E1" w:rsidP="009F23E1">
      <w:pPr>
        <w:spacing w:after="0" w:line="240" w:lineRule="auto"/>
      </w:pPr>
    </w:p>
    <w:p w14:paraId="749F2290" w14:textId="77777777" w:rsidR="009F23E1" w:rsidRPr="009F23E1" w:rsidRDefault="009F23E1" w:rsidP="00A07209">
      <w:pPr>
        <w:numPr>
          <w:ilvl w:val="0"/>
          <w:numId w:val="146"/>
        </w:numPr>
        <w:spacing w:after="0" w:line="240" w:lineRule="auto"/>
      </w:pPr>
      <w:r>
        <w:rPr>
          <w:b/>
        </w:rPr>
        <w:t>Applicable Regulations/Guidance</w:t>
      </w:r>
    </w:p>
    <w:p w14:paraId="17FDF449" w14:textId="77777777" w:rsidR="009F23E1" w:rsidRPr="009F23E1" w:rsidRDefault="009F23E1" w:rsidP="009F23E1">
      <w:pPr>
        <w:spacing w:after="0" w:line="240" w:lineRule="auto"/>
      </w:pPr>
    </w:p>
    <w:p w14:paraId="049165AC" w14:textId="77777777" w:rsidR="009F23E1" w:rsidRPr="009F23E1" w:rsidRDefault="009F23E1" w:rsidP="009F23E1">
      <w:pPr>
        <w:spacing w:after="0" w:line="240" w:lineRule="auto"/>
        <w:ind w:left="360"/>
      </w:pPr>
      <w:r>
        <w:t>21 CFR 56.109, 21 CFR 56.111, 45 CFR 46.108, 45 CFR 46.109, 45 CFR 46.111, FDA Information Sheets: Frequently Asked Questions: “IRB Procedures” and “IRB Records,” OHRP “Guidance on IRB Approval of Research with Conditions” (11/10/10), OHRP “Guidance on Written IRB Procedures” (01/15/07)</w:t>
      </w:r>
    </w:p>
    <w:p w14:paraId="58F62018" w14:textId="77777777" w:rsidR="009F23E1" w:rsidRPr="009F23E1" w:rsidRDefault="009F23E1" w:rsidP="009F23E1">
      <w:pPr>
        <w:spacing w:after="0" w:line="240" w:lineRule="auto"/>
        <w:ind w:left="360"/>
      </w:pPr>
    </w:p>
    <w:p w14:paraId="753A23CA" w14:textId="77777777" w:rsidR="009F23E1" w:rsidRPr="009F23E1" w:rsidRDefault="009F23E1" w:rsidP="00A07209">
      <w:pPr>
        <w:numPr>
          <w:ilvl w:val="0"/>
          <w:numId w:val="146"/>
        </w:numPr>
        <w:spacing w:after="0" w:line="240" w:lineRule="auto"/>
        <w:rPr>
          <w:b/>
        </w:rPr>
      </w:pPr>
      <w:r>
        <w:rPr>
          <w:b/>
        </w:rPr>
        <w:t>History</w:t>
      </w:r>
    </w:p>
    <w:p w14:paraId="527BEBE0" w14:textId="77777777" w:rsidR="009F23E1" w:rsidRPr="009F23E1" w:rsidRDefault="009F23E1" w:rsidP="009F23E1">
      <w:pPr>
        <w:spacing w:after="0" w:line="240" w:lineRule="auto"/>
        <w:ind w:left="360"/>
      </w:pPr>
    </w:p>
    <w:p w14:paraId="7714D500" w14:textId="77777777" w:rsidR="009F23E1" w:rsidRPr="009F23E1" w:rsidRDefault="009F23E1" w:rsidP="009F23E1">
      <w:pPr>
        <w:spacing w:after="0" w:line="240" w:lineRule="auto"/>
        <w:ind w:left="360"/>
      </w:pPr>
      <w:r>
        <w:t>Issued: 05/19/2008</w:t>
      </w:r>
    </w:p>
    <w:p w14:paraId="753C5F07" w14:textId="77777777" w:rsidR="009F23E1" w:rsidRPr="009F23E1" w:rsidRDefault="009F23E1" w:rsidP="009F23E1">
      <w:pPr>
        <w:spacing w:after="0" w:line="240" w:lineRule="auto"/>
        <w:ind w:left="360"/>
      </w:pPr>
      <w:r>
        <w:t>Revised: 06/06/2008, 04/28/2009, 03/1/2012, 05/09/2012, 06/14/2016</w:t>
      </w:r>
    </w:p>
    <w:p w14:paraId="28167D77" w14:textId="77777777" w:rsidR="009F23E1" w:rsidRPr="009F23E1" w:rsidRDefault="009F23E1" w:rsidP="009F23E1">
      <w:pPr>
        <w:spacing w:after="0" w:line="240" w:lineRule="auto"/>
        <w:ind w:left="360"/>
      </w:pPr>
      <w:r>
        <w:t>Edited: 12/14/2021, 04/20/2022</w:t>
      </w:r>
    </w:p>
    <w:p w14:paraId="01D803B1" w14:textId="77777777" w:rsidR="009F23E1" w:rsidRPr="009F23E1" w:rsidRDefault="009F23E1" w:rsidP="009F23E1">
      <w:pPr>
        <w:spacing w:after="0" w:line="240" w:lineRule="auto"/>
        <w:rPr>
          <w:b/>
          <w:bCs/>
        </w:rPr>
      </w:pPr>
      <w:r>
        <w:br w:type="page"/>
      </w:r>
      <w:r>
        <w:rPr>
          <w:b/>
          <w:bCs/>
        </w:rPr>
        <w:lastRenderedPageBreak/>
        <w:t>Attachment 1.</w:t>
      </w:r>
    </w:p>
    <w:p w14:paraId="57125F63" w14:textId="77777777" w:rsidR="009F23E1" w:rsidRPr="009F23E1" w:rsidRDefault="009F23E1" w:rsidP="009F23E1">
      <w:pPr>
        <w:spacing w:after="0" w:line="240" w:lineRule="auto"/>
        <w:rPr>
          <w:b/>
          <w:bCs/>
        </w:rPr>
      </w:pPr>
    </w:p>
    <w:p w14:paraId="76E23ABF" w14:textId="77777777" w:rsidR="009F23E1" w:rsidRPr="009F23E1" w:rsidRDefault="009F23E1" w:rsidP="009F23E1">
      <w:pPr>
        <w:spacing w:after="0" w:line="240" w:lineRule="auto"/>
        <w:rPr>
          <w:b/>
          <w:bCs/>
        </w:rPr>
      </w:pPr>
      <w:r>
        <w:rPr>
          <w:b/>
          <w:bCs/>
        </w:rPr>
        <w:t>Administrative Review/Verification of Investigators’ Responses to Modifications</w:t>
      </w:r>
    </w:p>
    <w:p w14:paraId="5FF4A3CD" w14:textId="77777777" w:rsidR="009F23E1" w:rsidRPr="009F23E1" w:rsidRDefault="009F23E1" w:rsidP="009F23E1">
      <w:pPr>
        <w:spacing w:after="0" w:line="240" w:lineRule="auto"/>
        <w:rPr>
          <w:b/>
          <w:bCs/>
        </w:rPr>
      </w:pPr>
    </w:p>
    <w:p w14:paraId="473CD766" w14:textId="77777777" w:rsidR="009F23E1" w:rsidRPr="009F23E1" w:rsidRDefault="009F23E1" w:rsidP="009F23E1">
      <w:pPr>
        <w:spacing w:after="60" w:line="240" w:lineRule="auto"/>
        <w:rPr>
          <w:bCs/>
        </w:rPr>
      </w:pPr>
      <w:r>
        <w:rPr>
          <w:bCs/>
        </w:rPr>
        <w:t>An IRB may specify conditions under which research can be approved (i.e., “modifications required”) that, when satisfied, would permit the IRB to make the required determinations. The IRB may require any of the following as conditions for approval of research:</w:t>
      </w:r>
    </w:p>
    <w:p w14:paraId="04203B6D" w14:textId="77777777" w:rsidR="009F23E1" w:rsidRPr="009F23E1" w:rsidRDefault="009F23E1" w:rsidP="00A07209">
      <w:pPr>
        <w:numPr>
          <w:ilvl w:val="0"/>
          <w:numId w:val="149"/>
        </w:numPr>
        <w:spacing w:after="60" w:line="240" w:lineRule="auto"/>
        <w:rPr>
          <w:bCs/>
        </w:rPr>
      </w:pPr>
      <w:r>
        <w:rPr>
          <w:bCs/>
        </w:rPr>
        <w:t>Confirmation of specific understandings by the IRB regarding how the research will be conducted (e.g., the research will not include children)</w:t>
      </w:r>
    </w:p>
    <w:p w14:paraId="63947021" w14:textId="77777777" w:rsidR="009F23E1" w:rsidRPr="009F23E1" w:rsidRDefault="009F23E1" w:rsidP="00A07209">
      <w:pPr>
        <w:numPr>
          <w:ilvl w:val="0"/>
          <w:numId w:val="149"/>
        </w:numPr>
        <w:spacing w:after="60" w:line="240" w:lineRule="auto"/>
        <w:rPr>
          <w:bCs/>
        </w:rPr>
      </w:pPr>
      <w:r>
        <w:rPr>
          <w:bCs/>
        </w:rPr>
        <w:t>Submission of additional documentation (e.g., letters of support)</w:t>
      </w:r>
    </w:p>
    <w:p w14:paraId="509E9048" w14:textId="77777777" w:rsidR="009F23E1" w:rsidRPr="009F23E1" w:rsidRDefault="009F23E1" w:rsidP="00A07209">
      <w:pPr>
        <w:numPr>
          <w:ilvl w:val="0"/>
          <w:numId w:val="149"/>
        </w:numPr>
        <w:spacing w:after="60" w:line="240" w:lineRule="auto"/>
        <w:rPr>
          <w:bCs/>
        </w:rPr>
      </w:pPr>
      <w:r>
        <w:rPr>
          <w:bCs/>
        </w:rPr>
        <w:t>Precise language changes to the protocol and/or informed consent document(s)</w:t>
      </w:r>
    </w:p>
    <w:p w14:paraId="6E120261" w14:textId="77777777" w:rsidR="009F23E1" w:rsidRPr="009F23E1" w:rsidRDefault="009F23E1" w:rsidP="00A07209">
      <w:pPr>
        <w:numPr>
          <w:ilvl w:val="0"/>
          <w:numId w:val="149"/>
        </w:numPr>
        <w:spacing w:after="0" w:line="240" w:lineRule="auto"/>
        <w:rPr>
          <w:bCs/>
        </w:rPr>
      </w:pPr>
      <w:r>
        <w:rPr>
          <w:bCs/>
        </w:rPr>
        <w:t>Substantive changes to documents along with specific parameters the changes must satisfy</w:t>
      </w:r>
    </w:p>
    <w:p w14:paraId="43F2367A" w14:textId="77777777" w:rsidR="009F23E1" w:rsidRPr="009F23E1" w:rsidRDefault="009F23E1" w:rsidP="009F23E1">
      <w:pPr>
        <w:spacing w:after="0" w:line="240" w:lineRule="auto"/>
        <w:rPr>
          <w:bCs/>
        </w:rPr>
      </w:pPr>
    </w:p>
    <w:p w14:paraId="3E20CE3F" w14:textId="77777777" w:rsidR="009F23E1" w:rsidRPr="009F23E1" w:rsidRDefault="009F23E1" w:rsidP="009F23E1">
      <w:pPr>
        <w:spacing w:after="0" w:line="240" w:lineRule="auto"/>
        <w:rPr>
          <w:bCs/>
        </w:rPr>
      </w:pPr>
      <w:r>
        <w:rPr>
          <w:bCs/>
        </w:rPr>
        <w:t>When the IRBs require modifications to research, investigators’ responses will be reviewed to verify that the conditions for approval have been satisfied. Depending on the nature of the modifications, this review/verification may be performed by the IRB chair, one or more IRB members or a consultant with specific expertise, and/or qualified ORRP staff (who may or may not be IRB members).</w:t>
      </w:r>
    </w:p>
    <w:p w14:paraId="0B951E42" w14:textId="77777777" w:rsidR="009F23E1" w:rsidRPr="009F23E1" w:rsidRDefault="009F23E1" w:rsidP="009F23E1">
      <w:pPr>
        <w:spacing w:after="0" w:line="240" w:lineRule="auto"/>
        <w:rPr>
          <w:bCs/>
        </w:rPr>
      </w:pPr>
    </w:p>
    <w:p w14:paraId="72B67582" w14:textId="77777777" w:rsidR="009F23E1" w:rsidRPr="009F23E1" w:rsidRDefault="009F23E1" w:rsidP="009F23E1">
      <w:pPr>
        <w:spacing w:after="0" w:line="240" w:lineRule="auto"/>
        <w:rPr>
          <w:bCs/>
        </w:rPr>
      </w:pPr>
      <w:r>
        <w:rPr>
          <w:bCs/>
        </w:rPr>
        <w:t>Conditions that involve the application of specific scientific, scholarly, medical, or other professional or technical expertise (beyond knowledge of applicable human subjects protection requirements) should be reviewed by the IRB chair or IRB member(s) or consultant with appropriate experience/training. In general, review of substantive changes to the protocol or informed consent documents, even with specific parameters that the changes must satisfy, should also be performed by the IRB or other designated individuals with the requisite knowledge.</w:t>
      </w:r>
    </w:p>
    <w:p w14:paraId="5CC6EA85" w14:textId="77777777" w:rsidR="009F23E1" w:rsidRPr="009F23E1" w:rsidRDefault="009F23E1" w:rsidP="009F23E1">
      <w:pPr>
        <w:spacing w:after="0" w:line="240" w:lineRule="auto"/>
        <w:rPr>
          <w:bCs/>
        </w:rPr>
      </w:pPr>
    </w:p>
    <w:p w14:paraId="561FD88A" w14:textId="77777777" w:rsidR="009F23E1" w:rsidRPr="009F23E1" w:rsidRDefault="009F23E1" w:rsidP="009F23E1">
      <w:pPr>
        <w:spacing w:after="60" w:line="240" w:lineRule="auto"/>
        <w:rPr>
          <w:bCs/>
        </w:rPr>
      </w:pPr>
      <w:r>
        <w:rPr>
          <w:bCs/>
        </w:rPr>
        <w:t>Examples of investigators’ responses to “modifications required” by the IRB that may be administratively reviewed/verified by qualified ORRP staff include the following:</w:t>
      </w:r>
    </w:p>
    <w:p w14:paraId="1EC31960" w14:textId="77777777" w:rsidR="009F23E1" w:rsidRPr="009F23E1" w:rsidRDefault="009F23E1" w:rsidP="00A07209">
      <w:pPr>
        <w:numPr>
          <w:ilvl w:val="0"/>
          <w:numId w:val="148"/>
        </w:numPr>
        <w:spacing w:after="60" w:line="240" w:lineRule="auto"/>
        <w:rPr>
          <w:bCs/>
        </w:rPr>
      </w:pPr>
      <w:r>
        <w:rPr>
          <w:bCs/>
        </w:rPr>
        <w:t>Submissions of additional documentation, including letters of support, individual investigator agreements, Certificates of Confidentiality, etc.</w:t>
      </w:r>
    </w:p>
    <w:p w14:paraId="3DB1394A" w14:textId="77777777" w:rsidR="009F23E1" w:rsidRPr="009F23E1" w:rsidRDefault="009F23E1" w:rsidP="00A07209">
      <w:pPr>
        <w:numPr>
          <w:ilvl w:val="0"/>
          <w:numId w:val="148"/>
        </w:numPr>
        <w:spacing w:after="60" w:line="240" w:lineRule="auto"/>
        <w:rPr>
          <w:bCs/>
        </w:rPr>
      </w:pPr>
      <w:r>
        <w:rPr>
          <w:bCs/>
        </w:rPr>
        <w:t xml:space="preserve">Corrections of grammatical and/or typographical errors in study documents, such as recruitment materials, consent forms, questionnaires, etc. </w:t>
      </w:r>
    </w:p>
    <w:p w14:paraId="52EF9550" w14:textId="77777777" w:rsidR="009F23E1" w:rsidRPr="009F23E1" w:rsidRDefault="009F23E1" w:rsidP="00A07209">
      <w:pPr>
        <w:numPr>
          <w:ilvl w:val="0"/>
          <w:numId w:val="148"/>
        </w:numPr>
        <w:spacing w:after="60" w:line="240" w:lineRule="auto"/>
        <w:rPr>
          <w:bCs/>
        </w:rPr>
      </w:pPr>
      <w:r>
        <w:rPr>
          <w:bCs/>
        </w:rPr>
        <w:t>Verbatim changes (additions or deletions) to study documents or other submission materials, including the protocol, consent form, study instruments, IRB application, appendices, etc.</w:t>
      </w:r>
    </w:p>
    <w:p w14:paraId="4C3FF833" w14:textId="77777777" w:rsidR="009F23E1" w:rsidRPr="009F23E1" w:rsidRDefault="009F23E1" w:rsidP="00A07209">
      <w:pPr>
        <w:numPr>
          <w:ilvl w:val="0"/>
          <w:numId w:val="148"/>
        </w:numPr>
        <w:spacing w:after="60" w:line="240" w:lineRule="auto"/>
        <w:rPr>
          <w:bCs/>
        </w:rPr>
      </w:pPr>
      <w:r>
        <w:rPr>
          <w:bCs/>
        </w:rPr>
        <w:t>Revisions to consent documents to include template language (e.g., institutional contact information)</w:t>
      </w:r>
    </w:p>
    <w:p w14:paraId="4D21AA12" w14:textId="77777777" w:rsidR="009F23E1" w:rsidRPr="009F23E1" w:rsidRDefault="009F23E1" w:rsidP="00A07209">
      <w:pPr>
        <w:numPr>
          <w:ilvl w:val="0"/>
          <w:numId w:val="148"/>
        </w:numPr>
        <w:spacing w:after="60" w:line="240" w:lineRule="auto"/>
        <w:rPr>
          <w:bCs/>
        </w:rPr>
      </w:pPr>
      <w:r>
        <w:rPr>
          <w:bCs/>
        </w:rPr>
        <w:t>Changes in formatting, font size, etc. in consent forms, advertisements, or other recruitment materials or documents that will be seen by research participants.</w:t>
      </w:r>
    </w:p>
    <w:p w14:paraId="1F8663CF" w14:textId="77777777" w:rsidR="009F23E1" w:rsidRPr="009F23E1" w:rsidRDefault="009F23E1" w:rsidP="00A07209">
      <w:pPr>
        <w:numPr>
          <w:ilvl w:val="0"/>
          <w:numId w:val="148"/>
        </w:numPr>
        <w:spacing w:after="60" w:line="240" w:lineRule="auto"/>
        <w:rPr>
          <w:bCs/>
        </w:rPr>
      </w:pPr>
      <w:r>
        <w:rPr>
          <w:bCs/>
        </w:rPr>
        <w:t>Changes in method and/or timing of incentives to include pro-rated payments that are not contingent upon completion of the entire study.</w:t>
      </w:r>
    </w:p>
    <w:p w14:paraId="01AFCBED" w14:textId="77777777" w:rsidR="00F2286B" w:rsidRDefault="009F23E1" w:rsidP="00A07209">
      <w:pPr>
        <w:numPr>
          <w:ilvl w:val="0"/>
          <w:numId w:val="148"/>
        </w:numPr>
        <w:spacing w:after="0" w:line="240" w:lineRule="auto"/>
        <w:rPr>
          <w:bCs/>
        </w:rPr>
      </w:pPr>
      <w:r>
        <w:rPr>
          <w:bCs/>
        </w:rPr>
        <w:t>Copies of translations of approved documents for previously approved participant groups</w:t>
      </w:r>
    </w:p>
    <w:p w14:paraId="502F00C3" w14:textId="77777777" w:rsidR="00331664" w:rsidRPr="00F2286B" w:rsidRDefault="00F2286B" w:rsidP="00F2286B">
      <w:pPr>
        <w:rPr>
          <w:bCs/>
        </w:rPr>
      </w:pPr>
      <w:r>
        <w:rPr>
          <w:bCs/>
        </w:rPr>
        <w:br w:type="page"/>
      </w:r>
    </w:p>
    <w:p w14:paraId="363D257D" w14:textId="77777777" w:rsidR="006B6D46" w:rsidRPr="006B6D46" w:rsidRDefault="7CECDDA0" w:rsidP="00F2286B">
      <w:pPr>
        <w:pStyle w:val="Heading2"/>
      </w:pPr>
      <w:bookmarkStart w:id="264" w:name="_Toc2091122753"/>
      <w:bookmarkStart w:id="265" w:name="B10"/>
      <w:bookmarkStart w:id="266" w:name="_Toc212142207"/>
      <w:bookmarkStart w:id="267" w:name="_Toc225507747"/>
      <w:r>
        <w:lastRenderedPageBreak/>
        <w:t>Appendix B-10</w:t>
      </w:r>
      <w:bookmarkEnd w:id="264"/>
      <w:r>
        <w:t xml:space="preserve">   </w:t>
      </w:r>
      <w:bookmarkEnd w:id="265"/>
      <w:r>
        <w:t>Expedited and Administrative Review Procedures</w:t>
      </w:r>
      <w:bookmarkEnd w:id="266"/>
      <w:bookmarkEnd w:id="267"/>
    </w:p>
    <w:p w14:paraId="62D4056C" w14:textId="77777777" w:rsidR="006B6D46" w:rsidRPr="006B6D46" w:rsidRDefault="006B6D46" w:rsidP="006B6D46">
      <w:pPr>
        <w:spacing w:after="0" w:line="240" w:lineRule="auto"/>
        <w:rPr>
          <w:b/>
          <w:smallCaps/>
        </w:rPr>
      </w:pPr>
      <w:r>
        <w:rPr>
          <w:b/>
          <w:smallCaps/>
          <w:noProof/>
        </w:rPr>
        <mc:AlternateContent>
          <mc:Choice Requires="wps">
            <w:drawing>
              <wp:anchor distT="0" distB="0" distL="114300" distR="114300" simplePos="0" relativeHeight="251663360" behindDoc="1" locked="0" layoutInCell="1" allowOverlap="1" wp14:anchorId="4518CAA4" wp14:editId="6322CA3F">
                <wp:simplePos x="0" y="0"/>
                <wp:positionH relativeFrom="column">
                  <wp:posOffset>-53163</wp:posOffset>
                </wp:positionH>
                <wp:positionV relativeFrom="paragraph">
                  <wp:posOffset>92991</wp:posOffset>
                </wp:positionV>
                <wp:extent cx="6060558" cy="276225"/>
                <wp:effectExtent l="0" t="0" r="16510" b="28575"/>
                <wp:wrapNone/>
                <wp:docPr id="3"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0558" cy="2762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B5D987" id="Rectangle 2" o:spid="_x0000_s1026" style="position:absolute;margin-left:-4.2pt;margin-top:7.3pt;width:477.2pt;height:21.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Uo9MfCgIAABYEAAAOAAAAZHJzL2Uyb0RvYy54bWysU9uO0zAQfUfiHyy/06RR292Nmq5WKUVI y0Va+ADXcRILx2PGbtPy9YzdbrcCxAMiD5YnY585c+Z4eX8YDNsr9BpsxaeTnDNlJTTadhX/+mXz 5pYzH4RthAGrKn5Unt+vXr9ajq5UBfRgGoWMQKwvR1fxPgRXZpmXvRqEn4BTlpIt4CAChdhlDYqR 0AeTFXm+yEbAxiFI5T39XZ+SfJXw21bJ8KltvQrMVJy4hbRiWrdxzVZLUXYoXK/lmYb4BxaD0JaK XqDWIgi2Q/0b1KAlgoc2TCQMGbStlir1QN1M81+6eeqFU6kXEse7i0z+/8HKj/sn9xkjde8eQX7z zELdC9upB0QYeyUaKjeNQmWj8+XlQgw8XWXb8QM0NFqxC5A0OLQ4REDqjh2S1MeL1OoQmKSfi3yR z+dkDkm54mZRFPNUQpTPtx368E7BwOKm4kijTOhi/+hDZCPK5yOJPRjdbLQxKcBuWxtke0Fjrzf1 ul6f0f31MWPZWPG7OdX+O0Sevj9BDDqQf40eKn57OSTKKNtb2yR3BaHNaU+UjT3rGKWLLvXlFpoj yYhwMic9Jtr0gD84G8mYFfffdwIVZ+a9pVHcTWez6OQUzOY3BQV4ndleZ4SVBFXxwNlpW4eT+3cO dddTpWnq3cIDja/VSdkXVmeyZL4k+PmhRHdfx+nUy3Ne/QQAAP//AwBQSwMEFAAGAAgAAAAhAMid cVHdAAAACAEAAA8AAABkcnMvZG93bnJldi54bWxMj0FPg0AQhe8m/ofNmHhrlxokiCxNbdKYeFLw 4m2AEVB2lrDbFv+948ke572XN9/Lt4sd1YlmPzg2sFlHoIgb1w7cGXivDqsUlA/ILY6OycAPedgW 11c5Zq078xudytApKWGfoYE+hCnT2jc9WfRrNxGL9+lmi0HOudPtjGcpt6O+i6JEWxxYPvQ40b6n 5rs8WgPVLqFqqj8O9Pry9Dx8hX2osTTm9mbZPYIKtIT/MPzhCzoUwlS7I7dejQZWaSxJ0eMElPgP cSLbagP36QZ0kevLAcUvAAAA//8DAFBLAQItABQABgAIAAAAIQC2gziS/gAAAOEBAAATAAAAAAAA AAAAAAAAAAAAAABbQ29udGVudF9UeXBlc10ueG1sUEsBAi0AFAAGAAgAAAAhADj9If/WAAAAlAEA AAsAAAAAAAAAAAAAAAAALwEAAF9yZWxzLy5yZWxzUEsBAi0AFAAGAAgAAAAhAFSj0x8KAgAAFgQA AA4AAAAAAAAAAAAAAAAALgIAAGRycy9lMm9Eb2MueG1sUEsBAi0AFAAGAAgAAAAhAMidcVHdAAAA CAEAAA8AAAAAAAAAAAAAAAAAZAQAAGRycy9kb3ducmV2LnhtbFBLBQYAAAAABAAEAPMAAABuBQAA AAA= " fillcolor="#cfcdcd"/>
            </w:pict>
          </mc:Fallback>
        </mc:AlternateContent>
      </w:r>
    </w:p>
    <w:p w14:paraId="7AE0F857" w14:textId="77777777" w:rsidR="006B6D46" w:rsidRPr="006B6D46" w:rsidRDefault="006B6D46" w:rsidP="006B6D46">
      <w:pPr>
        <w:spacing w:after="120" w:line="240" w:lineRule="auto"/>
        <w:jc w:val="center"/>
        <w:rPr>
          <w:b/>
          <w:smallCaps/>
          <w:sz w:val="20"/>
          <w:szCs w:val="20"/>
        </w:rPr>
      </w:pPr>
      <w:r>
        <w:rPr>
          <w:b/>
          <w:smallCaps/>
          <w:sz w:val="20"/>
          <w:szCs w:val="24"/>
        </w:rPr>
        <w:t>Language in gray boxes is only applicable to studies initially approved on/after January 21, 2019</w:t>
      </w:r>
    </w:p>
    <w:p w14:paraId="23A42854" w14:textId="77777777" w:rsidR="006B6D46" w:rsidRPr="006B6D46" w:rsidRDefault="006B6D46" w:rsidP="006B6D46">
      <w:pPr>
        <w:spacing w:after="0" w:line="240" w:lineRule="auto"/>
        <w:rPr>
          <w:b/>
          <w:smallCaps/>
          <w:szCs w:val="24"/>
        </w:rPr>
      </w:pPr>
    </w:p>
    <w:p w14:paraId="6BABE8C4" w14:textId="77777777" w:rsidR="006B6D46" w:rsidRPr="000E5408" w:rsidRDefault="006B6D46" w:rsidP="00A07209">
      <w:pPr>
        <w:pStyle w:val="ListParagraph"/>
        <w:numPr>
          <w:ilvl w:val="0"/>
          <w:numId w:val="422"/>
        </w:numPr>
        <w:rPr>
          <w:b/>
          <w:bCs/>
        </w:rPr>
      </w:pPr>
      <w:r>
        <w:rPr>
          <w:b/>
          <w:bCs/>
        </w:rPr>
        <w:t>Overview</w:t>
      </w:r>
    </w:p>
    <w:p w14:paraId="3D0DA7A1" w14:textId="77777777" w:rsidR="006B6D46" w:rsidRPr="006B6D46" w:rsidRDefault="006B6D46" w:rsidP="006B6D46">
      <w:pPr>
        <w:spacing w:after="60" w:line="240" w:lineRule="auto"/>
        <w:ind w:left="360"/>
      </w:pPr>
      <w:r>
        <w:t xml:space="preserve">The IRB chair or one or more experienced IRB members designated by the chair may use expedited review procedures to approve a limited class of research activities involving human subjects. </w:t>
      </w:r>
    </w:p>
    <w:p w14:paraId="4FE4B237" w14:textId="77777777" w:rsidR="006B6D46" w:rsidRPr="006B6D46" w:rsidRDefault="006B6D46" w:rsidP="006B6D46">
      <w:pPr>
        <w:spacing w:after="0" w:line="240" w:lineRule="auto"/>
        <w:ind w:left="360"/>
      </w:pPr>
      <w:r>
        <w:t>This policy describes the situations in which research may qualify for expedited review, as well as the process by which the IRB reviews research by expedited procedures. The policy also describes the types of research that qualify for administrative review.</w:t>
      </w:r>
    </w:p>
    <w:p w14:paraId="1395C2F2" w14:textId="77777777" w:rsidR="006B6D46" w:rsidRPr="006B6D46" w:rsidRDefault="006B6D46" w:rsidP="006B6D46">
      <w:pPr>
        <w:tabs>
          <w:tab w:val="left" w:pos="5216"/>
        </w:tabs>
        <w:spacing w:after="0" w:line="240" w:lineRule="auto"/>
        <w:ind w:left="360"/>
      </w:pPr>
      <w:r>
        <w:tab/>
      </w:r>
    </w:p>
    <w:p w14:paraId="73648505" w14:textId="77777777" w:rsidR="006B6D46" w:rsidRPr="000E5408" w:rsidRDefault="007E6285" w:rsidP="000E5408">
      <w:pPr>
        <w:rPr>
          <w:b/>
          <w:bCs/>
        </w:rPr>
      </w:pPr>
      <w:r>
        <w:rPr>
          <w:b/>
          <w:bCs/>
        </w:rPr>
        <w:t>2. Definitions</w:t>
      </w:r>
    </w:p>
    <w:p w14:paraId="724FF91D" w14:textId="77777777" w:rsidR="006B6D46" w:rsidRPr="006B6D46" w:rsidRDefault="006B6D46" w:rsidP="006B6D46">
      <w:pPr>
        <w:spacing w:after="0" w:line="240" w:lineRule="auto"/>
        <w:ind w:left="360"/>
        <w:rPr>
          <w:b/>
          <w:szCs w:val="24"/>
        </w:rPr>
      </w:pPr>
      <w:r>
        <w:rPr>
          <w:b/>
        </w:rPr>
        <w:t xml:space="preserve">Administrative Review: </w:t>
      </w:r>
      <w:r>
        <w:t xml:space="preserve">Process by which designated ORRP staff members determine whether certain research types meet review criteria. </w:t>
      </w:r>
    </w:p>
    <w:p w14:paraId="0114C7BF" w14:textId="77777777" w:rsidR="006B6D46" w:rsidRPr="006B6D46" w:rsidRDefault="006B6D46" w:rsidP="006B6D46">
      <w:pPr>
        <w:spacing w:after="0" w:line="240" w:lineRule="auto"/>
        <w:ind w:left="360"/>
        <w:rPr>
          <w:b/>
        </w:rPr>
      </w:pPr>
    </w:p>
    <w:p w14:paraId="153FA7C2" w14:textId="77777777" w:rsidR="006B6D46" w:rsidRPr="006B6D46" w:rsidRDefault="006B6D46" w:rsidP="006B6D46">
      <w:pPr>
        <w:tabs>
          <w:tab w:val="left" w:pos="360"/>
        </w:tabs>
        <w:spacing w:after="0" w:line="240" w:lineRule="auto"/>
        <w:ind w:left="360"/>
      </w:pPr>
      <w:r>
        <w:rPr>
          <w:b/>
        </w:rPr>
        <w:t xml:space="preserve">Expedited Review: </w:t>
      </w:r>
      <w:r>
        <w:t xml:space="preserve">Process by which designated IRB members, on behalf of the full IRB, approve a limited class of research activities through reviews conducted outside of the convened IRB meeting. </w:t>
      </w:r>
    </w:p>
    <w:p w14:paraId="461367E3" w14:textId="77777777" w:rsidR="006B6D46" w:rsidRPr="006B6D46" w:rsidRDefault="006B6D46" w:rsidP="006B6D46">
      <w:pPr>
        <w:tabs>
          <w:tab w:val="left" w:pos="0"/>
        </w:tabs>
        <w:spacing w:after="0" w:line="240" w:lineRule="auto"/>
      </w:pPr>
    </w:p>
    <w:p w14:paraId="71854D76" w14:textId="77777777" w:rsidR="006B6D46" w:rsidRPr="006B6D46" w:rsidRDefault="006B6D46" w:rsidP="006B6D46">
      <w:pPr>
        <w:tabs>
          <w:tab w:val="left" w:pos="0"/>
        </w:tabs>
        <w:spacing w:after="0" w:line="240" w:lineRule="auto"/>
        <w:ind w:left="360"/>
      </w:pPr>
      <w:r>
        <w:rPr>
          <w:b/>
        </w:rPr>
        <w:t>Expedited IRB Reviewer</w:t>
      </w:r>
      <w:r>
        <w:rPr>
          <w:b/>
          <w:szCs w:val="24"/>
        </w:rPr>
        <w:t>:</w:t>
      </w:r>
      <w:r>
        <w:t xml:space="preserve"> The IRB chair and those experienced IRB members designated by the chair who may perform some or all types of expedited reviews. </w:t>
      </w:r>
    </w:p>
    <w:p w14:paraId="21F98FDF" w14:textId="77777777" w:rsidR="006B6D46" w:rsidRPr="006B6D46" w:rsidRDefault="006B6D46" w:rsidP="006B6D46">
      <w:pPr>
        <w:tabs>
          <w:tab w:val="left" w:pos="0"/>
        </w:tabs>
        <w:spacing w:after="0" w:line="240" w:lineRule="auto"/>
        <w:ind w:left="360"/>
      </w:pPr>
    </w:p>
    <w:p w14:paraId="7E1115FB" w14:textId="77777777" w:rsidR="006B6D46" w:rsidRPr="006B6D46" w:rsidRDefault="006B6D46" w:rsidP="006B6D46">
      <w:pPr>
        <w:tabs>
          <w:tab w:val="left" w:pos="0"/>
        </w:tabs>
        <w:spacing w:after="0" w:line="240" w:lineRule="auto"/>
        <w:ind w:left="360"/>
      </w:pPr>
      <w:r>
        <w:rPr>
          <w:b/>
        </w:rPr>
        <w:t>Experienced IRB Member:</w:t>
      </w:r>
      <w:r>
        <w:t xml:space="preserve"> An IRB member determined by the IRB chair to be qualified to perform reviews using expedited procedures. The following criteria are considered when determining whether an IRB member is experienced: length of IRB service (at Ohio State and/or at a previous institution), training regarding expedited review procedures, research experience/expertise, and/or work with the research participants being studied.</w:t>
      </w:r>
    </w:p>
    <w:p w14:paraId="70853252" w14:textId="77777777" w:rsidR="006B6D46" w:rsidRPr="006B6D46" w:rsidRDefault="006B6D46" w:rsidP="006B6D46">
      <w:pPr>
        <w:spacing w:after="0" w:line="240" w:lineRule="auto"/>
        <w:rPr>
          <w:b/>
        </w:rPr>
      </w:pPr>
    </w:p>
    <w:p w14:paraId="40E8629C" w14:textId="77777777" w:rsidR="006B6D46" w:rsidRPr="006B6D46" w:rsidRDefault="006B6D46" w:rsidP="006B6D46">
      <w:pPr>
        <w:spacing w:after="0" w:line="240" w:lineRule="auto"/>
        <w:ind w:left="360"/>
        <w:rPr>
          <w:i/>
          <w:lang w:bidi="x-none"/>
        </w:rPr>
      </w:pPr>
      <w:r>
        <w:rPr>
          <w:b/>
        </w:rPr>
        <w:t>Minor Changes:</w:t>
      </w:r>
      <w:r>
        <w:t xml:space="preserve"> Changes to research that in the judgment of the IRB do not affect assessment of the risks and benefits of the study by substantially altering any of the following: research aims or methodology, nature of subject participation, level of risk, proposed benefits, participant population, qualifications of the research team, or the facilities available to support the safe conduct of the research. </w:t>
      </w:r>
      <w:r>
        <w:rPr>
          <w:i/>
        </w:rPr>
        <w:t>Note: A minor change does not increase risk more than minimally or add procedures in research categories other than those that qualify for expedited initial review.</w:t>
      </w:r>
    </w:p>
    <w:p w14:paraId="2E1BC706" w14:textId="77777777" w:rsidR="006B6D46" w:rsidRPr="006B6D46" w:rsidRDefault="006B6D46" w:rsidP="006B6D46">
      <w:pPr>
        <w:spacing w:after="0" w:line="240" w:lineRule="auto"/>
        <w:ind w:left="360"/>
      </w:pPr>
    </w:p>
    <w:p w14:paraId="7AAF0E89" w14:textId="77777777" w:rsidR="006B6D46" w:rsidRPr="006B6D46" w:rsidRDefault="006B6D46" w:rsidP="006B6D46">
      <w:pPr>
        <w:spacing w:after="0" w:line="240" w:lineRule="auto"/>
        <w:ind w:left="360"/>
      </w:pPr>
      <w:r>
        <w:t xml:space="preserve">For specific examples of changes that may be considered minor (and may be reviewed using expedited procedures), see </w:t>
      </w:r>
      <w:hyperlink w:anchor="attach1" w:history="1">
        <w:r>
          <w:rPr>
            <w:color w:val="0000FF"/>
            <w:u w:val="single"/>
          </w:rPr>
          <w:t>Attachment 1</w:t>
        </w:r>
      </w:hyperlink>
      <w:r>
        <w:t>.</w:t>
      </w:r>
    </w:p>
    <w:p w14:paraId="28CDAA69" w14:textId="77777777" w:rsidR="006B6D46" w:rsidRPr="006B6D46" w:rsidRDefault="006B6D46" w:rsidP="006B6D46">
      <w:pPr>
        <w:spacing w:after="0" w:line="240" w:lineRule="auto"/>
      </w:pPr>
    </w:p>
    <w:p w14:paraId="750F55BC" w14:textId="77777777" w:rsidR="006B6D46" w:rsidRPr="006B6D46" w:rsidRDefault="006B6D46" w:rsidP="00A07209">
      <w:pPr>
        <w:numPr>
          <w:ilvl w:val="0"/>
          <w:numId w:val="153"/>
        </w:numPr>
        <w:spacing w:after="0" w:line="240" w:lineRule="auto"/>
        <w:rPr>
          <w:b/>
        </w:rPr>
      </w:pPr>
      <w:bookmarkStart w:id="268" w:name="section3"/>
      <w:bookmarkEnd w:id="268"/>
      <w:r>
        <w:rPr>
          <w:b/>
        </w:rPr>
        <w:t>Research Eligible for Expedited Review</w:t>
      </w:r>
    </w:p>
    <w:p w14:paraId="6858F419" w14:textId="77777777" w:rsidR="006B6D46" w:rsidRPr="006B6D46" w:rsidRDefault="006B6D46" w:rsidP="006B6D46">
      <w:pPr>
        <w:spacing w:after="0" w:line="240" w:lineRule="auto"/>
        <w:rPr>
          <w:b/>
        </w:rPr>
      </w:pPr>
    </w:p>
    <w:p w14:paraId="37994504" w14:textId="77777777" w:rsidR="006B6D46" w:rsidRPr="006B6D46" w:rsidRDefault="006B6D46" w:rsidP="00A07209">
      <w:pPr>
        <w:numPr>
          <w:ilvl w:val="1"/>
          <w:numId w:val="153"/>
        </w:numPr>
        <w:spacing w:after="0" w:line="240" w:lineRule="auto"/>
      </w:pPr>
      <w:r>
        <w:t xml:space="preserve">Research activities that present no more than minimal risk to human subjects and involve only procedures listed in one or more of the categories in </w:t>
      </w:r>
      <w:r>
        <w:rPr>
          <w:i/>
        </w:rPr>
        <w:t>Categories of Research That May Be Reviewed by the Institutional Review Board (IRB) through an Expedited Review Procedure</w:t>
      </w:r>
      <w:r>
        <w:t xml:space="preserve"> (see </w:t>
      </w:r>
      <w:hyperlink w:anchor="Attach2" w:history="1">
        <w:r>
          <w:rPr>
            <w:color w:val="0000FF"/>
            <w:u w:val="single"/>
          </w:rPr>
          <w:t>Attachment 2</w:t>
        </w:r>
      </w:hyperlink>
      <w:r>
        <w:t>) may be reviewed by the IRB through the expedited review procedure.</w:t>
      </w:r>
    </w:p>
    <w:p w14:paraId="0DF96D71" w14:textId="77777777" w:rsidR="006B6D46" w:rsidRPr="006B6D46" w:rsidRDefault="006B6D46" w:rsidP="006B6D46">
      <w:pPr>
        <w:spacing w:after="0" w:line="240" w:lineRule="auto"/>
        <w:ind w:left="720"/>
      </w:pPr>
    </w:p>
    <w:p w14:paraId="34E84A5D" w14:textId="77777777" w:rsidR="006B6D46" w:rsidRPr="006B6D46" w:rsidRDefault="006B6D46" w:rsidP="00A07209">
      <w:pPr>
        <w:numPr>
          <w:ilvl w:val="1"/>
          <w:numId w:val="153"/>
        </w:numPr>
        <w:spacing w:after="0" w:line="240" w:lineRule="auto"/>
      </w:pPr>
      <w:r>
        <w:lastRenderedPageBreak/>
        <w:t xml:space="preserve">Expedited review procedures may be used for initial or continuing review of research that presents no more than minimal risk to human subjects in categories (1) through (7) in </w:t>
      </w:r>
      <w:r>
        <w:rPr>
          <w:i/>
        </w:rPr>
        <w:t>Categories of Research That May Be Reviewed by the Institutional Review Board (IRB) through an Expedited Review Procedure</w:t>
      </w:r>
      <w:r>
        <w:t xml:space="preserve"> (see exceptions below).</w:t>
      </w:r>
    </w:p>
    <w:p w14:paraId="4E79A21C" w14:textId="77777777" w:rsidR="006B6D46" w:rsidRPr="006B6D46" w:rsidRDefault="006B6D46" w:rsidP="006B6D46">
      <w:pPr>
        <w:spacing w:after="0" w:line="240" w:lineRule="auto"/>
        <w:ind w:left="360"/>
      </w:pPr>
    </w:p>
    <w:p w14:paraId="2B4CDB39" w14:textId="77777777" w:rsidR="006B6D46" w:rsidRPr="006B6D46" w:rsidRDefault="006B6D46" w:rsidP="00A07209">
      <w:pPr>
        <w:numPr>
          <w:ilvl w:val="1"/>
          <w:numId w:val="153"/>
        </w:numPr>
        <w:spacing w:after="60" w:line="240" w:lineRule="auto"/>
      </w:pPr>
      <w:r>
        <w:t>Continuing review of research previously approved by the convened IRB may receive expedited review in any of the following situations:</w:t>
      </w:r>
    </w:p>
    <w:p w14:paraId="3E82E563" w14:textId="77777777" w:rsidR="006B6D46" w:rsidRPr="006B6D46" w:rsidRDefault="006B6D46" w:rsidP="00A07209">
      <w:pPr>
        <w:numPr>
          <w:ilvl w:val="0"/>
          <w:numId w:val="164"/>
        </w:numPr>
        <w:tabs>
          <w:tab w:val="num" w:pos="1170"/>
        </w:tabs>
        <w:spacing w:after="60" w:line="240" w:lineRule="auto"/>
        <w:ind w:left="1170"/>
      </w:pPr>
      <w:r>
        <w:t>The research is permanently closed to enrollment, all participants have completed all research-related interventions, and the research remains active only for long-term follow-up.</w:t>
      </w:r>
    </w:p>
    <w:p w14:paraId="3EA6CBF9" w14:textId="77777777" w:rsidR="006B6D46" w:rsidRPr="006B6D46" w:rsidRDefault="006B6D46" w:rsidP="00A07209">
      <w:pPr>
        <w:numPr>
          <w:ilvl w:val="0"/>
          <w:numId w:val="164"/>
        </w:numPr>
        <w:tabs>
          <w:tab w:val="num" w:pos="1170"/>
        </w:tabs>
        <w:spacing w:after="60" w:line="240" w:lineRule="auto"/>
        <w:ind w:left="1170"/>
      </w:pPr>
      <w:r>
        <w:t>No participants have been enrolled and no additional risks have been identified.</w:t>
      </w:r>
    </w:p>
    <w:p w14:paraId="1FEBF476" w14:textId="77777777" w:rsidR="006B6D46" w:rsidRPr="006B6D46" w:rsidRDefault="006B6D46" w:rsidP="00A07209">
      <w:pPr>
        <w:numPr>
          <w:ilvl w:val="0"/>
          <w:numId w:val="166"/>
        </w:numPr>
        <w:tabs>
          <w:tab w:val="num" w:pos="1170"/>
        </w:tabs>
        <w:spacing w:after="0" w:line="240" w:lineRule="auto"/>
        <w:ind w:left="1170"/>
      </w:pPr>
      <w:r>
        <w:t>The remaining research activities are limited to data analysis.</w:t>
      </w:r>
    </w:p>
    <w:p w14:paraId="3A0E2703" w14:textId="77777777" w:rsidR="006B6D46" w:rsidRPr="006B6D46" w:rsidRDefault="006B6D46" w:rsidP="006B6D46">
      <w:pPr>
        <w:tabs>
          <w:tab w:val="left" w:pos="1080"/>
        </w:tabs>
        <w:spacing w:after="0" w:line="240" w:lineRule="auto"/>
      </w:pPr>
    </w:p>
    <w:p w14:paraId="4BFB7741" w14:textId="77777777" w:rsidR="006B6D46" w:rsidRPr="006B6D46" w:rsidRDefault="006B6D46" w:rsidP="00A07209">
      <w:pPr>
        <w:numPr>
          <w:ilvl w:val="1"/>
          <w:numId w:val="153"/>
        </w:numPr>
        <w:spacing w:after="60" w:line="240" w:lineRule="auto"/>
      </w:pPr>
      <w:r>
        <w:t>The expedited procedure may also be used for continuing review of research that does not fit categories (1) through (7) or the conditions described above, when:</w:t>
      </w:r>
    </w:p>
    <w:p w14:paraId="091AD84D" w14:textId="77777777" w:rsidR="006B6D46" w:rsidRPr="006B6D46" w:rsidRDefault="006B6D46" w:rsidP="00A07209">
      <w:pPr>
        <w:numPr>
          <w:ilvl w:val="1"/>
          <w:numId w:val="175"/>
        </w:numPr>
        <w:tabs>
          <w:tab w:val="num" w:pos="1080"/>
        </w:tabs>
        <w:spacing w:after="60" w:line="240" w:lineRule="auto"/>
        <w:ind w:left="1080"/>
      </w:pPr>
      <w:r>
        <w:t>The research is not conducted under an investigational new drug application (IND) or investigational device exemption (IDE), and</w:t>
      </w:r>
    </w:p>
    <w:p w14:paraId="65E8B3B9" w14:textId="77777777" w:rsidR="006B6D46" w:rsidRPr="006B6D46" w:rsidRDefault="006B6D46" w:rsidP="00A07209">
      <w:pPr>
        <w:numPr>
          <w:ilvl w:val="1"/>
          <w:numId w:val="175"/>
        </w:numPr>
        <w:tabs>
          <w:tab w:val="num" w:pos="1080"/>
        </w:tabs>
        <w:spacing w:after="60" w:line="240" w:lineRule="auto"/>
        <w:ind w:left="1080"/>
      </w:pPr>
      <w:r>
        <w:t>The IRB has determined and documented at a convened meeting that the research involves not greater than minimal risk and no additional risks have been identified.</w:t>
      </w:r>
    </w:p>
    <w:p w14:paraId="2B43B16D" w14:textId="77777777" w:rsidR="006B6D46" w:rsidRPr="006B6D46" w:rsidRDefault="006B6D46" w:rsidP="006B6D46">
      <w:pPr>
        <w:spacing w:after="0" w:line="240" w:lineRule="auto"/>
      </w:pPr>
    </w:p>
    <w:p w14:paraId="5EFA67AE" w14:textId="77777777" w:rsidR="006B6D46" w:rsidRPr="006B6D46" w:rsidRDefault="006B6D46" w:rsidP="00A07209">
      <w:pPr>
        <w:numPr>
          <w:ilvl w:val="1"/>
          <w:numId w:val="153"/>
        </w:numPr>
        <w:spacing w:after="0" w:line="240" w:lineRule="auto"/>
      </w:pPr>
      <w:r>
        <w:t>Minor changes (amendments) to previously approved research during the period for which approval is authorized (one year or less) may be reviewed using expedited procedures.</w:t>
      </w:r>
    </w:p>
    <w:p w14:paraId="47686A2F" w14:textId="77777777" w:rsidR="006B6D46" w:rsidRPr="006B6D46" w:rsidRDefault="006B6D46" w:rsidP="006B6D46">
      <w:pPr>
        <w:spacing w:after="0" w:line="240" w:lineRule="auto"/>
        <w:ind w:left="360"/>
      </w:pPr>
    </w:p>
    <w:p w14:paraId="0BBE5D1A" w14:textId="77777777" w:rsidR="006B6D46" w:rsidRPr="006B6D46" w:rsidRDefault="006B6D46" w:rsidP="00A07209">
      <w:pPr>
        <w:numPr>
          <w:ilvl w:val="1"/>
          <w:numId w:val="153"/>
        </w:numPr>
        <w:spacing w:after="0" w:line="240" w:lineRule="auto"/>
      </w:pPr>
      <w:r>
        <w:t xml:space="preserve">Requirements for informed consent (or for waiver, alteration, or exceptions to the requirements for informed consent) apply regardless of whether the research is reviewed by the convened IRB or by an expedited procedure. </w:t>
      </w:r>
    </w:p>
    <w:p w14:paraId="210661A0" w14:textId="77777777" w:rsidR="006B6D46" w:rsidRPr="006B6D46" w:rsidRDefault="006B6D46" w:rsidP="006B6D46">
      <w:pPr>
        <w:spacing w:after="0" w:line="240" w:lineRule="auto"/>
      </w:pPr>
    </w:p>
    <w:p w14:paraId="0CDBECED" w14:textId="77777777" w:rsidR="006B6D46" w:rsidRPr="006B6D46" w:rsidRDefault="006B6D46" w:rsidP="00A07209">
      <w:pPr>
        <w:numPr>
          <w:ilvl w:val="1"/>
          <w:numId w:val="153"/>
        </w:numPr>
        <w:spacing w:after="0" w:line="240" w:lineRule="auto"/>
      </w:pPr>
      <w:r>
        <w:t xml:space="preserve">The expedited review procedure may not be used to review research in which identification of the participants and/or their responses would reasonably place them at risk of criminal or civil liability or be damaging to the participants' financial standing, employability, insurability, reputation, or be stigmatizing, unless reasonable and appropriate protections will be implemented so that risks related to invasion of privacy and breach of confidentiality are not greater than minimal. </w:t>
      </w:r>
    </w:p>
    <w:p w14:paraId="6C1D039B" w14:textId="77777777" w:rsidR="006B6D46" w:rsidRPr="006B6D46" w:rsidRDefault="006B6D46" w:rsidP="006B6D46">
      <w:pPr>
        <w:spacing w:after="0" w:line="240" w:lineRule="auto"/>
      </w:pPr>
    </w:p>
    <w:p w14:paraId="30204466" w14:textId="77777777" w:rsidR="006B6D46" w:rsidRPr="006B6D46" w:rsidRDefault="006B6D46" w:rsidP="00A07209">
      <w:pPr>
        <w:numPr>
          <w:ilvl w:val="1"/>
          <w:numId w:val="153"/>
        </w:numPr>
        <w:spacing w:after="0" w:line="240" w:lineRule="auto"/>
      </w:pPr>
      <w:r>
        <w:t>Expedited review procedures may not be used for classified research involving human subjects.</w:t>
      </w:r>
    </w:p>
    <w:p w14:paraId="60ECD6E4" w14:textId="77777777" w:rsidR="006B6D46" w:rsidRPr="006B6D46" w:rsidRDefault="006B6D46" w:rsidP="006B6D46">
      <w:pPr>
        <w:spacing w:after="0" w:line="240" w:lineRule="auto"/>
        <w:ind w:left="360"/>
      </w:pPr>
    </w:p>
    <w:p w14:paraId="78FCE0DC" w14:textId="77777777" w:rsidR="006B6D46" w:rsidRPr="006B6D46" w:rsidRDefault="006B6D46" w:rsidP="00A07209">
      <w:pPr>
        <w:numPr>
          <w:ilvl w:val="1"/>
          <w:numId w:val="153"/>
        </w:numPr>
        <w:spacing w:after="0" w:line="240" w:lineRule="auto"/>
      </w:pPr>
      <w:r>
        <w:t xml:space="preserve">The specific circumstances of the proposed research must be considered when determining that the research involves no more than minimal risk to human subjects. The activities listed in </w:t>
      </w:r>
      <w:r>
        <w:rPr>
          <w:i/>
        </w:rPr>
        <w:t>Categories of Research That May Be Reviewed by the Institutional Review Board (IRB) through an Expedited Review Procedure</w:t>
      </w:r>
      <w:r>
        <w:t xml:space="preserve"> should not be considered minimal risk simply because they are included on the list.</w:t>
      </w:r>
    </w:p>
    <w:p w14:paraId="184B57AD" w14:textId="77777777" w:rsidR="006B6D46" w:rsidRPr="006B6D46" w:rsidRDefault="006B6D46" w:rsidP="006B6D46">
      <w:pPr>
        <w:spacing w:after="0" w:line="240" w:lineRule="auto"/>
        <w:ind w:left="360"/>
      </w:pPr>
    </w:p>
    <w:p w14:paraId="1D6F5626" w14:textId="77777777" w:rsidR="006B6D46" w:rsidRPr="006B6D46" w:rsidRDefault="006B6D46" w:rsidP="00A07209">
      <w:pPr>
        <w:numPr>
          <w:ilvl w:val="1"/>
          <w:numId w:val="153"/>
        </w:numPr>
        <w:spacing w:after="0" w:line="240" w:lineRule="auto"/>
      </w:pPr>
      <w:r>
        <w:t xml:space="preserve">Additions to or extrapolations from the list of activities included in </w:t>
      </w:r>
      <w:r>
        <w:rPr>
          <w:i/>
        </w:rPr>
        <w:t>Categories of Research That May Be Reviewed by the Institutional Review Board (IRB) through an Expedited Review Procedure</w:t>
      </w:r>
      <w:r>
        <w:t xml:space="preserve"> are not appropriate. Expedited review procedures may not be used unless the </w:t>
      </w:r>
      <w:r>
        <w:lastRenderedPageBreak/>
        <w:t>proposed research activities appear on the list, even when the research presents no more than minimal risk.</w:t>
      </w:r>
    </w:p>
    <w:p w14:paraId="5348C286" w14:textId="77777777" w:rsidR="006B6D46" w:rsidRPr="006B6D46" w:rsidRDefault="006B6D46" w:rsidP="006B6D46">
      <w:pPr>
        <w:spacing w:after="0" w:line="240" w:lineRule="auto"/>
        <w:ind w:left="720"/>
      </w:pPr>
    </w:p>
    <w:p w14:paraId="295B7CE7" w14:textId="77777777" w:rsidR="006B6D46" w:rsidRPr="006B6D46" w:rsidRDefault="006B6D46" w:rsidP="00A07209">
      <w:pPr>
        <w:numPr>
          <w:ilvl w:val="1"/>
          <w:numId w:val="153"/>
        </w:numPr>
        <w:spacing w:after="0" w:line="240" w:lineRule="auto"/>
      </w:pPr>
      <w:r>
        <w:t>Submissions for exempt research requiring limited IRB review may be reviewed via expedited procedure as described in HRPP policy [</w:t>
      </w:r>
      <w:hyperlink r:id="rId165" w:history="1">
        <w:r>
          <w:rPr>
            <w:color w:val="0000FF"/>
            <w:u w:val="single"/>
          </w:rPr>
          <w:t>Exempt Research</w:t>
        </w:r>
      </w:hyperlink>
      <w:r>
        <w:t>].</w:t>
      </w:r>
      <w:r>
        <w:br/>
      </w:r>
    </w:p>
    <w:p w14:paraId="35D364D0" w14:textId="77777777" w:rsidR="006B6D46" w:rsidRPr="006B6D46" w:rsidRDefault="006B6D46" w:rsidP="00A07209">
      <w:pPr>
        <w:numPr>
          <w:ilvl w:val="1"/>
          <w:numId w:val="153"/>
        </w:numPr>
        <w:spacing w:after="0" w:line="240" w:lineRule="auto"/>
      </w:pPr>
      <w:r>
        <w:t>Event reports may be reviewed via expedited procedure as described in HRPP policy [</w:t>
      </w:r>
      <w:hyperlink r:id="rId166" w:history="1">
        <w:r>
          <w:rPr>
            <w:color w:val="0000FF"/>
            <w:u w:val="single"/>
          </w:rPr>
          <w:t>Event Reporting – Unanticipated Problems Involving Risks to Subjects or Others, Adverse Events, and Other Problems</w:t>
        </w:r>
      </w:hyperlink>
      <w:r>
        <w:t>].</w:t>
      </w:r>
    </w:p>
    <w:p w14:paraId="09CF5090" w14:textId="77777777" w:rsidR="006B6D46" w:rsidRPr="006B6D46" w:rsidRDefault="006B6D46" w:rsidP="006B6D46">
      <w:pPr>
        <w:spacing w:after="0" w:line="240" w:lineRule="auto"/>
      </w:pPr>
    </w:p>
    <w:p w14:paraId="71526559" w14:textId="77777777" w:rsidR="006B6D46" w:rsidRPr="006B6D46" w:rsidRDefault="006B6D46" w:rsidP="00A07209">
      <w:pPr>
        <w:numPr>
          <w:ilvl w:val="0"/>
          <w:numId w:val="152"/>
        </w:numPr>
        <w:spacing w:after="0" w:line="240" w:lineRule="auto"/>
        <w:rPr>
          <w:b/>
        </w:rPr>
      </w:pPr>
      <w:r>
        <w:rPr>
          <w:b/>
        </w:rPr>
        <w:t>Research Eligible for Administrative Review</w:t>
      </w:r>
    </w:p>
    <w:p w14:paraId="0106FAA7" w14:textId="77777777" w:rsidR="006B6D46" w:rsidRPr="006B6D46" w:rsidRDefault="006B6D46" w:rsidP="006B6D46">
      <w:pPr>
        <w:spacing w:after="0" w:line="240" w:lineRule="auto"/>
        <w:rPr>
          <w:b/>
        </w:rPr>
      </w:pPr>
    </w:p>
    <w:p w14:paraId="03CA7AC4" w14:textId="77777777" w:rsidR="006B6D46" w:rsidRPr="006B6D46" w:rsidRDefault="006B6D46" w:rsidP="00A07209">
      <w:pPr>
        <w:numPr>
          <w:ilvl w:val="1"/>
          <w:numId w:val="152"/>
        </w:numPr>
        <w:spacing w:after="0" w:line="240" w:lineRule="auto"/>
        <w:rPr>
          <w:b/>
        </w:rPr>
      </w:pPr>
      <w:r>
        <w:t>Research that is exempt from IRB review may undergo administrative review by an appropriately experienced ORRP staff member, as described in HRPP policy [</w:t>
      </w:r>
      <w:hyperlink r:id="rId167" w:history="1">
        <w:r>
          <w:rPr>
            <w:color w:val="0000FF"/>
            <w:u w:val="single"/>
          </w:rPr>
          <w:t>Exempt Research</w:t>
        </w:r>
      </w:hyperlink>
      <w:r>
        <w:t xml:space="preserve">]. </w:t>
      </w:r>
    </w:p>
    <w:p w14:paraId="09D4571F" w14:textId="77777777" w:rsidR="006B6D46" w:rsidRPr="006B6D46" w:rsidRDefault="006B6D46" w:rsidP="006B6D46">
      <w:pPr>
        <w:spacing w:after="0" w:line="240" w:lineRule="auto"/>
        <w:rPr>
          <w:b/>
        </w:rPr>
      </w:pPr>
    </w:p>
    <w:p w14:paraId="321EFBCA" w14:textId="77777777" w:rsidR="006B6D46" w:rsidRPr="006B6D46" w:rsidRDefault="006B6D46" w:rsidP="00A07209">
      <w:pPr>
        <w:numPr>
          <w:ilvl w:val="1"/>
          <w:numId w:val="173"/>
        </w:numPr>
        <w:spacing w:after="0" w:line="240" w:lineRule="auto"/>
      </w:pPr>
      <w:r>
        <w:t xml:space="preserve">Under certain conditions, the requirements for continuing IRB review can be satisfied through the completion of a brief annual status report application confirmed by a designated ORRP staff member through an administrative review, unless the IRB requires that a study undergo continuing review via expedited procedure. </w:t>
      </w:r>
      <w:r>
        <w:rPr>
          <w:i/>
        </w:rPr>
        <w:t xml:space="preserve">Note: Annual status reports may not contain personnel changes.                  </w:t>
      </w:r>
    </w:p>
    <w:p w14:paraId="69AE3F71" w14:textId="77777777" w:rsidR="006B6D46" w:rsidRPr="006B6D46" w:rsidRDefault="006B6D46" w:rsidP="006B6D46">
      <w:pPr>
        <w:spacing w:after="0" w:line="240" w:lineRule="auto"/>
      </w:pPr>
    </w:p>
    <w:p w14:paraId="5CC4B3E8" w14:textId="77777777" w:rsidR="006B6D46" w:rsidRPr="006B6D46" w:rsidRDefault="006B6D46" w:rsidP="00A07209">
      <w:pPr>
        <w:numPr>
          <w:ilvl w:val="1"/>
          <w:numId w:val="173"/>
        </w:numPr>
        <w:spacing w:after="0" w:line="240" w:lineRule="auto"/>
      </w:pPr>
      <w:r>
        <w:t xml:space="preserve">Research initially approved under the pre-2018 Rule must meet all of the following criteria to be eligible for the annual status report option: </w:t>
      </w:r>
    </w:p>
    <w:p w14:paraId="0136ADAB" w14:textId="77777777" w:rsidR="006B6D46" w:rsidRPr="006B6D46" w:rsidRDefault="006B6D46" w:rsidP="00A07209">
      <w:pPr>
        <w:numPr>
          <w:ilvl w:val="0"/>
          <w:numId w:val="172"/>
        </w:numPr>
        <w:tabs>
          <w:tab w:val="left" w:pos="1080"/>
        </w:tabs>
        <w:spacing w:before="120" w:after="0" w:line="240" w:lineRule="auto"/>
        <w:ind w:left="1080"/>
      </w:pPr>
      <w:r>
        <w:t>The research is considered minimal risk and qualifies for expedited review even if the study initially received convened review.</w:t>
      </w:r>
    </w:p>
    <w:p w14:paraId="29B11931" w14:textId="77777777" w:rsidR="006B6D46" w:rsidRPr="006B6D46" w:rsidRDefault="006B6D46" w:rsidP="00A07209">
      <w:pPr>
        <w:numPr>
          <w:ilvl w:val="0"/>
          <w:numId w:val="172"/>
        </w:numPr>
        <w:tabs>
          <w:tab w:val="left" w:pos="1080"/>
        </w:tabs>
        <w:spacing w:before="120" w:after="0" w:line="240" w:lineRule="auto"/>
        <w:ind w:left="1080"/>
      </w:pPr>
      <w:r>
        <w:t xml:space="preserve">The research has not been supported by a federal agency nor received federal funding at </w:t>
      </w:r>
      <w:r>
        <w:rPr>
          <w:i/>
        </w:rPr>
        <w:t xml:space="preserve">any </w:t>
      </w:r>
      <w:r>
        <w:t xml:space="preserve">time during the research, including through a sub-award from another institution. </w:t>
      </w:r>
    </w:p>
    <w:p w14:paraId="0A203CC1" w14:textId="77777777" w:rsidR="006B6D46" w:rsidRPr="006B6D46" w:rsidRDefault="006B6D46" w:rsidP="00A07209">
      <w:pPr>
        <w:numPr>
          <w:ilvl w:val="0"/>
          <w:numId w:val="172"/>
        </w:numPr>
        <w:tabs>
          <w:tab w:val="left" w:pos="1080"/>
        </w:tabs>
        <w:spacing w:before="120" w:after="0" w:line="240" w:lineRule="auto"/>
        <w:ind w:left="1080"/>
      </w:pPr>
      <w:r>
        <w:t>The research is not FDA-regulated (including studies involving drugs, devices, and data submission).</w:t>
      </w:r>
    </w:p>
    <w:p w14:paraId="11C76FD3" w14:textId="77777777" w:rsidR="006B6D46" w:rsidRPr="006B6D46" w:rsidRDefault="006B6D46" w:rsidP="00A07209">
      <w:pPr>
        <w:numPr>
          <w:ilvl w:val="0"/>
          <w:numId w:val="172"/>
        </w:numPr>
        <w:tabs>
          <w:tab w:val="left" w:pos="1080"/>
        </w:tabs>
        <w:spacing w:before="120" w:after="0" w:line="240" w:lineRule="auto"/>
        <w:ind w:left="1080"/>
      </w:pPr>
      <w:r>
        <w:t>Ohio State is not serving as the IRB of record for any research locations.</w:t>
      </w:r>
    </w:p>
    <w:p w14:paraId="2B19BA39" w14:textId="77777777" w:rsidR="006B6D46" w:rsidRPr="006B6D46" w:rsidRDefault="006B6D46" w:rsidP="006B6D46">
      <w:pPr>
        <w:spacing w:after="0" w:line="240" w:lineRule="auto"/>
      </w:pPr>
    </w:p>
    <w:p w14:paraId="1509E042" w14:textId="77777777" w:rsidR="006B6D46" w:rsidRPr="006B6D46" w:rsidRDefault="006B6D46" w:rsidP="006B6D46">
      <w:pPr>
        <w:spacing w:after="0" w:line="240" w:lineRule="auto"/>
        <w:rPr>
          <w:b/>
        </w:rPr>
      </w:pPr>
      <w:r>
        <w:rPr>
          <w:b/>
          <w:noProof/>
        </w:rPr>
        <mc:AlternateContent>
          <mc:Choice Requires="wps">
            <w:drawing>
              <wp:anchor distT="0" distB="0" distL="114300" distR="114300" simplePos="0" relativeHeight="251664384" behindDoc="1" locked="0" layoutInCell="1" allowOverlap="1" wp14:anchorId="48B5B677" wp14:editId="67FA5DCF">
                <wp:simplePos x="0" y="0"/>
                <wp:positionH relativeFrom="margin">
                  <wp:posOffset>80468</wp:posOffset>
                </wp:positionH>
                <wp:positionV relativeFrom="paragraph">
                  <wp:posOffset>7620</wp:posOffset>
                </wp:positionV>
                <wp:extent cx="5934075" cy="1541721"/>
                <wp:effectExtent l="0" t="0" r="28575" b="20955"/>
                <wp:wrapNone/>
                <wp:docPr id="510284171" name="Rectangl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4075" cy="1541721"/>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6FA209" id="Rectangle 3" o:spid="_x0000_s1026" style="position:absolute;margin-left:6.35pt;margin-top:.6pt;width:467.25pt;height:121.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uIhBDwIAABcEAAAOAAAAZHJzL2Uyb0RvYy54bWysU9uO0zAQfUfiHyy/0ySlYbdR09UqpQhp uUgLH+A6TmLheMzYbVq+nonT7ZbLEyIPlidjnzlz5nh1d+wNOyj0GmzJs1nKmbISam3bkn/9sn11 y5kPwtbCgFUlPynP79YvX6wGV6g5dGBqhYxArC8GV/IuBFckiZed6oWfgVOWkg1gLwKF2CY1ioHQ e5PM0/RNMgDWDkEq7+nvZkrydcRvGiXDp6bxKjBTcuIW4opx3Y1rsl6JokXhOi3PNMQ/sOiFtlT0 ArURQbA96j+gei0RPDRhJqFPoGm0VLEH6iZLf+vmsRNOxV5IHO8uMvn/Bys/Hh7dZxype/cA8ptn FqpO2FbdI8LQKVFTuWwUKhmcLy4XxsDTVbYbPkBNoxX7AFGDY4P9CEjdsWOU+nSRWh0Dk/QzX75e pDc5Z5JyWb7IbuZTDVE8XXfowzsFPRs3JUeaZYQXhwcfRjqieDoS6YPR9VYbEwNsd5VBdhA092pb bapN7IC6vD5mLBtKvszneUT+JeevIdL4/Q2i14EMbHRf8tvLIVGMur21dbRXENpMe6Js7FnIUbvR pr7YQX0iHREmd9Jrok0H+IOzgZxZcv99L1BxZt5bmsUyWyxGK8dgkd/MKcDrzO46I6wkqJIHzqZt FSb77x3qtqNKWezdwj3Nr9FR2WdWZ7Lkvij4+aWM9r6O46nn97z+CQAA//8DAFBLAwQUAAYACAAA ACEA55OrZNwAAAAIAQAADwAAAGRycy9kb3ducmV2LnhtbEyPQU+DQBCF7yb+h82YeLOLhLRKWZra pDHxpODF2wBTQNlZwm5b/PdOT/Y08/Je3nyTbWY7qBNNvnds4HERgSKuXdNza+Cz3D88gfIBucHB MRn4JQ+b/PYmw7RxZ/6gUxFaJSXsUzTQhTCmWvu6I4t+4UZi8Q5ushhETq1uJjxLuR10HEVLbbFn udDhSLuO6p/iaA2U2yWVY/W1p/e3l9f+O+xChYUx93fzdg0q0Bz+w3DBF3TIhalyR268GkTHK0le Jiixn5OVLJWBOEki0Hmmrx/I/wAAAP//AwBQSwECLQAUAAYACAAAACEAtoM4kv4AAADhAQAAEwAA AAAAAAAAAAAAAAAAAAAAW0NvbnRlbnRfVHlwZXNdLnhtbFBLAQItABQABgAIAAAAIQA4/SH/1gAA AJQBAAALAAAAAAAAAAAAAAAAAC8BAABfcmVscy8ucmVsc1BLAQItABQABgAIAAAAIQAWuIhBDwIA ABcEAAAOAAAAAAAAAAAAAAAAAC4CAABkcnMvZTJvRG9jLnhtbFBLAQItABQABgAIAAAAIQDnk6tk 3AAAAAgBAAAPAAAAAAAAAAAAAAAAAGkEAABkcnMvZG93bnJldi54bWxQSwUGAAAAAAQABADzAAAA cgUAAAAA " fillcolor="#cfcdcd">
                <w10:wrap anchorx="margin"/>
              </v:rect>
            </w:pict>
          </mc:Fallback>
        </mc:AlternateContent>
      </w:r>
    </w:p>
    <w:p w14:paraId="36ED0102" w14:textId="77777777" w:rsidR="006B6D46" w:rsidRPr="006B6D46" w:rsidRDefault="006B6D46" w:rsidP="00A07209">
      <w:pPr>
        <w:numPr>
          <w:ilvl w:val="1"/>
          <w:numId w:val="173"/>
        </w:numPr>
        <w:spacing w:after="0" w:line="240" w:lineRule="auto"/>
      </w:pPr>
      <w:r>
        <w:t>Research initially approved under the Final Rule that has not been supported by a federal agency or received federal funding at any time during the research must meet all of the following criteria to be eligible for the annual status report option:</w:t>
      </w:r>
    </w:p>
    <w:p w14:paraId="3D4C6E53" w14:textId="77777777" w:rsidR="006B6D46" w:rsidRPr="006B6D46" w:rsidRDefault="006B6D46" w:rsidP="00A07209">
      <w:pPr>
        <w:numPr>
          <w:ilvl w:val="0"/>
          <w:numId w:val="174"/>
        </w:numPr>
        <w:tabs>
          <w:tab w:val="num" w:pos="1260"/>
        </w:tabs>
        <w:spacing w:before="120" w:after="0" w:line="240" w:lineRule="auto"/>
        <w:ind w:left="1080"/>
      </w:pPr>
      <w:r>
        <w:t xml:space="preserve">The research is considered minimal risk and qualifies for expedited review even </w:t>
      </w:r>
      <w:r>
        <w:br/>
        <w:t>if the study initially received convened review.</w:t>
      </w:r>
    </w:p>
    <w:p w14:paraId="383137FA" w14:textId="77777777" w:rsidR="006B6D46" w:rsidRPr="000E5408" w:rsidRDefault="006B6D46" w:rsidP="00A07209">
      <w:pPr>
        <w:numPr>
          <w:ilvl w:val="0"/>
          <w:numId w:val="174"/>
        </w:numPr>
        <w:tabs>
          <w:tab w:val="num" w:pos="1260"/>
        </w:tabs>
        <w:spacing w:before="120" w:after="0" w:line="240" w:lineRule="auto"/>
        <w:ind w:left="1080"/>
      </w:pPr>
      <w:r>
        <w:t>The research is not FDA-regulated (including studies involving drugs, devices, and data submission).</w:t>
      </w:r>
      <w:r>
        <w:br/>
      </w:r>
      <w:r>
        <w:tab/>
      </w:r>
    </w:p>
    <w:p w14:paraId="533D32C8" w14:textId="77777777" w:rsidR="006B6D46" w:rsidRPr="006B6D46" w:rsidRDefault="000E5408" w:rsidP="00A07209">
      <w:pPr>
        <w:numPr>
          <w:ilvl w:val="1"/>
          <w:numId w:val="173"/>
        </w:numPr>
        <w:spacing w:after="0" w:line="240" w:lineRule="auto"/>
      </w:pPr>
      <w:r>
        <w:rPr>
          <w:noProof/>
        </w:rPr>
        <mc:AlternateContent>
          <mc:Choice Requires="wps">
            <w:drawing>
              <wp:anchor distT="0" distB="0" distL="114300" distR="114300" simplePos="0" relativeHeight="251662336" behindDoc="1" locked="0" layoutInCell="1" allowOverlap="1" wp14:anchorId="0D8642B4" wp14:editId="2A8A452F">
                <wp:simplePos x="0" y="0"/>
                <wp:positionH relativeFrom="margin">
                  <wp:posOffset>85725</wp:posOffset>
                </wp:positionH>
                <wp:positionV relativeFrom="paragraph">
                  <wp:posOffset>4445</wp:posOffset>
                </wp:positionV>
                <wp:extent cx="5922010" cy="1419225"/>
                <wp:effectExtent l="0" t="0" r="21590" b="28575"/>
                <wp:wrapNone/>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2010" cy="1419225"/>
                        </a:xfrm>
                        <a:prstGeom prst="rect">
                          <a:avLst/>
                        </a:prstGeom>
                        <a:solidFill>
                          <a:sysClr val="window" lastClr="FFFFFF">
                            <a:lumMod val="7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8EF84" id="Rectangle 4" o:spid="_x0000_s1026" style="position:absolute;margin-left:6.75pt;margin-top:.35pt;width:466.3pt;height:111.75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FXvfZdgIAABEFAAAOAAAAZHJzL2Uyb0RvYy54bWysVFFP2zAQfp+0/2D5faSt2gEVKapAnSYx QALEs3GcJpLt82y3affr99kpNLA9TcuDc+c7n++++84Xlzuj2Vb50JIt+fhkxJmykqrWrkv+9Lj6 csZZiMJWQpNVJd+rwC8Xnz9ddG6uJtSQrpRnCGLDvHMlb2J086IIslFGhBNyysJYkzciQvXrovKi Q3Sji8lo9LXoyFfOk1QhYPe6N/JFjl/XSsa7ug4qMl1y5Bbz6vP6ktZicSHmay9c08pDGuIfsjCi tbj0LdS1iIJtfPtHKNNKT4HqeCLJFFTXrVS5BlQzHn2o5qERTuVaAE5wbzCF/xdW3m4f3L0HDJ0L 8wAxVbGrvUl/5Md2Gaz9G1hqF5nE5ux8klLmTMI2no6hzhKcxfG48yF+U2RYEkru0Y0MktjehNi7 vrqk2wLptlq1WmdlH660Z1uBxqHfFXWcaREiNku+yl+OpTfmB1W93+lsNMotRQ4hn8/pvIurLeuQ 7+QUnkwKUK7WIkI0rip5sGvOhF6DyzL6fMG7033UYVaPwGOQGRIY5DAsKFV6LULTH85Re/aZNmIE dGtKfjY8rW3CQWUSH/A69ihJL1Tt7z3z1LM6OLlqcckNULoXHjRGhRjNeIel1oSy6SBx1pD/9bf9 5A92wcpZh7EAJD83wiuU+N2Cd+fj6TTNUVams9MJFD+0vAwtdmOuCA0c4xFwMovJP+pXsfZknjHB y3QrTMJK3N2Df1CuYj+ueAOkWi6zG2bHiXhjH5xMwRNOCd7H3bPw7sC2iMbc0usIifkH0vW+6aSl 5SZS3WZGHnEFdZKCucskOrwRabCHevY6vmSL3wAAAP//AwBQSwMEFAAGAAgAAAAhAP7QqTzbAAAA BwEAAA8AAABkcnMvZG93bnJldi54bWxMjsFOwzAQRO9I/IO1SFwq6jS0aRviVC0I9UzgA1zbJAF7 HdluE/6e5USPoxm9edVucpZdTIi9RwGLeQbMoPK6x1bAx/vrwwZYTBK1tB6NgB8TYVff3lSy1H7E N3NpUssIgrGUArqUhpLzqDrjZJz7wSB1nz44mSiGlusgR4I7y/MsK7iTPdJDJwfz3Bn13ZydgPCi 1Ho2O34dLd8XRTscVmNzEOL+bto/AUtmSv9j+NMndajJ6eTPqCOzlB9XtBSwBkbtdlksgJ0E5Pky B15X/Nq//gUAAP//AwBQSwECLQAUAAYACAAAACEAtoM4kv4AAADhAQAAEwAAAAAAAAAAAAAAAAAA AAAAW0NvbnRlbnRfVHlwZXNdLnhtbFBLAQItABQABgAIAAAAIQA4/SH/1gAAAJQBAAALAAAAAAAA AAAAAAAAAC8BAABfcmVscy8ucmVsc1BLAQItABQABgAIAAAAIQDFXvfZdgIAABEFAAAOAAAAAAAA AAAAAAAAAC4CAABkcnMvZTJvRG9jLnhtbFBLAQItABQABgAIAAAAIQD+0Kk82wAAAAcBAAAPAAAA AAAAAAAAAAAAANAEAABkcnMvZG93bnJldi54bWxQSwUGAAAAAAQABADzAAAA2AUAAAAA " fillcolor="#bfbfbf" strokecolor="windowText" strokeweight="1pt">
                <w10:wrap anchorx="margin"/>
              </v:rect>
            </w:pict>
          </mc:Fallback>
        </mc:AlternateContent>
      </w:r>
      <w:r>
        <w:t xml:space="preserve">Research initially approved under the Final Rule that has been supported by a federal agency or received federal funding is eligible for the annual status report option if it (1) </w:t>
      </w:r>
      <w:r>
        <w:br/>
        <w:t xml:space="preserve">is not FDA-regulated (including studies involving drugs, devices, and data submission) AND (2) meets one of the following criteria: </w:t>
      </w:r>
    </w:p>
    <w:p w14:paraId="6DD20F00" w14:textId="41E142F3" w:rsidR="006B6D46" w:rsidRPr="006B6D46" w:rsidRDefault="00370D45" w:rsidP="00A07209">
      <w:pPr>
        <w:numPr>
          <w:ilvl w:val="0"/>
          <w:numId w:val="172"/>
        </w:numPr>
        <w:spacing w:before="120" w:after="0" w:line="240" w:lineRule="auto"/>
        <w:ind w:left="1080"/>
      </w:pPr>
      <w:r>
        <w:rPr>
          <w:noProof/>
        </w:rPr>
        <w:lastRenderedPageBreak/>
        <mc:AlternateContent>
          <mc:Choice Requires="wps">
            <w:drawing>
              <wp:anchor distT="0" distB="0" distL="114300" distR="114300" simplePos="0" relativeHeight="251684864" behindDoc="1" locked="0" layoutInCell="1" allowOverlap="1" wp14:anchorId="3AFE60C7" wp14:editId="489C16B8">
                <wp:simplePos x="0" y="0"/>
                <wp:positionH relativeFrom="margin">
                  <wp:posOffset>85725</wp:posOffset>
                </wp:positionH>
                <wp:positionV relativeFrom="paragraph">
                  <wp:posOffset>9525</wp:posOffset>
                </wp:positionV>
                <wp:extent cx="5922010" cy="1762125"/>
                <wp:effectExtent l="0" t="0" r="21590" b="28575"/>
                <wp:wrapNone/>
                <wp:docPr id="2070168530" name="Rectangle 20701685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5922010" cy="1762125"/>
                        </a:xfrm>
                        <a:prstGeom prst="rect">
                          <a:avLst/>
                        </a:prstGeom>
                        <a:solidFill>
                          <a:sysClr val="window" lastClr="FFFFFF">
                            <a:lumMod val="75000"/>
                          </a:sys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D29DA3" id="Rectangle 2070168530" o:spid="_x0000_s1026" alt="&quot;&quot;" style="position:absolute;margin-left:6.75pt;margin-top:.75pt;width:466.3pt;height:138.75pt;z-index:-251631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" fillcolor="#bfbfbf" strokecolor="windowText" strokeweight="1pt">
                <w10:wrap anchorx="margin"/>
              </v:rect>
            </w:pict>
          </mc:Fallback>
        </mc:AlternateContent>
      </w:r>
      <w:r w:rsidR="006B6D46">
        <w:t xml:space="preserve">The research has never been approved by the convened IRB and qualifies for expedited review under Expedited Review Categories 2 through 7 (see </w:t>
      </w:r>
      <w:hyperlink w:anchor="Attach2" w:history="1">
        <w:r w:rsidR="006B6D46">
          <w:rPr>
            <w:color w:val="0000FF"/>
            <w:u w:val="single"/>
          </w:rPr>
          <w:t>Attachment 2</w:t>
        </w:r>
      </w:hyperlink>
      <w:r w:rsidR="006B6D46">
        <w:t>).</w:t>
      </w:r>
    </w:p>
    <w:p w14:paraId="2E9665DE" w14:textId="43AF9483" w:rsidR="006B6D46" w:rsidRPr="006B6D46" w:rsidRDefault="000E5408" w:rsidP="00A07209">
      <w:pPr>
        <w:numPr>
          <w:ilvl w:val="0"/>
          <w:numId w:val="172"/>
        </w:numPr>
        <w:spacing w:before="120" w:after="0" w:line="240" w:lineRule="auto"/>
        <w:ind w:left="1080"/>
      </w:pPr>
      <w:r>
        <w:t xml:space="preserve">The research has been approved by a convened IRB (initial review and/or previous continuing review) and has progressed to the point that it involves only one or both </w:t>
      </w:r>
      <w:r>
        <w:br/>
        <w:t>of the following activities:</w:t>
      </w:r>
    </w:p>
    <w:p w14:paraId="5ACEBAA8" w14:textId="77777777" w:rsidR="006B6D46" w:rsidRPr="006B6D46" w:rsidRDefault="006B6D46" w:rsidP="00A07209">
      <w:pPr>
        <w:numPr>
          <w:ilvl w:val="0"/>
          <w:numId w:val="177"/>
        </w:numPr>
        <w:spacing w:before="120" w:after="0" w:line="240" w:lineRule="auto"/>
      </w:pPr>
      <w:r>
        <w:t xml:space="preserve">Data analysis (including analysis of identifiable information and/or </w:t>
      </w:r>
      <w:r>
        <w:br/>
        <w:t>identifiable biospecimens), or</w:t>
      </w:r>
    </w:p>
    <w:p w14:paraId="47DBA409" w14:textId="77777777" w:rsidR="006B6D46" w:rsidRPr="006B6D46" w:rsidRDefault="006B6D46" w:rsidP="00A07209">
      <w:pPr>
        <w:numPr>
          <w:ilvl w:val="0"/>
          <w:numId w:val="177"/>
        </w:numPr>
        <w:spacing w:before="120" w:after="0" w:line="240" w:lineRule="auto"/>
      </w:pPr>
      <w:r>
        <w:t>Access to follow-up clinical data from procedures that subjects would undergo as part of clinical care.</w:t>
      </w:r>
    </w:p>
    <w:p w14:paraId="5030C16A" w14:textId="77777777" w:rsidR="006B6D46" w:rsidRPr="006B6D46" w:rsidRDefault="006B6D46" w:rsidP="006B6D46">
      <w:pPr>
        <w:spacing w:after="0" w:line="240" w:lineRule="auto"/>
      </w:pPr>
    </w:p>
    <w:p w14:paraId="7978D8AB" w14:textId="77777777" w:rsidR="006B6D46" w:rsidRPr="006B6D46" w:rsidRDefault="006B6D46" w:rsidP="00A07209">
      <w:pPr>
        <w:numPr>
          <w:ilvl w:val="1"/>
          <w:numId w:val="173"/>
        </w:numPr>
        <w:spacing w:after="0" w:line="240" w:lineRule="auto"/>
        <w:rPr>
          <w:b/>
        </w:rPr>
      </w:pPr>
      <w:r>
        <w:t xml:space="preserve">Final study reports may be reviewed by designated ORRP staff through administrative review procedures. </w:t>
      </w:r>
      <w:r>
        <w:br/>
      </w:r>
    </w:p>
    <w:p w14:paraId="2C1D1E2B" w14:textId="77777777" w:rsidR="006B6D46" w:rsidRPr="006B6D46" w:rsidRDefault="006B6D46" w:rsidP="00A07209">
      <w:pPr>
        <w:numPr>
          <w:ilvl w:val="1"/>
          <w:numId w:val="173"/>
        </w:numPr>
        <w:spacing w:after="0" w:line="240" w:lineRule="auto"/>
        <w:rPr>
          <w:b/>
        </w:rPr>
      </w:pPr>
      <w:r>
        <w:t>When research qualifying for administrative review contains evidence of noncompliance, the study will be referred for either expedited or convened IRB review according to the nature and degree of the noncompliance, as outlined in HRPP policy [</w:t>
      </w:r>
      <w:hyperlink r:id="rId168" w:history="1">
        <w:r>
          <w:rPr>
            <w:color w:val="0000FF"/>
            <w:u w:val="single"/>
          </w:rPr>
          <w:t>Noncompliance</w:t>
        </w:r>
      </w:hyperlink>
      <w:r>
        <w:t>].</w:t>
      </w:r>
    </w:p>
    <w:p w14:paraId="741B2FCF" w14:textId="77777777" w:rsidR="006B6D46" w:rsidRPr="006B6D46" w:rsidRDefault="006B6D46" w:rsidP="006B6D46">
      <w:pPr>
        <w:spacing w:after="0" w:line="240" w:lineRule="auto"/>
        <w:rPr>
          <w:b/>
        </w:rPr>
      </w:pPr>
    </w:p>
    <w:p w14:paraId="52061062" w14:textId="77777777" w:rsidR="006B6D46" w:rsidRPr="006B6D46" w:rsidRDefault="006B6D46" w:rsidP="00A07209">
      <w:pPr>
        <w:numPr>
          <w:ilvl w:val="0"/>
          <w:numId w:val="152"/>
        </w:numPr>
        <w:spacing w:after="0" w:line="240" w:lineRule="auto"/>
        <w:rPr>
          <w:b/>
        </w:rPr>
      </w:pPr>
      <w:r>
        <w:rPr>
          <w:b/>
        </w:rPr>
        <w:t>Submission Requirements</w:t>
      </w:r>
    </w:p>
    <w:p w14:paraId="4DAF66ED" w14:textId="77777777" w:rsidR="006B6D46" w:rsidRPr="006B6D46" w:rsidRDefault="006B6D46" w:rsidP="006B6D46">
      <w:pPr>
        <w:spacing w:after="0" w:line="240" w:lineRule="auto"/>
        <w:rPr>
          <w:b/>
        </w:rPr>
      </w:pPr>
    </w:p>
    <w:p w14:paraId="5D0C7E71" w14:textId="77777777" w:rsidR="006B6D46" w:rsidRPr="006B6D46" w:rsidRDefault="006B6D46" w:rsidP="00A07209">
      <w:pPr>
        <w:numPr>
          <w:ilvl w:val="2"/>
          <w:numId w:val="158"/>
        </w:numPr>
        <w:tabs>
          <w:tab w:val="num" w:pos="720"/>
        </w:tabs>
        <w:spacing w:after="0" w:line="240" w:lineRule="auto"/>
        <w:ind w:left="720" w:hanging="360"/>
      </w:pPr>
      <w:r>
        <w:t>When submitting applications in Buck-IRB for expedited or administrative review, investigators must submit all applicable materials listed in HRPP policy [</w:t>
      </w:r>
      <w:hyperlink r:id="rId169" w:history="1">
        <w:r>
          <w:rPr>
            <w:color w:val="0000FF"/>
            <w:u w:val="single"/>
          </w:rPr>
          <w:t>Submission and Pre-Review</w:t>
        </w:r>
      </w:hyperlink>
      <w:r>
        <w:t>].</w:t>
      </w:r>
    </w:p>
    <w:p w14:paraId="435BA7EA" w14:textId="77777777" w:rsidR="006B6D46" w:rsidRPr="006B6D46" w:rsidRDefault="006B6D46" w:rsidP="006B6D46">
      <w:pPr>
        <w:spacing w:after="0" w:line="240" w:lineRule="auto"/>
      </w:pPr>
    </w:p>
    <w:p w14:paraId="2E45A74E" w14:textId="77777777" w:rsidR="006B6D46" w:rsidRPr="006B6D46" w:rsidRDefault="006B6D46" w:rsidP="00A07209">
      <w:pPr>
        <w:numPr>
          <w:ilvl w:val="2"/>
          <w:numId w:val="158"/>
        </w:numPr>
        <w:tabs>
          <w:tab w:val="num" w:pos="720"/>
        </w:tabs>
        <w:spacing w:after="0" w:line="240" w:lineRule="auto"/>
        <w:ind w:left="720" w:hanging="360"/>
      </w:pPr>
      <w:r>
        <w:t>Upon receipt of an application for expedited or administrative review, an ORRP staff member pre-reviews the submission (e.g., to verify whether the materials are complete) and makes an initial determination as to whether the submission is eligible for expedited or administrative review.</w:t>
      </w:r>
    </w:p>
    <w:p w14:paraId="4130395F" w14:textId="77777777" w:rsidR="006B6D46" w:rsidRPr="006B6D46" w:rsidRDefault="006B6D46" w:rsidP="006B6D46">
      <w:pPr>
        <w:spacing w:after="0" w:line="240" w:lineRule="auto"/>
        <w:rPr>
          <w:b/>
        </w:rPr>
      </w:pPr>
    </w:p>
    <w:p w14:paraId="7215C9C6" w14:textId="77777777" w:rsidR="006B6D46" w:rsidRPr="006B6D46" w:rsidRDefault="006B6D46" w:rsidP="00A07209">
      <w:pPr>
        <w:numPr>
          <w:ilvl w:val="0"/>
          <w:numId w:val="152"/>
        </w:numPr>
        <w:spacing w:after="0" w:line="240" w:lineRule="auto"/>
      </w:pPr>
      <w:r>
        <w:rPr>
          <w:b/>
        </w:rPr>
        <w:t>Expedited Reviewer Assignments</w:t>
      </w:r>
    </w:p>
    <w:p w14:paraId="48EAB015" w14:textId="77777777" w:rsidR="006B6D46" w:rsidRPr="006B6D46" w:rsidRDefault="006B6D46" w:rsidP="006B6D46">
      <w:pPr>
        <w:spacing w:after="0" w:line="240" w:lineRule="auto"/>
        <w:ind w:left="288"/>
      </w:pPr>
    </w:p>
    <w:p w14:paraId="6E71F8E8" w14:textId="77777777" w:rsidR="006B6D46" w:rsidRPr="006B6D46" w:rsidRDefault="006B6D46" w:rsidP="00A07209">
      <w:pPr>
        <w:numPr>
          <w:ilvl w:val="0"/>
          <w:numId w:val="159"/>
        </w:numPr>
        <w:tabs>
          <w:tab w:val="num" w:pos="720"/>
        </w:tabs>
        <w:spacing w:after="0" w:line="240" w:lineRule="auto"/>
      </w:pPr>
      <w:r>
        <w:t xml:space="preserve">ORRP staff members assign expedited reviews to one or more IRB members from the pool of experienced reviewers designated by the IRB chair (which may also include the IRB chair). </w:t>
      </w:r>
    </w:p>
    <w:p w14:paraId="2566CFF9" w14:textId="77777777" w:rsidR="006B6D46" w:rsidRPr="006B6D46" w:rsidRDefault="006B6D46" w:rsidP="006B6D46">
      <w:pPr>
        <w:spacing w:after="0" w:line="240" w:lineRule="auto"/>
        <w:ind w:left="360"/>
      </w:pPr>
    </w:p>
    <w:p w14:paraId="74454850" w14:textId="77777777" w:rsidR="006B6D46" w:rsidRPr="006B6D46" w:rsidRDefault="006B6D46" w:rsidP="00A07209">
      <w:pPr>
        <w:numPr>
          <w:ilvl w:val="0"/>
          <w:numId w:val="159"/>
        </w:numPr>
        <w:tabs>
          <w:tab w:val="num" w:pos="720"/>
        </w:tabs>
        <w:spacing w:after="60" w:line="240" w:lineRule="auto"/>
      </w:pPr>
      <w:r>
        <w:t>When making expedited reviewer assignments, the ORRP staff member also considers the following:</w:t>
      </w:r>
    </w:p>
    <w:p w14:paraId="20F4227F"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Reviewer’s scientific and/or scholarly expertise</w:t>
      </w:r>
    </w:p>
    <w:p w14:paraId="50DC184F"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 experience</w:t>
      </w:r>
    </w:p>
    <w:p w14:paraId="269D750E"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Reviewer’s status as scientist or nonscientist</w:t>
      </w:r>
    </w:p>
    <w:p w14:paraId="01A05236"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Reviewer workload</w:t>
      </w:r>
    </w:p>
    <w:p w14:paraId="7E7E96F6" w14:textId="77777777" w:rsidR="006B6D46" w:rsidRPr="006B6D46" w:rsidRDefault="006B6D46" w:rsidP="00A07209">
      <w:pPr>
        <w:numPr>
          <w:ilvl w:val="0"/>
          <w:numId w:val="108"/>
        </w:numPr>
        <w:tabs>
          <w:tab w:val="clear" w:pos="2088"/>
          <w:tab w:val="num" w:pos="1080"/>
          <w:tab w:val="num" w:pos="1368"/>
        </w:tabs>
        <w:spacing w:after="60" w:line="240" w:lineRule="auto"/>
        <w:ind w:left="1080"/>
      </w:pPr>
      <w:r>
        <w:t>Potential conflicts of interest (both financial and personal/professional as defined in HRPP policy [</w:t>
      </w:r>
      <w:hyperlink r:id="rId170" w:history="1">
        <w:r>
          <w:rPr>
            <w:color w:val="0000FF"/>
            <w:u w:val="single"/>
          </w:rPr>
          <w:t>IRB Member and Consultant Conflict of Interest</w:t>
        </w:r>
      </w:hyperlink>
      <w:r>
        <w:t>]</w:t>
      </w:r>
    </w:p>
    <w:p w14:paraId="59726828" w14:textId="77777777" w:rsidR="006B6D46" w:rsidRPr="006B6D46" w:rsidRDefault="006B6D46" w:rsidP="00A07209">
      <w:pPr>
        <w:numPr>
          <w:ilvl w:val="0"/>
          <w:numId w:val="108"/>
        </w:numPr>
        <w:tabs>
          <w:tab w:val="clear" w:pos="2088"/>
          <w:tab w:val="num" w:pos="1080"/>
          <w:tab w:val="num" w:pos="1368"/>
        </w:tabs>
        <w:spacing w:after="120" w:line="240" w:lineRule="auto"/>
        <w:ind w:left="1080"/>
      </w:pPr>
      <w:r>
        <w:t>The need for special representation (e.g., vulnerable populations)</w:t>
      </w:r>
    </w:p>
    <w:p w14:paraId="1512B79A" w14:textId="77777777" w:rsidR="006B6D46" w:rsidRPr="006B6D46" w:rsidRDefault="006B6D46" w:rsidP="006B6D46">
      <w:pPr>
        <w:spacing w:after="0" w:line="240" w:lineRule="auto"/>
        <w:ind w:left="720"/>
      </w:pPr>
      <w:r>
        <w:t>ORRP staff members consult with the IRB chair as necessary when making reviewer assignments.</w:t>
      </w:r>
    </w:p>
    <w:p w14:paraId="0A1A4619" w14:textId="77777777" w:rsidR="006B6D46" w:rsidRPr="006B6D46" w:rsidRDefault="006B6D46" w:rsidP="006B6D46">
      <w:pPr>
        <w:spacing w:after="0" w:line="240" w:lineRule="auto"/>
        <w:ind w:left="1080"/>
      </w:pPr>
    </w:p>
    <w:p w14:paraId="2CFFD492" w14:textId="77777777" w:rsidR="006B6D46" w:rsidRPr="006B6D46" w:rsidRDefault="006B6D46" w:rsidP="00A07209">
      <w:pPr>
        <w:numPr>
          <w:ilvl w:val="2"/>
          <w:numId w:val="160"/>
        </w:numPr>
        <w:tabs>
          <w:tab w:val="num" w:pos="720"/>
        </w:tabs>
        <w:spacing w:after="0" w:line="240" w:lineRule="auto"/>
        <w:ind w:left="720" w:hanging="360"/>
      </w:pPr>
      <w:r>
        <w:t>ORRP staff notify IRB members of review assignments and confirm reviewers’ availability and eligibility (e.g., no conflicting interests) to perform timely reviews.</w:t>
      </w:r>
    </w:p>
    <w:p w14:paraId="6D8AB450" w14:textId="77777777" w:rsidR="006B6D46" w:rsidRPr="006B6D46" w:rsidRDefault="006B6D46" w:rsidP="006B6D46">
      <w:pPr>
        <w:spacing w:after="0" w:line="240" w:lineRule="auto"/>
      </w:pPr>
    </w:p>
    <w:p w14:paraId="7D3441A4" w14:textId="77777777" w:rsidR="006B6D46" w:rsidRPr="006B6D46" w:rsidRDefault="006B6D46" w:rsidP="006B6D46">
      <w:pPr>
        <w:spacing w:after="0" w:line="240" w:lineRule="auto"/>
        <w:rPr>
          <w:b/>
        </w:rPr>
      </w:pPr>
      <w:r>
        <w:rPr>
          <w:b/>
        </w:rPr>
        <w:t>7. Expedited Review Procedures</w:t>
      </w:r>
    </w:p>
    <w:p w14:paraId="58C73606" w14:textId="77777777" w:rsidR="006B6D46" w:rsidRPr="006B6D46" w:rsidRDefault="006B6D46" w:rsidP="006B6D46">
      <w:pPr>
        <w:spacing w:after="0" w:line="240" w:lineRule="auto"/>
      </w:pPr>
    </w:p>
    <w:p w14:paraId="6D707159" w14:textId="77777777" w:rsidR="006B6D46" w:rsidRPr="006B6D46" w:rsidRDefault="006B6D46" w:rsidP="00A07209">
      <w:pPr>
        <w:numPr>
          <w:ilvl w:val="0"/>
          <w:numId w:val="161"/>
        </w:numPr>
        <w:tabs>
          <w:tab w:val="num" w:pos="720"/>
        </w:tabs>
        <w:spacing w:after="60" w:line="240" w:lineRule="auto"/>
      </w:pPr>
      <w:r>
        <w:t xml:space="preserve">Initial and Continuing Review </w:t>
      </w:r>
    </w:p>
    <w:p w14:paraId="0DB95620" w14:textId="77777777" w:rsidR="006B6D46" w:rsidRPr="006B6D46" w:rsidRDefault="006B6D46" w:rsidP="00A07209">
      <w:pPr>
        <w:numPr>
          <w:ilvl w:val="2"/>
          <w:numId w:val="161"/>
        </w:numPr>
        <w:spacing w:before="120" w:after="60" w:line="240" w:lineRule="auto"/>
      </w:pPr>
      <w:r>
        <w:t>Assigned reviewer(s) will receive all information that the convened IRB would have received and will initially review the materials submitted to confirm that the research meets the applicability criteria and one or more categories of research eligible for expedited review.</w:t>
      </w:r>
    </w:p>
    <w:p w14:paraId="1A29C798" w14:textId="77777777" w:rsidR="006B6D46" w:rsidRPr="006B6D46" w:rsidRDefault="006B6D46" w:rsidP="00A07209">
      <w:pPr>
        <w:numPr>
          <w:ilvl w:val="2"/>
          <w:numId w:val="161"/>
        </w:numPr>
        <w:spacing w:before="120" w:after="60" w:line="240" w:lineRule="auto"/>
      </w:pPr>
      <w:r>
        <w:t>For continuing review, the complete protocol file and relevant minutes from previous IRB review(s), as applicable, will also be available upon request.</w:t>
      </w:r>
    </w:p>
    <w:p w14:paraId="4FDACE03" w14:textId="77777777" w:rsidR="006B6D46" w:rsidRPr="006B6D46" w:rsidRDefault="006B6D46" w:rsidP="00A07209">
      <w:pPr>
        <w:numPr>
          <w:ilvl w:val="2"/>
          <w:numId w:val="161"/>
        </w:numPr>
        <w:spacing w:before="120" w:after="60" w:line="240" w:lineRule="auto"/>
      </w:pPr>
      <w:r>
        <w:t>The expedited reviewer(s) will perform an in-depth review of all submitted materials, using the criteria for approval described in federal regulations and HRPP policy [</w:t>
      </w:r>
      <w:hyperlink r:id="rId171" w:history="1">
        <w:r>
          <w:rPr>
            <w:bCs/>
            <w:color w:val="0000FF"/>
            <w:u w:val="single"/>
          </w:rPr>
          <w:t>Review of Research by the Convened IRB</w:t>
        </w:r>
      </w:hyperlink>
      <w:r>
        <w:rPr>
          <w:bCs/>
        </w:rPr>
        <w:t>].</w:t>
      </w:r>
    </w:p>
    <w:p w14:paraId="181E20FC" w14:textId="77777777" w:rsidR="006B6D46" w:rsidRPr="006B6D46" w:rsidRDefault="006B6D46" w:rsidP="00A07209">
      <w:pPr>
        <w:numPr>
          <w:ilvl w:val="2"/>
          <w:numId w:val="161"/>
        </w:numPr>
        <w:tabs>
          <w:tab w:val="clear" w:pos="1800"/>
        </w:tabs>
        <w:spacing w:before="120" w:after="0" w:line="240" w:lineRule="auto"/>
        <w:rPr>
          <w:lang w:bidi="x-none"/>
        </w:rPr>
      </w:pPr>
      <w:r>
        <w:rPr>
          <w:lang w:bidi="x-none"/>
        </w:rPr>
        <w:t>The expedited reviewer(s) can determine that a study must undergo continuing IRB review when it would otherwise qualify for administrative review (e.g., history of PI noncompliance).</w:t>
      </w:r>
    </w:p>
    <w:p w14:paraId="56E4197F" w14:textId="77777777" w:rsidR="006B6D46" w:rsidRPr="006B6D46" w:rsidRDefault="006B6D46" w:rsidP="00A07209">
      <w:pPr>
        <w:numPr>
          <w:ilvl w:val="2"/>
          <w:numId w:val="161"/>
        </w:numPr>
        <w:tabs>
          <w:tab w:val="clear" w:pos="1800"/>
        </w:tabs>
        <w:spacing w:before="120" w:after="0" w:line="240" w:lineRule="auto"/>
        <w:rPr>
          <w:lang w:bidi="x-none"/>
        </w:rPr>
      </w:pPr>
      <w:r>
        <w:rPr>
          <w:bCs/>
        </w:rPr>
        <w:t>For continuing review, reviewer(s) will also determine the following:</w:t>
      </w:r>
    </w:p>
    <w:p w14:paraId="07B2EE96" w14:textId="77777777" w:rsidR="006B6D46" w:rsidRPr="006B6D46" w:rsidRDefault="006B6D46" w:rsidP="00A07209">
      <w:pPr>
        <w:numPr>
          <w:ilvl w:val="0"/>
          <w:numId w:val="178"/>
        </w:numPr>
        <w:tabs>
          <w:tab w:val="left" w:pos="1800"/>
        </w:tabs>
        <w:spacing w:before="60" w:after="0" w:line="240" w:lineRule="auto"/>
        <w:ind w:left="1800"/>
      </w:pPr>
      <w:r>
        <w:rPr>
          <w:bCs/>
        </w:rPr>
        <w:t xml:space="preserve">Whether the protocol needs verification from sources other than the investigators that no material changes occurred since previous IRB review, as described in HRPP policy </w:t>
      </w:r>
      <w:r>
        <w:t>[</w:t>
      </w:r>
      <w:hyperlink r:id="rId172" w:history="1">
        <w:r>
          <w:rPr>
            <w:bCs/>
            <w:color w:val="0000FF"/>
            <w:u w:val="single"/>
          </w:rPr>
          <w:t>Review of Research by the Convened IRB</w:t>
        </w:r>
      </w:hyperlink>
      <w:r>
        <w:rPr>
          <w:bCs/>
        </w:rPr>
        <w:t>]</w:t>
      </w:r>
    </w:p>
    <w:p w14:paraId="7677B4F9" w14:textId="77777777" w:rsidR="006B6D46" w:rsidRPr="006B6D46" w:rsidRDefault="006B6D46" w:rsidP="00A07209">
      <w:pPr>
        <w:numPr>
          <w:ilvl w:val="0"/>
          <w:numId w:val="178"/>
        </w:numPr>
        <w:tabs>
          <w:tab w:val="left" w:pos="1800"/>
        </w:tabs>
        <w:spacing w:before="60" w:after="0" w:line="240" w:lineRule="auto"/>
        <w:ind w:left="1800"/>
      </w:pPr>
      <w:r>
        <w:t>That the current consent document is still accurate and complete</w:t>
      </w:r>
    </w:p>
    <w:p w14:paraId="6966B568" w14:textId="77777777" w:rsidR="006B6D46" w:rsidRPr="006B6D46" w:rsidRDefault="006B6D46" w:rsidP="00A07209">
      <w:pPr>
        <w:numPr>
          <w:ilvl w:val="0"/>
          <w:numId w:val="178"/>
        </w:numPr>
        <w:tabs>
          <w:tab w:val="left" w:pos="1800"/>
        </w:tabs>
        <w:spacing w:before="60" w:after="60" w:line="240" w:lineRule="auto"/>
        <w:ind w:left="1800"/>
      </w:pPr>
      <w:r>
        <w:rPr>
          <w:lang w:bidi="x-none"/>
        </w:rPr>
        <w:t>Any significant new findings that arise from the review process and that may relate to subjects’ willingness to continue participation will be provided</w:t>
      </w:r>
    </w:p>
    <w:p w14:paraId="244A47DA" w14:textId="77777777" w:rsidR="006B6D46" w:rsidRPr="006B6D46" w:rsidRDefault="006B6D46" w:rsidP="00A07209">
      <w:pPr>
        <w:numPr>
          <w:ilvl w:val="2"/>
          <w:numId w:val="161"/>
        </w:numPr>
        <w:spacing w:before="120" w:after="60" w:line="240" w:lineRule="auto"/>
      </w:pPr>
      <w:r>
        <w:t xml:space="preserve">The expedited reviewer(s) will complete the applicable </w:t>
      </w:r>
      <w:r>
        <w:rPr>
          <w:i/>
        </w:rPr>
        <w:t>IRB Reviewer Sheet</w:t>
      </w:r>
      <w:r>
        <w:t>. Reviewer(s) will document the specific category or categories under which the research qualifies for expedited review and any finding(s) required by regulations, including protocol-specific information justifying the finding(s).</w:t>
      </w:r>
    </w:p>
    <w:p w14:paraId="50B32D58" w14:textId="77777777" w:rsidR="006B6D46" w:rsidRPr="000E5408" w:rsidRDefault="006B6D46" w:rsidP="00A07209">
      <w:pPr>
        <w:numPr>
          <w:ilvl w:val="2"/>
          <w:numId w:val="161"/>
        </w:numPr>
        <w:spacing w:before="120" w:after="60" w:line="240" w:lineRule="auto"/>
      </w:pPr>
      <w:r>
        <w:t>Research that does not meet the criteria for expedited review in the judgment of the IRB reviewer(s) will be forwarded to the next available meeting of the convened IRB</w:t>
      </w:r>
      <w:r>
        <w:rPr>
          <w:color w:val="000000"/>
        </w:rPr>
        <w:t xml:space="preserve">. </w:t>
      </w:r>
    </w:p>
    <w:p w14:paraId="04DF56D3" w14:textId="77777777" w:rsidR="006B6D46" w:rsidRPr="006B6D46" w:rsidRDefault="006B6D46" w:rsidP="00A07209">
      <w:pPr>
        <w:numPr>
          <w:ilvl w:val="1"/>
          <w:numId w:val="161"/>
        </w:numPr>
        <w:spacing w:after="60" w:line="240" w:lineRule="auto"/>
      </w:pPr>
      <w:r>
        <w:t>Minor Changes (Amendments) to Previously Approved Research</w:t>
      </w:r>
    </w:p>
    <w:p w14:paraId="07128591" w14:textId="77777777" w:rsidR="006B6D46" w:rsidRPr="006B6D46" w:rsidRDefault="006B6D46" w:rsidP="00A07209">
      <w:pPr>
        <w:numPr>
          <w:ilvl w:val="2"/>
          <w:numId w:val="161"/>
        </w:numPr>
        <w:spacing w:before="120" w:after="60" w:line="240" w:lineRule="auto"/>
      </w:pPr>
      <w:r>
        <w:t>Assigned reviewer(s) will receive all information that the convened IRB would have received and will initially review the materials submitted to confirm that the amendment meets the criteria (i.e., a minor change) for expedited review.</w:t>
      </w:r>
    </w:p>
    <w:p w14:paraId="6C9AC5E5" w14:textId="77777777" w:rsidR="006B6D46" w:rsidRPr="006B6D46" w:rsidRDefault="006B6D46" w:rsidP="00A07209">
      <w:pPr>
        <w:numPr>
          <w:ilvl w:val="2"/>
          <w:numId w:val="161"/>
        </w:numPr>
        <w:spacing w:before="120" w:after="60" w:line="240" w:lineRule="auto"/>
        <w:rPr>
          <w:lang w:bidi="x-none"/>
        </w:rPr>
      </w:pPr>
      <w:r>
        <w:t>The complete protocol file and relevant minutes from previous IRB review(s), as applicable, will also be available for review upon request.</w:t>
      </w:r>
    </w:p>
    <w:p w14:paraId="08A6C134" w14:textId="77777777" w:rsidR="006B6D46" w:rsidRPr="006B6D46" w:rsidRDefault="006B6D46" w:rsidP="00A07209">
      <w:pPr>
        <w:numPr>
          <w:ilvl w:val="2"/>
          <w:numId w:val="161"/>
        </w:numPr>
        <w:spacing w:before="120" w:after="60" w:line="240" w:lineRule="auto"/>
        <w:rPr>
          <w:lang w:bidi="x-none"/>
        </w:rPr>
      </w:pPr>
      <w:r>
        <w:t xml:space="preserve">The expedited reviewer(s) will perform an in-depth review of all submitted materials, using the criteria for approval described in federal regulations and HRPP </w:t>
      </w:r>
      <w:r>
        <w:lastRenderedPageBreak/>
        <w:t>policy [</w:t>
      </w:r>
      <w:hyperlink r:id="rId173" w:history="1">
        <w:r>
          <w:rPr>
            <w:bCs/>
            <w:color w:val="0000FF"/>
            <w:u w:val="single"/>
          </w:rPr>
          <w:t>Review of Research by the Convened IRB</w:t>
        </w:r>
      </w:hyperlink>
      <w:r>
        <w:rPr>
          <w:bCs/>
        </w:rPr>
        <w:t>]</w:t>
      </w:r>
      <w:r>
        <w:rPr>
          <w:lang w:bidi="x-none"/>
        </w:rPr>
        <w:t xml:space="preserve"> when the modifications affect one or more regulatory criteria</w:t>
      </w:r>
      <w:r>
        <w:rPr>
          <w:bCs/>
        </w:rPr>
        <w:t>.</w:t>
      </w:r>
    </w:p>
    <w:p w14:paraId="004EA7A9" w14:textId="77777777" w:rsidR="006B6D46" w:rsidRPr="006B6D46" w:rsidRDefault="006B6D46" w:rsidP="00A07209">
      <w:pPr>
        <w:numPr>
          <w:ilvl w:val="2"/>
          <w:numId w:val="161"/>
        </w:numPr>
        <w:spacing w:before="120" w:after="60" w:line="240" w:lineRule="auto"/>
      </w:pPr>
      <w:r>
        <w:rPr>
          <w:lang w:bidi="x-none"/>
        </w:rPr>
        <w:t>The reviewer(s) will also determine that any significant new findings that arise from the review process and that might relate to subjects’ willingness to continue participation will be provided.</w:t>
      </w:r>
    </w:p>
    <w:p w14:paraId="6482A19C" w14:textId="77777777" w:rsidR="006B6D46" w:rsidRPr="006B6D46" w:rsidRDefault="006B6D46" w:rsidP="00A07209">
      <w:pPr>
        <w:numPr>
          <w:ilvl w:val="2"/>
          <w:numId w:val="161"/>
        </w:numPr>
        <w:spacing w:before="120" w:after="60" w:line="240" w:lineRule="auto"/>
      </w:pPr>
      <w:r>
        <w:t xml:space="preserve">The expedited reviewer(s) will complete the applicable </w:t>
      </w:r>
      <w:r>
        <w:rPr>
          <w:i/>
        </w:rPr>
        <w:t>IRB Reviewer Sheet</w:t>
      </w:r>
      <w:r>
        <w:t>. Reviewer(s) will document that the amendment represents a minor change(s) qualifying for expedited review and any finding(s) required by regulations, including protocol-specific information justifying the finding(s).</w:t>
      </w:r>
    </w:p>
    <w:p w14:paraId="027EC5C1" w14:textId="77777777" w:rsidR="006B6D46" w:rsidRPr="006B6D46" w:rsidRDefault="006B6D46" w:rsidP="00A07209">
      <w:pPr>
        <w:numPr>
          <w:ilvl w:val="2"/>
          <w:numId w:val="161"/>
        </w:numPr>
        <w:spacing w:before="120" w:after="0" w:line="240" w:lineRule="auto"/>
      </w:pPr>
      <w:r>
        <w:t>Research that in the judgment of the IRB reviewer(s) does not meet the criteria for expedited review (i.e., more than a minor change) will be forwarded to the next available meeting of the convened IRB</w:t>
      </w:r>
      <w:r>
        <w:rPr>
          <w:color w:val="000000"/>
        </w:rPr>
        <w:t xml:space="preserve">. </w:t>
      </w:r>
    </w:p>
    <w:p w14:paraId="54752413" w14:textId="77777777" w:rsidR="006B6D46" w:rsidRPr="006B6D46" w:rsidRDefault="006B6D46" w:rsidP="006B6D46">
      <w:pPr>
        <w:spacing w:after="0" w:line="240" w:lineRule="auto"/>
        <w:rPr>
          <w:b/>
        </w:rPr>
      </w:pPr>
    </w:p>
    <w:p w14:paraId="2CF5D821" w14:textId="77777777" w:rsidR="006B6D46" w:rsidRPr="006B6D46" w:rsidRDefault="006B6D46" w:rsidP="006B6D46">
      <w:pPr>
        <w:spacing w:after="0" w:line="240" w:lineRule="auto"/>
        <w:rPr>
          <w:b/>
        </w:rPr>
      </w:pPr>
      <w:r>
        <w:rPr>
          <w:b/>
        </w:rPr>
        <w:t xml:space="preserve">8. Outcomes of Expedited Review </w:t>
      </w:r>
    </w:p>
    <w:p w14:paraId="6E7131B1" w14:textId="77777777" w:rsidR="006B6D46" w:rsidRPr="006B6D46" w:rsidRDefault="006B6D46" w:rsidP="006B6D46">
      <w:pPr>
        <w:spacing w:after="0" w:line="240" w:lineRule="auto"/>
        <w:ind w:left="360"/>
        <w:rPr>
          <w:b/>
        </w:rPr>
      </w:pPr>
    </w:p>
    <w:p w14:paraId="078C4CFD" w14:textId="77777777" w:rsidR="006B6D46" w:rsidRPr="006B6D46" w:rsidRDefault="006B6D46" w:rsidP="00A07209">
      <w:pPr>
        <w:numPr>
          <w:ilvl w:val="2"/>
          <w:numId w:val="151"/>
        </w:numPr>
        <w:tabs>
          <w:tab w:val="num" w:pos="720"/>
        </w:tabs>
        <w:spacing w:after="60" w:line="240" w:lineRule="auto"/>
        <w:ind w:left="720" w:hanging="360"/>
      </w:pPr>
      <w:r>
        <w:t>When reviewing proposed research activities using expedited procedures, IRB reviewers may take one of the following actions:</w:t>
      </w:r>
    </w:p>
    <w:p w14:paraId="2C7238CA" w14:textId="77777777" w:rsidR="006B6D46" w:rsidRPr="006B6D46" w:rsidRDefault="006B6D46" w:rsidP="00A07209">
      <w:pPr>
        <w:numPr>
          <w:ilvl w:val="0"/>
          <w:numId w:val="167"/>
        </w:numPr>
        <w:tabs>
          <w:tab w:val="num" w:pos="1080"/>
        </w:tabs>
        <w:spacing w:after="60" w:line="240" w:lineRule="auto"/>
        <w:ind w:left="1080"/>
      </w:pPr>
      <w:r>
        <w:t>Approved</w:t>
      </w:r>
    </w:p>
    <w:p w14:paraId="34F95DAC" w14:textId="77777777" w:rsidR="006B6D46" w:rsidRPr="006B6D46" w:rsidRDefault="006B6D46" w:rsidP="00A07209">
      <w:pPr>
        <w:numPr>
          <w:ilvl w:val="0"/>
          <w:numId w:val="167"/>
        </w:numPr>
        <w:tabs>
          <w:tab w:val="num" w:pos="1080"/>
        </w:tabs>
        <w:spacing w:after="120" w:line="240" w:lineRule="auto"/>
        <w:ind w:left="1080"/>
      </w:pPr>
      <w:r>
        <w:t>Modifications required (to secure approval)</w:t>
      </w:r>
    </w:p>
    <w:p w14:paraId="5D8B637A" w14:textId="77777777" w:rsidR="006B6D46" w:rsidRPr="006B6D46" w:rsidRDefault="006B6D46" w:rsidP="006B6D46">
      <w:pPr>
        <w:spacing w:after="0" w:line="240" w:lineRule="auto"/>
        <w:ind w:left="720"/>
        <w:rPr>
          <w:i/>
          <w:szCs w:val="24"/>
        </w:rPr>
      </w:pPr>
      <w:r>
        <w:t xml:space="preserve">An expedited reviewer can also request additional information and/or clarification from the investigator before taking one of the above actions. </w:t>
      </w:r>
      <w:r>
        <w:rPr>
          <w:i/>
        </w:rPr>
        <w:br/>
      </w:r>
    </w:p>
    <w:p w14:paraId="477430E9" w14:textId="77777777" w:rsidR="006B6D46" w:rsidRPr="006B6D46" w:rsidRDefault="006B6D46" w:rsidP="006B6D46">
      <w:pPr>
        <w:spacing w:after="0" w:line="240" w:lineRule="auto"/>
        <w:ind w:left="720"/>
        <w:rPr>
          <w:i/>
        </w:rPr>
      </w:pPr>
      <w:r>
        <w:rPr>
          <w:i/>
        </w:rPr>
        <w:t>Note: Expedited IRB actions regarding noncompliance and event reporting are described in HRPP policies [</w:t>
      </w:r>
      <w:hyperlink r:id="rId174" w:history="1">
        <w:r>
          <w:rPr>
            <w:i/>
            <w:color w:val="0000FF"/>
            <w:u w:val="single"/>
          </w:rPr>
          <w:t>Noncompliance</w:t>
        </w:r>
      </w:hyperlink>
      <w:r>
        <w:rPr>
          <w:i/>
        </w:rPr>
        <w:t>] and [</w:t>
      </w:r>
      <w:hyperlink r:id="rId175" w:history="1">
        <w:r>
          <w:rPr>
            <w:i/>
            <w:color w:val="0000FF"/>
            <w:u w:val="single"/>
          </w:rPr>
          <w:t>Event Reporting – Unanticipated Problems Involving Risks to Subjects or Others, Adverse Events, and Other Problems</w:t>
        </w:r>
      </w:hyperlink>
      <w:r>
        <w:rPr>
          <w:i/>
        </w:rPr>
        <w:t>], respectively.</w:t>
      </w:r>
    </w:p>
    <w:p w14:paraId="4F854292" w14:textId="77777777" w:rsidR="006B6D46" w:rsidRPr="006B6D46" w:rsidRDefault="006B6D46" w:rsidP="006B6D46">
      <w:pPr>
        <w:spacing w:after="0" w:line="240" w:lineRule="auto"/>
        <w:ind w:left="720"/>
      </w:pPr>
    </w:p>
    <w:p w14:paraId="4657B268" w14:textId="77777777" w:rsidR="006B6D46" w:rsidRPr="006B6D46" w:rsidRDefault="006B6D46" w:rsidP="00A07209">
      <w:pPr>
        <w:numPr>
          <w:ilvl w:val="0"/>
          <w:numId w:val="170"/>
        </w:numPr>
        <w:spacing w:after="0" w:line="240" w:lineRule="auto"/>
      </w:pPr>
      <w:r>
        <w:t>When an expedited reviewer cannot take one of the actions above, the research will be referred for review by the convened IRB. Reviewers may not disapprove research by expedited review. Research can be disapproved only following review by the convened IRB as described in federal regulations and HRPP policy [</w:t>
      </w:r>
      <w:hyperlink r:id="rId176" w:history="1">
        <w:r>
          <w:rPr>
            <w:bCs/>
            <w:color w:val="0000FF"/>
            <w:u w:val="single"/>
          </w:rPr>
          <w:t>Review of Research by the Convened IRB</w:t>
        </w:r>
      </w:hyperlink>
      <w:r>
        <w:rPr>
          <w:bCs/>
        </w:rPr>
        <w:t>].</w:t>
      </w:r>
    </w:p>
    <w:p w14:paraId="2D6411AE" w14:textId="77777777" w:rsidR="006B6D46" w:rsidRPr="006B6D46" w:rsidRDefault="006B6D46" w:rsidP="006B6D46">
      <w:pPr>
        <w:spacing w:after="0" w:line="240" w:lineRule="auto"/>
        <w:rPr>
          <w:highlight w:val="yellow"/>
        </w:rPr>
      </w:pPr>
    </w:p>
    <w:p w14:paraId="73070824" w14:textId="77777777" w:rsidR="006B6D46" w:rsidRPr="006B6D46" w:rsidRDefault="006B6D46" w:rsidP="00A07209">
      <w:pPr>
        <w:numPr>
          <w:ilvl w:val="2"/>
          <w:numId w:val="171"/>
        </w:numPr>
        <w:tabs>
          <w:tab w:val="left" w:pos="720"/>
        </w:tabs>
        <w:spacing w:after="60" w:line="240" w:lineRule="auto"/>
        <w:ind w:left="720" w:hanging="360"/>
        <w:rPr>
          <w:b/>
        </w:rPr>
      </w:pPr>
      <w:r>
        <w:t>Research will be forwarded to the convened IRB for review when any of the following occur:</w:t>
      </w:r>
    </w:p>
    <w:p w14:paraId="6FD0354D" w14:textId="77777777" w:rsidR="006B6D46" w:rsidRPr="006B6D46" w:rsidRDefault="006B6D46" w:rsidP="00A07209">
      <w:pPr>
        <w:numPr>
          <w:ilvl w:val="0"/>
          <w:numId w:val="165"/>
        </w:numPr>
        <w:tabs>
          <w:tab w:val="left" w:pos="720"/>
          <w:tab w:val="num" w:pos="1080"/>
        </w:tabs>
        <w:spacing w:after="60" w:line="240" w:lineRule="auto"/>
        <w:ind w:left="1080"/>
        <w:rPr>
          <w:b/>
        </w:rPr>
      </w:pPr>
      <w:r>
        <w:t>Expedited reviewer(s) cannot determine that the research meets the criteria for expedited review.</w:t>
      </w:r>
    </w:p>
    <w:p w14:paraId="2199BE4A" w14:textId="77777777" w:rsidR="006B6D46" w:rsidRPr="006B6D46" w:rsidRDefault="006B6D46" w:rsidP="00A07209">
      <w:pPr>
        <w:numPr>
          <w:ilvl w:val="0"/>
          <w:numId w:val="165"/>
        </w:numPr>
        <w:tabs>
          <w:tab w:val="left" w:pos="720"/>
          <w:tab w:val="num" w:pos="1080"/>
        </w:tabs>
        <w:spacing w:after="60" w:line="240" w:lineRule="auto"/>
        <w:ind w:left="1080"/>
        <w:rPr>
          <w:b/>
        </w:rPr>
      </w:pPr>
      <w:r>
        <w:t>Expedited reviewer(s) cannot approve the research or require modifications in the research to secure approval.</w:t>
      </w:r>
    </w:p>
    <w:p w14:paraId="2225E557" w14:textId="77777777" w:rsidR="006B6D46" w:rsidRPr="006B6D46" w:rsidRDefault="006B6D46" w:rsidP="00A07209">
      <w:pPr>
        <w:numPr>
          <w:ilvl w:val="0"/>
          <w:numId w:val="165"/>
        </w:numPr>
        <w:tabs>
          <w:tab w:val="left" w:pos="720"/>
          <w:tab w:val="num" w:pos="1080"/>
        </w:tabs>
        <w:spacing w:after="60" w:line="240" w:lineRule="auto"/>
        <w:ind w:left="1080"/>
        <w:rPr>
          <w:b/>
        </w:rPr>
      </w:pPr>
      <w:r>
        <w:t>Expedited reviewer(s) cannot approve the research for one year, based on the criteria described in HRPP policy [</w:t>
      </w:r>
      <w:hyperlink r:id="rId177" w:history="1">
        <w:r>
          <w:rPr>
            <w:color w:val="0000FF"/>
            <w:u w:val="single"/>
          </w:rPr>
          <w:t>Review of Research by the Convened IRB</w:t>
        </w:r>
      </w:hyperlink>
      <w:r>
        <w:t>].</w:t>
      </w:r>
    </w:p>
    <w:p w14:paraId="22DC06E2" w14:textId="77777777" w:rsidR="006B6D46" w:rsidRPr="006B6D46" w:rsidRDefault="006B6D46" w:rsidP="00A07209">
      <w:pPr>
        <w:numPr>
          <w:ilvl w:val="0"/>
          <w:numId w:val="165"/>
        </w:numPr>
        <w:tabs>
          <w:tab w:val="left" w:pos="720"/>
          <w:tab w:val="num" w:pos="1080"/>
        </w:tabs>
        <w:spacing w:after="0" w:line="240" w:lineRule="auto"/>
        <w:ind w:left="1080"/>
        <w:rPr>
          <w:b/>
        </w:rPr>
      </w:pPr>
      <w:r>
        <w:t>Expedited reviewers (if more than one) cannot reach a consensus decision during the review process.</w:t>
      </w:r>
    </w:p>
    <w:p w14:paraId="6E00E27E" w14:textId="77777777" w:rsidR="006B6D46" w:rsidRPr="006B6D46" w:rsidRDefault="006B6D46" w:rsidP="006B6D46">
      <w:pPr>
        <w:tabs>
          <w:tab w:val="left" w:pos="720"/>
        </w:tabs>
        <w:spacing w:after="0" w:line="240" w:lineRule="auto"/>
        <w:rPr>
          <w:b/>
        </w:rPr>
      </w:pPr>
    </w:p>
    <w:p w14:paraId="5173FD20" w14:textId="118B666A" w:rsidR="006B6D46" w:rsidRPr="00370D45" w:rsidRDefault="006B6D46" w:rsidP="00A07209">
      <w:pPr>
        <w:numPr>
          <w:ilvl w:val="2"/>
          <w:numId w:val="171"/>
        </w:numPr>
        <w:tabs>
          <w:tab w:val="num" w:pos="720"/>
        </w:tabs>
        <w:spacing w:after="0" w:line="240" w:lineRule="auto"/>
        <w:ind w:left="720" w:hanging="360"/>
      </w:pPr>
      <w:r>
        <w:t>When an expedited reviewer refers research for convened IRB review, the submission materials, reviewer’s comments, and any additional information obtained from the investigator are forwarded for consideration at the next available IRB meeting.</w:t>
      </w:r>
    </w:p>
    <w:p w14:paraId="69C297FA" w14:textId="77777777" w:rsidR="006B6D46" w:rsidRPr="006B6D46" w:rsidRDefault="006B6D46" w:rsidP="006B6D46">
      <w:pPr>
        <w:spacing w:after="0" w:line="240" w:lineRule="auto"/>
      </w:pPr>
      <w:r>
        <w:rPr>
          <w:b/>
        </w:rPr>
        <w:lastRenderedPageBreak/>
        <w:t>9. Review of Investigator Responses</w:t>
      </w:r>
    </w:p>
    <w:p w14:paraId="694D4C7A" w14:textId="77777777" w:rsidR="006B6D46" w:rsidRPr="006B6D46" w:rsidRDefault="006B6D46" w:rsidP="006B6D46">
      <w:pPr>
        <w:spacing w:after="0" w:line="240" w:lineRule="auto"/>
      </w:pPr>
    </w:p>
    <w:p w14:paraId="557BCB6C"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rPr>
          <w:lang w:bidi="x-none"/>
        </w:rPr>
        <w:t xml:space="preserve">When expedited reviewer(s) require modifications to research, investigators’ responses will be reviewed </w:t>
      </w:r>
      <w:r>
        <w:rPr>
          <w:bCs/>
        </w:rPr>
        <w:t>as described in HRPP policy [</w:t>
      </w:r>
      <w:hyperlink r:id="rId178" w:history="1">
        <w:r>
          <w:rPr>
            <w:bCs/>
            <w:color w:val="0000FF"/>
            <w:u w:val="single"/>
          </w:rPr>
          <w:t>IRB Actions and Communications</w:t>
        </w:r>
      </w:hyperlink>
      <w:r>
        <w:rPr>
          <w:bCs/>
        </w:rPr>
        <w:t xml:space="preserve">] </w:t>
      </w:r>
      <w:r>
        <w:rPr>
          <w:lang w:bidi="x-none"/>
        </w:rPr>
        <w:t xml:space="preserve">to verify that the conditions for approval have been satisfied. </w:t>
      </w:r>
      <w:r>
        <w:t>Depending on the nature of the modifications, this subsequent review/verification may be performed by the IRB chair, one or more IRB members or a consultant with specific expertise, and/or qualified ORRP staff (who may or may not be IRB members).</w:t>
      </w:r>
    </w:p>
    <w:p w14:paraId="0937C5AE" w14:textId="77777777" w:rsidR="006B6D46" w:rsidRPr="006B6D46" w:rsidRDefault="006B6D46" w:rsidP="006B6D46">
      <w:pPr>
        <w:widowControl w:val="0"/>
        <w:autoSpaceDE w:val="0"/>
        <w:autoSpaceDN w:val="0"/>
        <w:adjustRightInd w:val="0"/>
        <w:spacing w:after="0" w:line="240" w:lineRule="auto"/>
        <w:ind w:left="360"/>
      </w:pPr>
    </w:p>
    <w:p w14:paraId="3BA756B7"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Questions about whether the conditions for approval have been satisfied will be forwarded to the IRB chairs or vice chairs. When the conditions for approval cannot be met, the submission will be referred to the convened IRBs for review (i.e., research cannot be disapproved except by convened review).</w:t>
      </w:r>
    </w:p>
    <w:p w14:paraId="1DB66E4B" w14:textId="77777777" w:rsidR="006B6D46" w:rsidRPr="006B6D46" w:rsidRDefault="006B6D46" w:rsidP="006B6D46">
      <w:pPr>
        <w:spacing w:after="0" w:line="240" w:lineRule="auto"/>
        <w:ind w:left="720"/>
      </w:pPr>
    </w:p>
    <w:p w14:paraId="7AB1F57B"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For expedited initial review and review of amendments, the approval date of the research is the date that the IRB chair, IRB member(s), consultant, and/or ORRP staff member verifies that the conditions for approval have been met. However, for continuing review, the approval date is the date the modifications were required by the expedited reviewer(s), unless the study expired after modifications were requested; in such cases, the approval date is the date that the conditions for approval have been met.</w:t>
      </w:r>
    </w:p>
    <w:p w14:paraId="18235F68" w14:textId="77777777" w:rsidR="006B6D46" w:rsidRPr="006B6D46" w:rsidRDefault="006B6D46" w:rsidP="006B6D46">
      <w:pPr>
        <w:widowControl w:val="0"/>
        <w:autoSpaceDE w:val="0"/>
        <w:autoSpaceDN w:val="0"/>
        <w:adjustRightInd w:val="0"/>
        <w:spacing w:after="0" w:line="240" w:lineRule="auto"/>
        <w:ind w:left="360"/>
      </w:pPr>
    </w:p>
    <w:p w14:paraId="200FC5AA" w14:textId="77777777" w:rsidR="006B6D46" w:rsidRPr="006B6D46" w:rsidRDefault="006B6D46" w:rsidP="00A07209">
      <w:pPr>
        <w:widowControl w:val="0"/>
        <w:numPr>
          <w:ilvl w:val="0"/>
          <w:numId w:val="163"/>
        </w:numPr>
        <w:tabs>
          <w:tab w:val="num" w:pos="720"/>
        </w:tabs>
        <w:autoSpaceDE w:val="0"/>
        <w:autoSpaceDN w:val="0"/>
        <w:adjustRightInd w:val="0"/>
        <w:spacing w:after="0" w:line="240" w:lineRule="auto"/>
      </w:pPr>
      <w:r>
        <w:t xml:space="preserve">For specific examples of investigators’ responses that can be administratively reviewed by ORRP staff, see </w:t>
      </w:r>
      <w:r>
        <w:rPr>
          <w:bCs/>
        </w:rPr>
        <w:t>HRPP policy [</w:t>
      </w:r>
      <w:hyperlink r:id="rId179" w:history="1">
        <w:r>
          <w:rPr>
            <w:bCs/>
            <w:color w:val="0000FF"/>
            <w:u w:val="single"/>
          </w:rPr>
          <w:t>IRB Actions and Communications</w:t>
        </w:r>
      </w:hyperlink>
      <w:r>
        <w:rPr>
          <w:bCs/>
        </w:rPr>
        <w:t>,</w:t>
      </w:r>
      <w:r>
        <w:t xml:space="preserve"> Attachment 1</w:t>
      </w:r>
      <w:r>
        <w:rPr>
          <w:bCs/>
        </w:rPr>
        <w:t>]</w:t>
      </w:r>
      <w:r>
        <w:t>.</w:t>
      </w:r>
    </w:p>
    <w:p w14:paraId="181EDD08" w14:textId="77777777" w:rsidR="006B6D46" w:rsidRPr="006B6D46" w:rsidRDefault="006B6D46" w:rsidP="006B6D46">
      <w:pPr>
        <w:widowControl w:val="0"/>
        <w:autoSpaceDE w:val="0"/>
        <w:autoSpaceDN w:val="0"/>
        <w:adjustRightInd w:val="0"/>
        <w:spacing w:after="0" w:line="240" w:lineRule="auto"/>
      </w:pPr>
    </w:p>
    <w:p w14:paraId="73124050" w14:textId="77777777" w:rsidR="006B6D46" w:rsidRPr="006B6D46" w:rsidRDefault="006B6D46" w:rsidP="006B6D46">
      <w:pPr>
        <w:spacing w:after="0" w:line="240" w:lineRule="auto"/>
        <w:rPr>
          <w:b/>
        </w:rPr>
      </w:pPr>
      <w:r>
        <w:rPr>
          <w:b/>
        </w:rPr>
        <w:t>10. Administrative Review Procedures and Outcomes</w:t>
      </w:r>
      <w:r>
        <w:rPr>
          <w:b/>
        </w:rPr>
        <w:br/>
      </w:r>
    </w:p>
    <w:p w14:paraId="1E3A370C" w14:textId="77777777" w:rsidR="006B6D46" w:rsidRPr="006B6D46" w:rsidRDefault="006B6D46" w:rsidP="00A07209">
      <w:pPr>
        <w:numPr>
          <w:ilvl w:val="1"/>
          <w:numId w:val="163"/>
        </w:numPr>
        <w:spacing w:after="0" w:line="240" w:lineRule="auto"/>
        <w:ind w:left="1152"/>
        <w:rPr>
          <w:b/>
        </w:rPr>
      </w:pPr>
      <w:r>
        <w:t>Administrative review procedures of exempt submissions, including those requiring limited IRB review and/or privacy board review, are described in HRPP policy [</w:t>
      </w:r>
      <w:hyperlink r:id="rId180" w:history="1">
        <w:r>
          <w:rPr>
            <w:color w:val="0000FF"/>
            <w:u w:val="single"/>
          </w:rPr>
          <w:t>Exempt Research</w:t>
        </w:r>
      </w:hyperlink>
      <w:r>
        <w:t>].</w:t>
      </w:r>
      <w:r>
        <w:br/>
      </w:r>
    </w:p>
    <w:p w14:paraId="3A5E961C" w14:textId="77777777" w:rsidR="000E5408" w:rsidRDefault="006B6D46" w:rsidP="00A07209">
      <w:pPr>
        <w:numPr>
          <w:ilvl w:val="1"/>
          <w:numId w:val="163"/>
        </w:numPr>
        <w:spacing w:after="0" w:line="240" w:lineRule="auto"/>
        <w:ind w:left="1152"/>
        <w:rPr>
          <w:b/>
        </w:rPr>
      </w:pPr>
      <w:r>
        <w:t>Annual Status Reports</w:t>
      </w:r>
    </w:p>
    <w:p w14:paraId="59B18657" w14:textId="77777777" w:rsidR="000E5408" w:rsidRDefault="006B6D46" w:rsidP="00A07209">
      <w:pPr>
        <w:numPr>
          <w:ilvl w:val="2"/>
          <w:numId w:val="437"/>
        </w:numPr>
        <w:spacing w:after="0" w:line="240" w:lineRule="auto"/>
        <w:rPr>
          <w:b/>
        </w:rPr>
      </w:pPr>
      <w:r>
        <w:t>Upon receipt of an annual status report, ORRP staff verify whether the application is complete, following the procedures described in HRPP policy [</w:t>
      </w:r>
      <w:hyperlink r:id="rId181" w:history="1">
        <w:r>
          <w:rPr>
            <w:color w:val="0000FF"/>
            <w:u w:val="single"/>
          </w:rPr>
          <w:t>Submission and Pre-review</w:t>
        </w:r>
      </w:hyperlink>
      <w:r>
        <w:t xml:space="preserve">]. </w:t>
      </w:r>
    </w:p>
    <w:p w14:paraId="0A7B8D1A" w14:textId="77777777" w:rsidR="000E5408" w:rsidRDefault="006B6D46" w:rsidP="00A07209">
      <w:pPr>
        <w:numPr>
          <w:ilvl w:val="2"/>
          <w:numId w:val="437"/>
        </w:numPr>
        <w:spacing w:after="0" w:line="240" w:lineRule="auto"/>
        <w:rPr>
          <w:b/>
        </w:rPr>
      </w:pPr>
      <w:r>
        <w:t xml:space="preserve">ORRP staff review the submitted materials and complete the </w:t>
      </w:r>
      <w:r>
        <w:rPr>
          <w:i/>
        </w:rPr>
        <w:t xml:space="preserve">Annual Status Report Screening Checklist </w:t>
      </w:r>
      <w:r>
        <w:t>to confirm that the research qualifies for an annual status report according to the criteria outlined in section 4 of this policy.</w:t>
      </w:r>
    </w:p>
    <w:p w14:paraId="40E0DB96" w14:textId="77777777" w:rsidR="000E5408" w:rsidRDefault="006B6D46" w:rsidP="00A07209">
      <w:pPr>
        <w:numPr>
          <w:ilvl w:val="2"/>
          <w:numId w:val="437"/>
        </w:numPr>
        <w:spacing w:after="0" w:line="240" w:lineRule="auto"/>
        <w:rPr>
          <w:b/>
        </w:rPr>
      </w:pPr>
      <w:r>
        <w:t xml:space="preserve">ORRP staff will forward the study to the IRB for review if the annual status report shows evidence of noncompliance. </w:t>
      </w:r>
    </w:p>
    <w:p w14:paraId="0D54EBBA" w14:textId="77777777" w:rsidR="000E5408" w:rsidRDefault="006B6D46" w:rsidP="00A07209">
      <w:pPr>
        <w:numPr>
          <w:ilvl w:val="2"/>
          <w:numId w:val="437"/>
        </w:numPr>
        <w:spacing w:after="0" w:line="240" w:lineRule="auto"/>
        <w:rPr>
          <w:b/>
        </w:rPr>
      </w:pPr>
      <w:r>
        <w:t xml:space="preserve">Upon verifying that an annual status report meets the administrative review criteria, ORRP staff enter an “Annual Status Report - Confirmed” action in Buck-IRB. </w:t>
      </w:r>
    </w:p>
    <w:p w14:paraId="0DE3F712" w14:textId="77777777" w:rsidR="000E5408" w:rsidRDefault="006B6D46" w:rsidP="00A07209">
      <w:pPr>
        <w:numPr>
          <w:ilvl w:val="2"/>
          <w:numId w:val="437"/>
        </w:numPr>
        <w:spacing w:after="0" w:line="240" w:lineRule="auto"/>
        <w:rPr>
          <w:b/>
        </w:rPr>
      </w:pPr>
      <w:r>
        <w:t>The approval date is the annual status report confirmation date.</w:t>
      </w:r>
    </w:p>
    <w:p w14:paraId="7D8A1F5D" w14:textId="77777777" w:rsidR="006B6D46" w:rsidRPr="000E5408" w:rsidRDefault="006B6D46" w:rsidP="00A07209">
      <w:pPr>
        <w:numPr>
          <w:ilvl w:val="2"/>
          <w:numId w:val="437"/>
        </w:numPr>
        <w:spacing w:after="0" w:line="240" w:lineRule="auto"/>
        <w:rPr>
          <w:b/>
        </w:rPr>
      </w:pPr>
      <w:r>
        <w:t>When ORRP staff determine that research does not meet the criteria for an annual status report, the investigators will be instructed to withdraw the annual status report and to submit a continuing review application</w:t>
      </w:r>
      <w:r>
        <w:rPr>
          <w:color w:val="000000"/>
        </w:rPr>
        <w:t xml:space="preserve">. The continuing review will be routed for either expedited or convened review based on the criteria outlined in </w:t>
      </w:r>
      <w:hyperlink w:anchor="section3" w:history="1">
        <w:r>
          <w:rPr>
            <w:color w:val="0000FF"/>
            <w:u w:val="single"/>
          </w:rPr>
          <w:t>section 3</w:t>
        </w:r>
      </w:hyperlink>
      <w:r>
        <w:rPr>
          <w:color w:val="000000"/>
        </w:rPr>
        <w:t xml:space="preserve"> of this policy.</w:t>
      </w:r>
      <w:r>
        <w:br/>
      </w:r>
    </w:p>
    <w:p w14:paraId="36E22AF9" w14:textId="77777777" w:rsidR="000E5408" w:rsidRDefault="006B6D46" w:rsidP="00A07209">
      <w:pPr>
        <w:numPr>
          <w:ilvl w:val="1"/>
          <w:numId w:val="163"/>
        </w:numPr>
        <w:spacing w:after="0" w:line="240" w:lineRule="auto"/>
        <w:ind w:left="1152"/>
        <w:rPr>
          <w:b/>
        </w:rPr>
      </w:pPr>
      <w:r>
        <w:t>Final Study Reports</w:t>
      </w:r>
    </w:p>
    <w:p w14:paraId="1D97536C" w14:textId="77777777" w:rsidR="000E5408" w:rsidRDefault="006B6D46" w:rsidP="00A07209">
      <w:pPr>
        <w:numPr>
          <w:ilvl w:val="2"/>
          <w:numId w:val="438"/>
        </w:numPr>
        <w:spacing w:after="0" w:line="240" w:lineRule="auto"/>
        <w:rPr>
          <w:b/>
        </w:rPr>
      </w:pPr>
      <w:r>
        <w:t>Upon receipt of a final study report, ORRP staff verify whether the application is complete, following the procedures described in HRPP policy [</w:t>
      </w:r>
      <w:hyperlink r:id="rId182" w:history="1">
        <w:r>
          <w:rPr>
            <w:color w:val="0000FF"/>
            <w:u w:val="single"/>
          </w:rPr>
          <w:t>Submission and Pre-review</w:t>
        </w:r>
      </w:hyperlink>
      <w:r>
        <w:t xml:space="preserve">]. </w:t>
      </w:r>
    </w:p>
    <w:p w14:paraId="51681C37" w14:textId="77777777" w:rsidR="000E5408" w:rsidRDefault="006B6D46" w:rsidP="00A07209">
      <w:pPr>
        <w:numPr>
          <w:ilvl w:val="2"/>
          <w:numId w:val="438"/>
        </w:numPr>
        <w:spacing w:after="0" w:line="240" w:lineRule="auto"/>
        <w:rPr>
          <w:b/>
        </w:rPr>
      </w:pPr>
      <w:r>
        <w:t xml:space="preserve">ORRP staff complete the </w:t>
      </w:r>
      <w:r>
        <w:rPr>
          <w:i/>
        </w:rPr>
        <w:t>Final Study Report Screening Checklist</w:t>
      </w:r>
      <w:r>
        <w:t>.</w:t>
      </w:r>
    </w:p>
    <w:p w14:paraId="220F5CD9" w14:textId="77777777" w:rsidR="000E5408" w:rsidRDefault="006B6D46" w:rsidP="00A07209">
      <w:pPr>
        <w:numPr>
          <w:ilvl w:val="2"/>
          <w:numId w:val="438"/>
        </w:numPr>
        <w:spacing w:after="0" w:line="240" w:lineRule="auto"/>
        <w:rPr>
          <w:b/>
        </w:rPr>
      </w:pPr>
      <w:r>
        <w:t xml:space="preserve">ORRP staff will forward the study to the IRB for review if the final study report shows evidence of potential noncompliance. </w:t>
      </w:r>
    </w:p>
    <w:p w14:paraId="4269B5C4" w14:textId="77777777" w:rsidR="006B6D46" w:rsidRPr="000E5408" w:rsidRDefault="006B6D46" w:rsidP="00A07209">
      <w:pPr>
        <w:numPr>
          <w:ilvl w:val="2"/>
          <w:numId w:val="438"/>
        </w:numPr>
        <w:spacing w:after="0" w:line="240" w:lineRule="auto"/>
        <w:rPr>
          <w:b/>
        </w:rPr>
      </w:pPr>
      <w:r>
        <w:t>ORRP staff enter a “Final Study Report - Confirmed” action in Buck-IRB to close and archive the study.</w:t>
      </w:r>
      <w:r>
        <w:rPr>
          <w:b/>
        </w:rPr>
        <w:br/>
      </w:r>
    </w:p>
    <w:p w14:paraId="6C6EFE3C" w14:textId="77777777" w:rsidR="006B6D46" w:rsidRPr="006B6D46" w:rsidRDefault="006B6D46" w:rsidP="000E5408">
      <w:pPr>
        <w:spacing w:after="0" w:line="240" w:lineRule="auto"/>
        <w:rPr>
          <w:b/>
        </w:rPr>
      </w:pPr>
      <w:r>
        <w:rPr>
          <w:b/>
        </w:rPr>
        <w:t>11. Communicating Expedited Review and Administrative Review Actions</w:t>
      </w:r>
    </w:p>
    <w:p w14:paraId="791C426C" w14:textId="77777777" w:rsidR="006B6D46" w:rsidRPr="006B6D46" w:rsidRDefault="006B6D46" w:rsidP="006B6D46">
      <w:pPr>
        <w:spacing w:after="0" w:line="240" w:lineRule="auto"/>
      </w:pPr>
    </w:p>
    <w:p w14:paraId="4C2D288A" w14:textId="77777777" w:rsidR="006B6D46" w:rsidRPr="006B6D46" w:rsidRDefault="006B6D46" w:rsidP="00A07209">
      <w:pPr>
        <w:numPr>
          <w:ilvl w:val="1"/>
          <w:numId w:val="162"/>
        </w:numPr>
        <w:spacing w:after="60" w:line="240" w:lineRule="auto"/>
        <w:ind w:left="1152"/>
      </w:pPr>
      <w:r>
        <w:t>Investigator Correspondence</w:t>
      </w:r>
    </w:p>
    <w:p w14:paraId="7B7900FC" w14:textId="77777777" w:rsidR="006B6D46" w:rsidRPr="006B6D46" w:rsidRDefault="006B6D46" w:rsidP="00A07209">
      <w:pPr>
        <w:numPr>
          <w:ilvl w:val="5"/>
          <w:numId w:val="439"/>
        </w:numPr>
        <w:spacing w:before="120" w:after="0" w:line="240" w:lineRule="auto"/>
      </w:pPr>
      <w:r>
        <w:t>ORRP staff will notify the principal investigator electronically of the action taken by the administrative reviewer(s) or expedited reviewer(s), including any modifications required as a condition for IRB approval. Notifications of IRB approval by expedited procedures will include the specific category or categories under which the research qualifies for expedited review (as applicable).</w:t>
      </w:r>
    </w:p>
    <w:p w14:paraId="6C27AEFE" w14:textId="77777777" w:rsidR="006B6D46" w:rsidRPr="006B6D46" w:rsidRDefault="006B6D46" w:rsidP="00A07209">
      <w:pPr>
        <w:numPr>
          <w:ilvl w:val="5"/>
          <w:numId w:val="439"/>
        </w:numPr>
        <w:spacing w:before="120" w:after="0" w:line="240" w:lineRule="auto"/>
      </w:pPr>
      <w:r>
        <w:t>When an expedited or administrative reviewer refers a submission for convened IRB review, the principal investigator will be notified of the referral and the scheduled convened meeting date.</w:t>
      </w:r>
    </w:p>
    <w:p w14:paraId="49713265" w14:textId="77777777" w:rsidR="006B6D46" w:rsidRPr="006B6D46" w:rsidRDefault="006B6D46" w:rsidP="006B6D46">
      <w:pPr>
        <w:spacing w:after="0" w:line="240" w:lineRule="auto"/>
      </w:pPr>
    </w:p>
    <w:p w14:paraId="16A72ABB" w14:textId="77777777" w:rsidR="006B6D46" w:rsidRPr="006B6D46" w:rsidRDefault="006B6D46" w:rsidP="00A07209">
      <w:pPr>
        <w:numPr>
          <w:ilvl w:val="1"/>
          <w:numId w:val="162"/>
        </w:numPr>
        <w:spacing w:after="60" w:line="240" w:lineRule="auto"/>
        <w:ind w:left="1152"/>
      </w:pPr>
      <w:r>
        <w:t>IRB members and institutional officials are notified of all research that is approved by expedited review procedures. Actions and findings are documented in a summary that is posted and can be printed from the HRPP secure websites.</w:t>
      </w:r>
      <w:r>
        <w:br/>
      </w:r>
    </w:p>
    <w:p w14:paraId="261EF9D6" w14:textId="77777777" w:rsidR="006B6D46" w:rsidRPr="006B6D46" w:rsidRDefault="006B6D46" w:rsidP="006B6D46">
      <w:pPr>
        <w:spacing w:after="0" w:line="240" w:lineRule="auto"/>
      </w:pPr>
      <w:r>
        <w:rPr>
          <w:b/>
        </w:rPr>
        <w:t>12. Record Retention</w:t>
      </w:r>
    </w:p>
    <w:p w14:paraId="0D635F89" w14:textId="77777777" w:rsidR="006B6D46" w:rsidRPr="006B6D46" w:rsidRDefault="006B6D46" w:rsidP="006B6D46">
      <w:pPr>
        <w:spacing w:after="0" w:line="240" w:lineRule="auto"/>
        <w:ind w:left="-180"/>
      </w:pPr>
    </w:p>
    <w:p w14:paraId="3854C79D" w14:textId="77777777" w:rsidR="006B6D46" w:rsidRPr="006B6D46" w:rsidRDefault="006B6D46" w:rsidP="006B6D46">
      <w:pPr>
        <w:spacing w:after="60" w:line="240" w:lineRule="auto"/>
        <w:ind w:left="360"/>
      </w:pPr>
      <w:r>
        <w:t>Records of research undergoing expedited and/or administrative review, including materials submitted and related correspondence, are retained by the Office of Responsible Research Practices in accordance with HRPP policy [</w:t>
      </w:r>
      <w:hyperlink r:id="rId183" w:history="1">
        <w:r>
          <w:rPr>
            <w:color w:val="0000FF"/>
            <w:u w:val="single"/>
          </w:rPr>
          <w:t>IRB Recordkeeping</w:t>
        </w:r>
      </w:hyperlink>
      <w:r>
        <w:t>]. Records will include the expedited category or categories under which determinations were made, as applicable, and any finding(s) required by regulations, including protocol-specific information justifying the finding(s).</w:t>
      </w:r>
    </w:p>
    <w:p w14:paraId="277A9865" w14:textId="77777777" w:rsidR="006B6D46" w:rsidRPr="006B6D46" w:rsidRDefault="006B6D46" w:rsidP="006B6D46">
      <w:pPr>
        <w:spacing w:after="0" w:line="240" w:lineRule="auto"/>
      </w:pPr>
    </w:p>
    <w:p w14:paraId="253523AC" w14:textId="77777777" w:rsidR="006B6D46" w:rsidRPr="006B6D46" w:rsidRDefault="006B6D46" w:rsidP="006B6D46">
      <w:pPr>
        <w:spacing w:after="0" w:line="240" w:lineRule="auto"/>
      </w:pPr>
      <w:r>
        <w:rPr>
          <w:b/>
        </w:rPr>
        <w:t>13. Applicable Regulations/Guidance</w:t>
      </w:r>
    </w:p>
    <w:p w14:paraId="02A6542E" w14:textId="77777777" w:rsidR="006B6D46" w:rsidRPr="006B6D46" w:rsidRDefault="006B6D46" w:rsidP="006B6D46">
      <w:pPr>
        <w:spacing w:after="0" w:line="240" w:lineRule="auto"/>
      </w:pPr>
    </w:p>
    <w:p w14:paraId="41F82242" w14:textId="77777777" w:rsidR="006B6D46" w:rsidRPr="006B6D46" w:rsidRDefault="006B6D46" w:rsidP="006B6D46">
      <w:pPr>
        <w:spacing w:after="0" w:line="240" w:lineRule="auto"/>
        <w:ind w:left="360"/>
      </w:pPr>
      <w:r>
        <w:t>21 CFR 56.110, pre-2018 Rule and Final Rule (45 CFR 46.109, 45 CFR 46.110), “Categories of Research That May Be Reviewed by the Institutional Review Board (IRB) Through an Expedited Review Procedure” (63 FR 60364-60367, 11/09/98), OHRP “Guidance on IRB Continuing Review of Research” (11/10/10), OHRP “Guidance on IRB Approval of Research with Conditions” (11/10/10), OHRP “Guidance on the Use of Expedited Review Procedures” (08/11/03), OHRP “Institutional Review Board Written Procedures: Guidance for Institutions and IRBs” (08/18), OHRP “2018 Requirements FAQs.”</w:t>
      </w:r>
    </w:p>
    <w:p w14:paraId="674704A2" w14:textId="77777777" w:rsidR="006B6D46" w:rsidRPr="006B6D46" w:rsidRDefault="006B6D46" w:rsidP="006B6D46">
      <w:pPr>
        <w:spacing w:after="0" w:line="240" w:lineRule="auto"/>
        <w:ind w:left="360"/>
      </w:pPr>
    </w:p>
    <w:p w14:paraId="2A89B6B6" w14:textId="77777777" w:rsidR="006B6D46" w:rsidRPr="006B6D46" w:rsidRDefault="006B6D46" w:rsidP="006B6D46">
      <w:pPr>
        <w:spacing w:after="0" w:line="240" w:lineRule="auto"/>
        <w:rPr>
          <w:b/>
        </w:rPr>
      </w:pPr>
      <w:r>
        <w:rPr>
          <w:b/>
        </w:rPr>
        <w:lastRenderedPageBreak/>
        <w:t>14. History</w:t>
      </w:r>
    </w:p>
    <w:p w14:paraId="00332143" w14:textId="77777777" w:rsidR="006B6D46" w:rsidRPr="006B6D46" w:rsidRDefault="006B6D46" w:rsidP="006B6D46">
      <w:pPr>
        <w:spacing w:after="0" w:line="240" w:lineRule="auto"/>
        <w:rPr>
          <w:b/>
        </w:rPr>
      </w:pPr>
    </w:p>
    <w:p w14:paraId="448FC335" w14:textId="77777777" w:rsidR="006B6D46" w:rsidRPr="006B6D46" w:rsidRDefault="006B6D46" w:rsidP="006B6D46">
      <w:pPr>
        <w:spacing w:after="0" w:line="240" w:lineRule="auto"/>
        <w:ind w:left="360"/>
      </w:pPr>
      <w:r>
        <w:t>Issued: 10/19/2007</w:t>
      </w:r>
    </w:p>
    <w:p w14:paraId="5A40A71D" w14:textId="77777777" w:rsidR="006B6D46" w:rsidRPr="006B6D46" w:rsidRDefault="006B6D46" w:rsidP="006B6D46">
      <w:pPr>
        <w:spacing w:after="0" w:line="240" w:lineRule="auto"/>
        <w:ind w:left="360"/>
      </w:pPr>
      <w:r>
        <w:t>Revised: 09/19/2008, 11/25/2008, 12/08/2009, 03/01/2012, 05/19/2012, 06/14/2016, 12/19/2016, 04/15/2019</w:t>
      </w:r>
    </w:p>
    <w:p w14:paraId="7D57EA1C" w14:textId="77777777" w:rsidR="006B6D46" w:rsidRPr="006B6D46" w:rsidRDefault="006B6D46" w:rsidP="006B6D46">
      <w:pPr>
        <w:spacing w:after="0" w:line="240" w:lineRule="auto"/>
        <w:ind w:left="360"/>
      </w:pPr>
      <w:r>
        <w:t>Edited: 04/28/2009, 03/02/2017, 01/14/2022, 04/20/2022</w:t>
      </w:r>
    </w:p>
    <w:p w14:paraId="30BD2790" w14:textId="77777777" w:rsidR="006B6D46" w:rsidRPr="006B6D46" w:rsidRDefault="006B6D46" w:rsidP="006B6D46">
      <w:pPr>
        <w:spacing w:after="0" w:line="240" w:lineRule="auto"/>
        <w:ind w:left="360"/>
      </w:pPr>
    </w:p>
    <w:p w14:paraId="63A38EA9" w14:textId="77777777" w:rsidR="006B6D46" w:rsidRPr="006B6D46" w:rsidRDefault="006B6D46" w:rsidP="006B6D46">
      <w:pPr>
        <w:spacing w:after="0" w:line="240" w:lineRule="auto"/>
        <w:ind w:left="360"/>
        <w:sectPr w:rsidR="006B6D46" w:rsidRPr="006B6D46" w:rsidSect="006B6D46">
          <w:headerReference w:type="default" r:id="rId184"/>
          <w:footerReference w:type="default" r:id="rId185"/>
          <w:type w:val="continuous"/>
          <w:pgSz w:w="12240" w:h="15840"/>
          <w:pgMar w:top="1440" w:right="1440" w:bottom="1440" w:left="1440" w:header="1008" w:footer="288" w:gutter="0"/>
          <w:cols w:space="720"/>
          <w:docGrid w:linePitch="360"/>
        </w:sectPr>
      </w:pPr>
    </w:p>
    <w:p w14:paraId="14A4D0F3" w14:textId="77777777" w:rsidR="006B6D46" w:rsidRPr="006B6D46" w:rsidRDefault="006B6D46" w:rsidP="000E5408">
      <w:pPr>
        <w:spacing w:after="0" w:line="240" w:lineRule="auto"/>
        <w:rPr>
          <w:b/>
          <w:bCs/>
        </w:rPr>
      </w:pPr>
      <w:bookmarkStart w:id="269" w:name="attach1"/>
      <w:bookmarkEnd w:id="269"/>
      <w:r>
        <w:rPr>
          <w:b/>
          <w:bCs/>
        </w:rPr>
        <w:t>Attachment 1.</w:t>
      </w:r>
    </w:p>
    <w:p w14:paraId="11F0AECE" w14:textId="77777777" w:rsidR="006B6D46" w:rsidRPr="006B6D46" w:rsidRDefault="006B6D46" w:rsidP="000E5408">
      <w:pPr>
        <w:spacing w:after="0" w:line="240" w:lineRule="auto"/>
        <w:rPr>
          <w:b/>
          <w:bCs/>
        </w:rPr>
      </w:pPr>
      <w:r>
        <w:rPr>
          <w:b/>
          <w:bCs/>
        </w:rPr>
        <w:t>Minor Changes to Approved Research</w:t>
      </w:r>
    </w:p>
    <w:p w14:paraId="596ED4F9" w14:textId="77777777" w:rsidR="006B6D46" w:rsidRPr="006B6D46" w:rsidRDefault="006B6D46" w:rsidP="000E5408">
      <w:pPr>
        <w:spacing w:after="0" w:line="240" w:lineRule="auto"/>
        <w:rPr>
          <w:b/>
          <w:bCs/>
        </w:rPr>
      </w:pPr>
      <w:r>
        <w:rPr>
          <w:b/>
          <w:bCs/>
          <w:i/>
        </w:rPr>
        <w:t xml:space="preserve"> </w:t>
      </w:r>
    </w:p>
    <w:p w14:paraId="0BED40E2" w14:textId="77777777" w:rsidR="006B6D46" w:rsidRPr="006B6D46" w:rsidRDefault="006B6D46" w:rsidP="000E5408">
      <w:pPr>
        <w:spacing w:after="0" w:line="240" w:lineRule="auto"/>
        <w:rPr>
          <w:bCs/>
        </w:rPr>
      </w:pPr>
      <w:r>
        <w:rPr>
          <w:bCs/>
        </w:rPr>
        <w:t>Minor changes to research are those that in the judgment of the IRB do not affect assessment of the risks and benefits of the study by substantially altering any of the following:</w:t>
      </w:r>
    </w:p>
    <w:p w14:paraId="27DECB36" w14:textId="77777777" w:rsidR="006B6D46" w:rsidRPr="006B6D46" w:rsidRDefault="006B6D46" w:rsidP="00A07209">
      <w:pPr>
        <w:numPr>
          <w:ilvl w:val="0"/>
          <w:numId w:val="168"/>
        </w:numPr>
        <w:spacing w:after="0" w:line="240" w:lineRule="auto"/>
        <w:rPr>
          <w:bCs/>
        </w:rPr>
      </w:pPr>
      <w:r>
        <w:rPr>
          <w:bCs/>
        </w:rPr>
        <w:t>Research aims or methodology</w:t>
      </w:r>
    </w:p>
    <w:p w14:paraId="2926976F" w14:textId="77777777" w:rsidR="006B6D46" w:rsidRPr="006B6D46" w:rsidRDefault="006B6D46" w:rsidP="00A07209">
      <w:pPr>
        <w:numPr>
          <w:ilvl w:val="0"/>
          <w:numId w:val="168"/>
        </w:numPr>
        <w:spacing w:after="0" w:line="240" w:lineRule="auto"/>
        <w:rPr>
          <w:bCs/>
        </w:rPr>
      </w:pPr>
      <w:r>
        <w:rPr>
          <w:bCs/>
        </w:rPr>
        <w:t>Nature of subject participation</w:t>
      </w:r>
    </w:p>
    <w:p w14:paraId="488C355F" w14:textId="77777777" w:rsidR="006B6D46" w:rsidRPr="006B6D46" w:rsidRDefault="006B6D46" w:rsidP="00A07209">
      <w:pPr>
        <w:numPr>
          <w:ilvl w:val="0"/>
          <w:numId w:val="169"/>
        </w:numPr>
        <w:spacing w:after="0" w:line="240" w:lineRule="auto"/>
        <w:rPr>
          <w:bCs/>
        </w:rPr>
      </w:pPr>
      <w:r>
        <w:rPr>
          <w:bCs/>
        </w:rPr>
        <w:t>Level of risk</w:t>
      </w:r>
    </w:p>
    <w:p w14:paraId="45E85241" w14:textId="77777777" w:rsidR="006B6D46" w:rsidRPr="006B6D46" w:rsidRDefault="006B6D46" w:rsidP="00A07209">
      <w:pPr>
        <w:numPr>
          <w:ilvl w:val="0"/>
          <w:numId w:val="169"/>
        </w:numPr>
        <w:spacing w:after="0" w:line="240" w:lineRule="auto"/>
        <w:rPr>
          <w:bCs/>
        </w:rPr>
      </w:pPr>
      <w:r>
        <w:rPr>
          <w:bCs/>
        </w:rPr>
        <w:t>Proposed benefits</w:t>
      </w:r>
    </w:p>
    <w:p w14:paraId="7CA87228" w14:textId="77777777" w:rsidR="006B6D46" w:rsidRPr="006B6D46" w:rsidRDefault="006B6D46" w:rsidP="00A07209">
      <w:pPr>
        <w:numPr>
          <w:ilvl w:val="0"/>
          <w:numId w:val="169"/>
        </w:numPr>
        <w:spacing w:after="0" w:line="240" w:lineRule="auto"/>
        <w:rPr>
          <w:bCs/>
        </w:rPr>
      </w:pPr>
      <w:r>
        <w:rPr>
          <w:bCs/>
        </w:rPr>
        <w:t>Participant population</w:t>
      </w:r>
    </w:p>
    <w:p w14:paraId="653073F9" w14:textId="77777777" w:rsidR="006B6D46" w:rsidRPr="006B6D46" w:rsidRDefault="006B6D46" w:rsidP="00A07209">
      <w:pPr>
        <w:numPr>
          <w:ilvl w:val="0"/>
          <w:numId w:val="169"/>
        </w:numPr>
        <w:spacing w:after="0" w:line="240" w:lineRule="auto"/>
        <w:rPr>
          <w:bCs/>
        </w:rPr>
      </w:pPr>
      <w:r>
        <w:rPr>
          <w:bCs/>
        </w:rPr>
        <w:t>Qualifications of the research team</w:t>
      </w:r>
    </w:p>
    <w:p w14:paraId="0EDDF2A6" w14:textId="77777777" w:rsidR="006B6D46" w:rsidRPr="006B6D46" w:rsidRDefault="006B6D46" w:rsidP="00A07209">
      <w:pPr>
        <w:numPr>
          <w:ilvl w:val="0"/>
          <w:numId w:val="169"/>
        </w:numPr>
        <w:spacing w:after="120" w:line="240" w:lineRule="auto"/>
        <w:rPr>
          <w:bCs/>
        </w:rPr>
      </w:pPr>
      <w:r>
        <w:rPr>
          <w:bCs/>
        </w:rPr>
        <w:t>Facilities available to support the safe conduct of the research</w:t>
      </w:r>
    </w:p>
    <w:p w14:paraId="73B27FF3" w14:textId="77777777" w:rsidR="006B6D46" w:rsidRPr="006B6D46" w:rsidRDefault="006B6D46" w:rsidP="006B6D46">
      <w:pPr>
        <w:spacing w:after="0" w:line="240" w:lineRule="auto"/>
        <w:rPr>
          <w:bCs/>
        </w:rPr>
      </w:pPr>
      <w:r>
        <w:rPr>
          <w:bCs/>
        </w:rPr>
        <w:t>A minor change does not increase risk more than minimally or add procedures in research categories other than those that qualify for expedited initial review.</w:t>
      </w:r>
    </w:p>
    <w:p w14:paraId="21E38F94" w14:textId="77777777" w:rsidR="006B6D46" w:rsidRPr="006B6D46" w:rsidRDefault="006B6D46" w:rsidP="006B6D46">
      <w:pPr>
        <w:spacing w:after="0" w:line="240" w:lineRule="auto"/>
        <w:rPr>
          <w:b/>
          <w:bCs/>
          <w:i/>
        </w:rPr>
      </w:pPr>
      <w:r>
        <w:rPr>
          <w:b/>
          <w:bCs/>
          <w:i/>
        </w:rPr>
        <w:t xml:space="preserve"> </w:t>
      </w:r>
    </w:p>
    <w:p w14:paraId="3207F5CF" w14:textId="77777777" w:rsidR="006B6D46" w:rsidRPr="006B6D46" w:rsidRDefault="006B6D46" w:rsidP="006B6D46">
      <w:pPr>
        <w:spacing w:after="60" w:line="240" w:lineRule="auto"/>
        <w:rPr>
          <w:bCs/>
        </w:rPr>
      </w:pPr>
      <w:r>
        <w:rPr>
          <w:bCs/>
        </w:rPr>
        <w:t>Examples of changes to previously approved research that may be considered minor (and may be reviewed using expedited procedures) when they do not alter the risk/benefit ratio include:</w:t>
      </w:r>
    </w:p>
    <w:p w14:paraId="766DE641" w14:textId="77777777" w:rsidR="006B6D46" w:rsidRPr="006B6D46" w:rsidRDefault="006B6D46" w:rsidP="00A07209">
      <w:pPr>
        <w:numPr>
          <w:ilvl w:val="0"/>
          <w:numId w:val="176"/>
        </w:numPr>
        <w:spacing w:after="60" w:line="240" w:lineRule="auto"/>
        <w:rPr>
          <w:bCs/>
        </w:rPr>
      </w:pPr>
      <w:r>
        <w:rPr>
          <w:bCs/>
        </w:rPr>
        <w:t>Changes in study documents, such as recruitment materials, consent forms, questionnaires, etc. that do not materially affect participation of the subject in the study or alter the meaning of the text (e.g., formatting, phone or room numbers, etc.)</w:t>
      </w:r>
    </w:p>
    <w:p w14:paraId="71274691" w14:textId="77777777" w:rsidR="006B6D46" w:rsidRPr="006B6D46" w:rsidRDefault="006B6D46" w:rsidP="00A07209">
      <w:pPr>
        <w:numPr>
          <w:ilvl w:val="0"/>
          <w:numId w:val="176"/>
        </w:numPr>
        <w:spacing w:after="60" w:line="240" w:lineRule="auto"/>
        <w:rPr>
          <w:bCs/>
        </w:rPr>
      </w:pPr>
      <w:r>
        <w:rPr>
          <w:bCs/>
        </w:rPr>
        <w:t>Clarifications of the study protocol, procedures, or consent language that do not introduce new procedures or information</w:t>
      </w:r>
    </w:p>
    <w:p w14:paraId="0ACB2BBB" w14:textId="77777777" w:rsidR="006B6D46" w:rsidRPr="006B6D46" w:rsidRDefault="006B6D46" w:rsidP="00A07209">
      <w:pPr>
        <w:numPr>
          <w:ilvl w:val="0"/>
          <w:numId w:val="176"/>
        </w:numPr>
        <w:spacing w:after="60" w:line="240" w:lineRule="auto"/>
        <w:rPr>
          <w:bCs/>
        </w:rPr>
      </w:pPr>
      <w:r>
        <w:rPr>
          <w:bCs/>
        </w:rPr>
        <w:t>Changes in wording or deletions of a question(s) on a survey or in the material properties of a stimulus, where the change or deletion does not alter the fundamental meaning of the item for the research or change the nature of the subject’s participation in the study</w:t>
      </w:r>
    </w:p>
    <w:p w14:paraId="2F594C92" w14:textId="77777777" w:rsidR="006B6D46" w:rsidRPr="006B6D46" w:rsidRDefault="006B6D46" w:rsidP="00A07209">
      <w:pPr>
        <w:numPr>
          <w:ilvl w:val="0"/>
          <w:numId w:val="176"/>
        </w:numPr>
        <w:spacing w:after="60" w:line="240" w:lineRule="auto"/>
        <w:rPr>
          <w:bCs/>
        </w:rPr>
      </w:pPr>
      <w:r>
        <w:rPr>
          <w:bCs/>
        </w:rPr>
        <w:t>Addition of a standardized survey instrument that does not substantially increase risk to participants or the duration of their study participation</w:t>
      </w:r>
    </w:p>
    <w:p w14:paraId="0FDB5A41" w14:textId="77777777" w:rsidR="006B6D46" w:rsidRPr="006B6D46" w:rsidRDefault="006B6D46" w:rsidP="00A07209">
      <w:pPr>
        <w:numPr>
          <w:ilvl w:val="0"/>
          <w:numId w:val="176"/>
        </w:numPr>
        <w:spacing w:after="60" w:line="240" w:lineRule="auto"/>
        <w:rPr>
          <w:bCs/>
        </w:rPr>
      </w:pPr>
      <w:r>
        <w:rPr>
          <w:bCs/>
        </w:rPr>
        <w:t>Addition of advertisements or recruitment materials that are not considered coercive and are easily compared to the approved informed consent script or document</w:t>
      </w:r>
    </w:p>
    <w:p w14:paraId="6D222197" w14:textId="77777777" w:rsidR="006B6D46" w:rsidRPr="006B6D46" w:rsidRDefault="006B6D46" w:rsidP="00A07209">
      <w:pPr>
        <w:numPr>
          <w:ilvl w:val="0"/>
          <w:numId w:val="176"/>
        </w:numPr>
        <w:spacing w:after="60" w:line="240" w:lineRule="auto"/>
        <w:rPr>
          <w:bCs/>
        </w:rPr>
      </w:pPr>
      <w:r>
        <w:rPr>
          <w:bCs/>
        </w:rPr>
        <w:t>Increases in numbers of participants, who are identified and recruited by approved methods from currently approved populations, or increases in local site enrollment in multi-site studies where the increase does not exceed the approved total number of participants across all sites</w:t>
      </w:r>
    </w:p>
    <w:p w14:paraId="516F7D9D" w14:textId="77777777" w:rsidR="006B6D46" w:rsidRPr="006B6D46" w:rsidRDefault="006B6D46" w:rsidP="00A07209">
      <w:pPr>
        <w:numPr>
          <w:ilvl w:val="0"/>
          <w:numId w:val="176"/>
        </w:numPr>
        <w:spacing w:after="60" w:line="240" w:lineRule="auto"/>
        <w:rPr>
          <w:bCs/>
        </w:rPr>
      </w:pPr>
      <w:r>
        <w:rPr>
          <w:bCs/>
        </w:rPr>
        <w:t>Decreases in number or frequency of data collection points that do not compromise study integrity or decrease safeguards for participants</w:t>
      </w:r>
    </w:p>
    <w:p w14:paraId="3D32CF45" w14:textId="77777777" w:rsidR="006B6D46" w:rsidRPr="006B6D46" w:rsidRDefault="006B6D46" w:rsidP="00A07209">
      <w:pPr>
        <w:numPr>
          <w:ilvl w:val="0"/>
          <w:numId w:val="176"/>
        </w:numPr>
        <w:spacing w:after="60" w:line="240" w:lineRule="auto"/>
        <w:rPr>
          <w:bCs/>
        </w:rPr>
      </w:pPr>
      <w:r>
        <w:rPr>
          <w:bCs/>
        </w:rPr>
        <w:t>Changes in data handling, storage, or security that maintain a similar or increased level of confidentiality protections for the study data</w:t>
      </w:r>
    </w:p>
    <w:p w14:paraId="61465EBC" w14:textId="77777777" w:rsidR="006B6D46" w:rsidRPr="006B6D46" w:rsidRDefault="006B6D46" w:rsidP="00A07209">
      <w:pPr>
        <w:numPr>
          <w:ilvl w:val="0"/>
          <w:numId w:val="176"/>
        </w:numPr>
        <w:spacing w:after="60" w:line="240" w:lineRule="auto"/>
        <w:rPr>
          <w:bCs/>
        </w:rPr>
      </w:pPr>
      <w:r>
        <w:rPr>
          <w:bCs/>
        </w:rPr>
        <w:t>Changes in incentives for adult participants that are not considered coercive, do not present undue influence, and are not contingent upon completion of the entire study</w:t>
      </w:r>
    </w:p>
    <w:p w14:paraId="63AD35E0" w14:textId="77777777" w:rsidR="006B6D46" w:rsidRPr="006B6D46" w:rsidRDefault="006B6D46" w:rsidP="00A07209">
      <w:pPr>
        <w:numPr>
          <w:ilvl w:val="0"/>
          <w:numId w:val="176"/>
        </w:numPr>
        <w:spacing w:after="60" w:line="240" w:lineRule="auto"/>
        <w:rPr>
          <w:bCs/>
        </w:rPr>
      </w:pPr>
      <w:r>
        <w:rPr>
          <w:bCs/>
        </w:rPr>
        <w:lastRenderedPageBreak/>
        <w:t>Changes in investigators or research staff with similar or greater qualifications to perform or assist in the research</w:t>
      </w:r>
    </w:p>
    <w:p w14:paraId="06F8BB94" w14:textId="77777777" w:rsidR="006B6D46" w:rsidRPr="006B6D46" w:rsidRDefault="006B6D46" w:rsidP="00A07209">
      <w:pPr>
        <w:numPr>
          <w:ilvl w:val="0"/>
          <w:numId w:val="176"/>
        </w:numPr>
        <w:spacing w:after="60" w:line="240" w:lineRule="auto"/>
        <w:rPr>
          <w:bCs/>
        </w:rPr>
      </w:pPr>
      <w:r>
        <w:rPr>
          <w:bCs/>
        </w:rPr>
        <w:t>Addition of new study sites that are not substantially different (e.g., qualifications of study personnel, research environment, etc.) than those already approved for the research and that do not require collaborative agreements</w:t>
      </w:r>
    </w:p>
    <w:p w14:paraId="0F40D125" w14:textId="77777777" w:rsidR="006B6D46" w:rsidRPr="006B6D46" w:rsidRDefault="006B6D46" w:rsidP="00A07209">
      <w:pPr>
        <w:numPr>
          <w:ilvl w:val="0"/>
          <w:numId w:val="176"/>
        </w:numPr>
        <w:spacing w:after="0" w:line="240" w:lineRule="auto"/>
        <w:rPr>
          <w:bCs/>
        </w:rPr>
      </w:pPr>
      <w:r>
        <w:rPr>
          <w:bCs/>
        </w:rPr>
        <w:t>Addition of translations of previously approved materials</w:t>
      </w:r>
    </w:p>
    <w:p w14:paraId="44A42AA5" w14:textId="77777777" w:rsidR="006B6D46" w:rsidRPr="006B6D46" w:rsidRDefault="006B6D46" w:rsidP="006B6D46">
      <w:pPr>
        <w:spacing w:after="0" w:line="240" w:lineRule="auto"/>
        <w:rPr>
          <w:b/>
          <w:bCs/>
        </w:rPr>
      </w:pPr>
      <w:r>
        <w:rPr>
          <w:bCs/>
        </w:rPr>
        <w:br w:type="page"/>
      </w:r>
      <w:bookmarkStart w:id="270" w:name="Attach2"/>
      <w:bookmarkEnd w:id="270"/>
      <w:r>
        <w:rPr>
          <w:b/>
          <w:bCs/>
        </w:rPr>
        <w:lastRenderedPageBreak/>
        <w:t>Attachment 2.</w:t>
      </w:r>
    </w:p>
    <w:p w14:paraId="6904CA3D" w14:textId="77777777" w:rsidR="006B6D46" w:rsidRPr="006B6D46" w:rsidRDefault="006B6D46" w:rsidP="006B6D46">
      <w:pPr>
        <w:spacing w:after="0" w:line="240" w:lineRule="auto"/>
        <w:rPr>
          <w:b/>
          <w:bCs/>
        </w:rPr>
      </w:pPr>
    </w:p>
    <w:p w14:paraId="77CF7F3E" w14:textId="77777777" w:rsidR="006B6D46" w:rsidRPr="006B6D46" w:rsidRDefault="006B6D46" w:rsidP="006B6D46">
      <w:pPr>
        <w:spacing w:after="0" w:line="240" w:lineRule="auto"/>
        <w:rPr>
          <w:b/>
        </w:rPr>
      </w:pPr>
      <w:r>
        <w:rPr>
          <w:b/>
        </w:rPr>
        <w:t>Categories of Research That May Be Reviewed by the Institutional Review Board (IRB) through an Expedited Review Procedure</w:t>
      </w:r>
    </w:p>
    <w:p w14:paraId="6E515BBE" w14:textId="77777777" w:rsidR="006B6D46" w:rsidRPr="006B6D46" w:rsidRDefault="006B6D46" w:rsidP="006B6D46">
      <w:pPr>
        <w:spacing w:after="0" w:line="240" w:lineRule="auto"/>
      </w:pPr>
    </w:p>
    <w:p w14:paraId="4239695B" w14:textId="77777777" w:rsidR="006B6D46" w:rsidRPr="006B6D46" w:rsidRDefault="006B6D46" w:rsidP="006B6D46">
      <w:pPr>
        <w:spacing w:after="120" w:line="240" w:lineRule="auto"/>
        <w:rPr>
          <w:b/>
          <w:i/>
        </w:rPr>
      </w:pPr>
      <w:r>
        <w:rPr>
          <w:b/>
          <w:i/>
        </w:rPr>
        <w:t>Applicability</w:t>
      </w:r>
    </w:p>
    <w:p w14:paraId="2F8BA01A" w14:textId="77777777" w:rsidR="006B6D46" w:rsidRPr="006B6D46" w:rsidRDefault="006B6D46" w:rsidP="006B6D46">
      <w:pPr>
        <w:spacing w:after="120" w:line="240" w:lineRule="auto"/>
      </w:pPr>
      <w:r>
        <w:rPr>
          <w:b/>
        </w:rPr>
        <w:t>(A)</w:t>
      </w:r>
      <w:r>
        <w:t xml:space="preserve"> Research activities that present no more than minimal risk to human subjects and involve only procedures listed in one or more of the following categories may be reviewed by the IRB through the expedited review procedure. The activities listed should not be deemed to be of minimal risk simply because they are included on this list. Inclusion on this list merely means that the activity is eligible for review through the expedited review procedure when the specific circumstances of the proposed research involve no more than minimal risk to human subjects.</w:t>
      </w:r>
    </w:p>
    <w:p w14:paraId="1A89C955" w14:textId="77777777" w:rsidR="006B6D46" w:rsidRPr="006B6D46" w:rsidRDefault="006B6D46" w:rsidP="006B6D46">
      <w:pPr>
        <w:tabs>
          <w:tab w:val="right" w:pos="8640"/>
        </w:tabs>
        <w:spacing w:after="120" w:line="240" w:lineRule="auto"/>
      </w:pPr>
      <w:r>
        <w:rPr>
          <w:b/>
        </w:rPr>
        <w:t>(B)</w:t>
      </w:r>
      <w:r>
        <w:t xml:space="preserve"> The categories in this list apply regardless of the age of subjects, except as noted.</w:t>
      </w:r>
      <w:r>
        <w:tab/>
      </w:r>
    </w:p>
    <w:p w14:paraId="32FD8B16" w14:textId="77777777" w:rsidR="006B6D46" w:rsidRPr="006B6D46" w:rsidRDefault="006B6D46" w:rsidP="006B6D46">
      <w:pPr>
        <w:spacing w:after="120" w:line="240" w:lineRule="auto"/>
      </w:pPr>
      <w:r>
        <w:rPr>
          <w:b/>
        </w:rPr>
        <w:t>(C)</w:t>
      </w:r>
      <w:r>
        <w:t xml:space="preserve"> The expedited review procedure may not be used where identification of the subjects and/or their responses would reasonably place them at risk of criminal or civil liability or be damaging to the subjects financial standing, employability, insurability, reputation, or be stigmatizing, unless reasonable and appropriate protections will be implemented so that risks related to invasion of privacy and breach of confidentiality are no greater than minimal.</w:t>
      </w:r>
    </w:p>
    <w:p w14:paraId="43CD903A" w14:textId="77777777" w:rsidR="006B6D46" w:rsidRPr="006B6D46" w:rsidRDefault="006B6D46" w:rsidP="006B6D46">
      <w:pPr>
        <w:spacing w:after="120" w:line="240" w:lineRule="auto"/>
      </w:pPr>
      <w:r>
        <w:rPr>
          <w:b/>
        </w:rPr>
        <w:t>(D)</w:t>
      </w:r>
      <w:r>
        <w:t xml:space="preserve"> The expedited review procedure may not be used for classified research involving human subjects.</w:t>
      </w:r>
    </w:p>
    <w:p w14:paraId="4022D49E" w14:textId="77777777" w:rsidR="006B6D46" w:rsidRPr="006B6D46" w:rsidRDefault="006B6D46" w:rsidP="006B6D46">
      <w:pPr>
        <w:spacing w:after="120" w:line="240" w:lineRule="auto"/>
      </w:pPr>
      <w:r>
        <w:rPr>
          <w:b/>
        </w:rPr>
        <w:t>(E)</w:t>
      </w:r>
      <w:r>
        <w:t xml:space="preserve"> IRBs are reminded that the standard requirements for informed consent (or its waiver, alteration, or exception) apply regardless of the type of review – expedited or convened – utilized by the IRB.</w:t>
      </w:r>
    </w:p>
    <w:p w14:paraId="1343792F" w14:textId="77777777" w:rsidR="006B6D46" w:rsidRPr="006B6D46" w:rsidRDefault="006B6D46" w:rsidP="006B6D46">
      <w:pPr>
        <w:spacing w:after="0" w:line="240" w:lineRule="auto"/>
      </w:pPr>
      <w:r>
        <w:rPr>
          <w:b/>
        </w:rPr>
        <w:t>(F)</w:t>
      </w:r>
      <w:r>
        <w:t xml:space="preserve"> Categories one (1) through seven (7) pertain to both initial and continuing IRB review.</w:t>
      </w:r>
    </w:p>
    <w:p w14:paraId="1E8CB400" w14:textId="77777777" w:rsidR="006B6D46" w:rsidRPr="006B6D46" w:rsidRDefault="006B6D46" w:rsidP="006B6D46">
      <w:pPr>
        <w:spacing w:after="0" w:line="240" w:lineRule="auto"/>
      </w:pPr>
    </w:p>
    <w:p w14:paraId="16E2391F" w14:textId="77777777" w:rsidR="006B6D46" w:rsidRPr="006B6D46" w:rsidRDefault="006B6D46" w:rsidP="006B6D46">
      <w:pPr>
        <w:spacing w:after="120" w:line="240" w:lineRule="auto"/>
        <w:rPr>
          <w:b/>
          <w:i/>
        </w:rPr>
      </w:pPr>
      <w:r>
        <w:rPr>
          <w:b/>
          <w:i/>
        </w:rPr>
        <w:t>Research Categories</w:t>
      </w:r>
    </w:p>
    <w:p w14:paraId="7FB61AEC" w14:textId="77777777" w:rsidR="006B6D46" w:rsidRPr="006B6D46" w:rsidRDefault="006B6D46" w:rsidP="00A07209">
      <w:pPr>
        <w:numPr>
          <w:ilvl w:val="0"/>
          <w:numId w:val="154"/>
        </w:numPr>
        <w:spacing w:after="60" w:line="240" w:lineRule="auto"/>
      </w:pPr>
      <w:r>
        <w:t>Clinical studies of drugs and medical devices only when condition (a) or (b) is met.</w:t>
      </w:r>
    </w:p>
    <w:p w14:paraId="0833C693" w14:textId="77777777" w:rsidR="006B6D46" w:rsidRPr="006B6D46" w:rsidRDefault="006B6D46" w:rsidP="00A07209">
      <w:pPr>
        <w:numPr>
          <w:ilvl w:val="1"/>
          <w:numId w:val="154"/>
        </w:numPr>
        <w:spacing w:after="60" w:line="240" w:lineRule="auto"/>
      </w:pPr>
      <w:r>
        <w:t xml:space="preserve">Research on drugs for which an investigational new drug application (21 CFR 312) is not required </w:t>
      </w:r>
      <w:r>
        <w:rPr>
          <w:i/>
          <w:iCs/>
        </w:rPr>
        <w:t>Note: Research on marketed drugs that significantly increases the risks or decreases the acceptability of the risks associated with the use of the product is not eligible for expedited review.</w:t>
      </w:r>
    </w:p>
    <w:p w14:paraId="4555AC2D" w14:textId="77777777" w:rsidR="006B6D46" w:rsidRPr="006B6D46" w:rsidRDefault="006B6D46" w:rsidP="00A07209">
      <w:pPr>
        <w:numPr>
          <w:ilvl w:val="1"/>
          <w:numId w:val="154"/>
        </w:numPr>
        <w:spacing w:after="120" w:line="240" w:lineRule="auto"/>
      </w:pPr>
      <w:r>
        <w:t>Research on medical devices for which an investigational device exemption application (21 CFR 812) is not required or the medical device is cleared/approved for marketing and the medical device is being used in accordance with its cleared/approved labeling</w:t>
      </w:r>
    </w:p>
    <w:p w14:paraId="02BB0BB9" w14:textId="77777777" w:rsidR="006B6D46" w:rsidRPr="006B6D46" w:rsidRDefault="006B6D46" w:rsidP="00A07209">
      <w:pPr>
        <w:numPr>
          <w:ilvl w:val="2"/>
          <w:numId w:val="154"/>
        </w:numPr>
        <w:tabs>
          <w:tab w:val="num" w:pos="360"/>
        </w:tabs>
        <w:spacing w:after="60" w:line="240" w:lineRule="auto"/>
        <w:ind w:left="360"/>
      </w:pPr>
      <w:r>
        <w:t>Collection of blood samples by finger stick, heel stick, ear stick, or venipuncture as follows:</w:t>
      </w:r>
    </w:p>
    <w:p w14:paraId="5CBD75B9" w14:textId="77777777" w:rsidR="006B6D46" w:rsidRPr="006B6D46" w:rsidRDefault="006B6D46" w:rsidP="00A07209">
      <w:pPr>
        <w:numPr>
          <w:ilvl w:val="0"/>
          <w:numId w:val="155"/>
        </w:numPr>
        <w:tabs>
          <w:tab w:val="num" w:pos="1080"/>
        </w:tabs>
        <w:spacing w:after="60" w:line="240" w:lineRule="auto"/>
        <w:ind w:left="1080"/>
      </w:pPr>
      <w:r>
        <w:t>Samples from healthy, non-pregnant adults who weigh at least 110 pounds; for these subjects, the amounts drawn may not exceed 550 ml in an 8-week period and collection may not occur more frequently than 2 times per week, or</w:t>
      </w:r>
    </w:p>
    <w:p w14:paraId="6B5A18EB" w14:textId="77777777" w:rsidR="006B6D46" w:rsidRPr="006B6D46" w:rsidRDefault="006B6D46" w:rsidP="00A07209">
      <w:pPr>
        <w:numPr>
          <w:ilvl w:val="0"/>
          <w:numId w:val="155"/>
        </w:numPr>
        <w:tabs>
          <w:tab w:val="num" w:pos="1080"/>
        </w:tabs>
        <w:spacing w:after="120" w:line="240" w:lineRule="auto"/>
        <w:ind w:left="1080"/>
      </w:pPr>
      <w:r>
        <w:t>Samples from other adults and children, considering the age, weight, and health of the subjects, the collection procedure, the amount of blood to be collected, and the frequency with which it will be collected; for these subjects, the amount drawn may not exceed the lesser of 50 ml or 3 ml/kg in an 8-week period and collection may not occur more frequently than 2 times per week</w:t>
      </w:r>
    </w:p>
    <w:p w14:paraId="7A7AD0A0" w14:textId="77777777" w:rsidR="006B6D46" w:rsidRPr="006B6D46" w:rsidRDefault="006B6D46" w:rsidP="00A07209">
      <w:pPr>
        <w:numPr>
          <w:ilvl w:val="1"/>
          <w:numId w:val="155"/>
        </w:numPr>
        <w:tabs>
          <w:tab w:val="num" w:pos="360"/>
        </w:tabs>
        <w:spacing w:after="60" w:line="240" w:lineRule="auto"/>
        <w:ind w:left="360"/>
      </w:pPr>
      <w:r>
        <w:t>Prospective collection of biological specimens for research purposes by noninvasive means. Examples:</w:t>
      </w:r>
    </w:p>
    <w:p w14:paraId="54A281A2" w14:textId="77777777" w:rsidR="006B6D46" w:rsidRPr="006B6D46" w:rsidRDefault="006B6D46" w:rsidP="00A07209">
      <w:pPr>
        <w:numPr>
          <w:ilvl w:val="0"/>
          <w:numId w:val="156"/>
        </w:numPr>
        <w:tabs>
          <w:tab w:val="left" w:pos="1080"/>
        </w:tabs>
        <w:spacing w:after="60" w:line="240" w:lineRule="auto"/>
        <w:ind w:left="1080"/>
      </w:pPr>
      <w:r>
        <w:t>Hair and nail clippings in a non-disfiguring manner</w:t>
      </w:r>
    </w:p>
    <w:p w14:paraId="79541943" w14:textId="77777777" w:rsidR="006B6D46" w:rsidRPr="006B6D46" w:rsidRDefault="006B6D46" w:rsidP="00A07209">
      <w:pPr>
        <w:numPr>
          <w:ilvl w:val="0"/>
          <w:numId w:val="156"/>
        </w:numPr>
        <w:tabs>
          <w:tab w:val="left" w:pos="1080"/>
        </w:tabs>
        <w:spacing w:after="60" w:line="240" w:lineRule="auto"/>
        <w:ind w:left="1080"/>
      </w:pPr>
      <w:r>
        <w:t>Deciduous teeth at time of exfoliation or if routine patient care indicates a need for extraction</w:t>
      </w:r>
    </w:p>
    <w:p w14:paraId="2A5A1162" w14:textId="77777777" w:rsidR="006B6D46" w:rsidRPr="006B6D46" w:rsidRDefault="006B6D46" w:rsidP="00A07209">
      <w:pPr>
        <w:numPr>
          <w:ilvl w:val="0"/>
          <w:numId w:val="156"/>
        </w:numPr>
        <w:tabs>
          <w:tab w:val="left" w:pos="1080"/>
        </w:tabs>
        <w:spacing w:after="60" w:line="240" w:lineRule="auto"/>
        <w:ind w:left="1080"/>
      </w:pPr>
      <w:r>
        <w:t>Permanent teeth if routine patient care indicates a need for extraction</w:t>
      </w:r>
    </w:p>
    <w:p w14:paraId="5C59A1C2" w14:textId="77777777" w:rsidR="006B6D46" w:rsidRPr="006B6D46" w:rsidRDefault="006B6D46" w:rsidP="00A07209">
      <w:pPr>
        <w:numPr>
          <w:ilvl w:val="0"/>
          <w:numId w:val="156"/>
        </w:numPr>
        <w:tabs>
          <w:tab w:val="left" w:pos="1080"/>
        </w:tabs>
        <w:spacing w:after="60" w:line="240" w:lineRule="auto"/>
        <w:ind w:left="1080"/>
      </w:pPr>
      <w:r>
        <w:t>Excreta and external secretions (including sweat)</w:t>
      </w:r>
    </w:p>
    <w:p w14:paraId="759F826A" w14:textId="77777777" w:rsidR="006B6D46" w:rsidRPr="006B6D46" w:rsidRDefault="006B6D46" w:rsidP="00A07209">
      <w:pPr>
        <w:numPr>
          <w:ilvl w:val="0"/>
          <w:numId w:val="156"/>
        </w:numPr>
        <w:tabs>
          <w:tab w:val="left" w:pos="1080"/>
        </w:tabs>
        <w:spacing w:after="60" w:line="240" w:lineRule="auto"/>
        <w:ind w:left="1080"/>
      </w:pPr>
      <w:r>
        <w:t>Uncannulated saliva collected either in an unstimulated fashion or stimulated by chewing gumbase or wax or by applying a dilute citric solution to the tongue</w:t>
      </w:r>
    </w:p>
    <w:p w14:paraId="035B0EC7" w14:textId="77777777" w:rsidR="006B6D46" w:rsidRPr="006B6D46" w:rsidRDefault="006B6D46" w:rsidP="00A07209">
      <w:pPr>
        <w:numPr>
          <w:ilvl w:val="0"/>
          <w:numId w:val="156"/>
        </w:numPr>
        <w:tabs>
          <w:tab w:val="left" w:pos="1080"/>
        </w:tabs>
        <w:spacing w:after="60" w:line="240" w:lineRule="auto"/>
        <w:ind w:left="1080"/>
      </w:pPr>
      <w:r>
        <w:t>Placenta removed at delivery</w:t>
      </w:r>
    </w:p>
    <w:p w14:paraId="57529BEB" w14:textId="77777777" w:rsidR="006B6D46" w:rsidRPr="006B6D46" w:rsidRDefault="006B6D46" w:rsidP="00A07209">
      <w:pPr>
        <w:numPr>
          <w:ilvl w:val="0"/>
          <w:numId w:val="156"/>
        </w:numPr>
        <w:tabs>
          <w:tab w:val="left" w:pos="1080"/>
        </w:tabs>
        <w:spacing w:after="60" w:line="240" w:lineRule="auto"/>
        <w:ind w:left="1080"/>
      </w:pPr>
      <w:r>
        <w:lastRenderedPageBreak/>
        <w:t>Amniotic fluid obtained at the time of rupture of the membrane prior to or during labor</w:t>
      </w:r>
    </w:p>
    <w:p w14:paraId="173465FB" w14:textId="77777777" w:rsidR="006B6D46" w:rsidRPr="006B6D46" w:rsidRDefault="006B6D46" w:rsidP="00A07209">
      <w:pPr>
        <w:numPr>
          <w:ilvl w:val="0"/>
          <w:numId w:val="156"/>
        </w:numPr>
        <w:tabs>
          <w:tab w:val="left" w:pos="1080"/>
        </w:tabs>
        <w:spacing w:after="60" w:line="240" w:lineRule="auto"/>
        <w:ind w:left="1080"/>
      </w:pPr>
      <w:r>
        <w:t>Supra- and sub-gingival dental plaque and calculus, provided the collection procedure is not more invasive than routine prophylactic scaling of the teeth and the process is accomplished in accordance with accepted prophylactic techniques</w:t>
      </w:r>
    </w:p>
    <w:p w14:paraId="50391F55" w14:textId="77777777" w:rsidR="006B6D46" w:rsidRPr="006B6D46" w:rsidRDefault="006B6D46" w:rsidP="00A07209">
      <w:pPr>
        <w:numPr>
          <w:ilvl w:val="0"/>
          <w:numId w:val="156"/>
        </w:numPr>
        <w:tabs>
          <w:tab w:val="left" w:pos="1080"/>
        </w:tabs>
        <w:spacing w:after="60" w:line="240" w:lineRule="auto"/>
        <w:ind w:left="1080"/>
      </w:pPr>
      <w:r>
        <w:t>Mucosal and skin cells collected by buccal scraping or swab, skin swab, or mouth washings</w:t>
      </w:r>
    </w:p>
    <w:p w14:paraId="3A73CEDB" w14:textId="77777777" w:rsidR="006B6D46" w:rsidRPr="006B6D46" w:rsidRDefault="006B6D46" w:rsidP="00A07209">
      <w:pPr>
        <w:numPr>
          <w:ilvl w:val="0"/>
          <w:numId w:val="156"/>
        </w:numPr>
        <w:tabs>
          <w:tab w:val="left" w:pos="1080"/>
        </w:tabs>
        <w:spacing w:after="120" w:line="240" w:lineRule="auto"/>
        <w:ind w:left="1080"/>
      </w:pPr>
      <w:r>
        <w:t>Sputum collected after saline mist nebulization</w:t>
      </w:r>
    </w:p>
    <w:p w14:paraId="07D36C46" w14:textId="77777777" w:rsidR="006B6D46" w:rsidRPr="006B6D46" w:rsidRDefault="006B6D46" w:rsidP="00A07209">
      <w:pPr>
        <w:numPr>
          <w:ilvl w:val="1"/>
          <w:numId w:val="156"/>
        </w:numPr>
        <w:tabs>
          <w:tab w:val="num" w:pos="360"/>
        </w:tabs>
        <w:spacing w:after="60" w:line="240" w:lineRule="auto"/>
        <w:ind w:left="360"/>
      </w:pPr>
      <w:r>
        <w:t>Collection of data through noninvasive procedures (not involving general anesthesia or sedation) routinely employed in clinical practice, excluding procedures involving x-rays or microwaves. Where medical devices are employed, they must be cleared/approved for marketing. (Studies intended to evaluate the safety and effectiveness of the medical device are not generally eligible for expedited review, including studies of cleared medical devices for new indications.)  Examples:</w:t>
      </w:r>
    </w:p>
    <w:p w14:paraId="54ED5C32" w14:textId="77777777" w:rsidR="006B6D46" w:rsidRPr="006B6D46" w:rsidRDefault="006B6D46" w:rsidP="00A07209">
      <w:pPr>
        <w:numPr>
          <w:ilvl w:val="2"/>
          <w:numId w:val="156"/>
        </w:numPr>
        <w:tabs>
          <w:tab w:val="num" w:pos="1080"/>
        </w:tabs>
        <w:spacing w:after="60" w:line="240" w:lineRule="auto"/>
        <w:ind w:left="1080"/>
      </w:pPr>
      <w:r>
        <w:t>Physical sensors that are applied either to the surface of the body or at a distance and do not involve input of significant amounts of energy into the subject or an invasion of the subject’s privacy</w:t>
      </w:r>
    </w:p>
    <w:p w14:paraId="30F6CECB" w14:textId="77777777" w:rsidR="006B6D46" w:rsidRPr="006B6D46" w:rsidRDefault="006B6D46" w:rsidP="00A07209">
      <w:pPr>
        <w:numPr>
          <w:ilvl w:val="2"/>
          <w:numId w:val="156"/>
        </w:numPr>
        <w:tabs>
          <w:tab w:val="num" w:pos="1080"/>
        </w:tabs>
        <w:spacing w:after="60" w:line="240" w:lineRule="auto"/>
        <w:ind w:left="1080"/>
      </w:pPr>
      <w:r>
        <w:t>Weighing or testing sensory acuity</w:t>
      </w:r>
    </w:p>
    <w:p w14:paraId="0768196A" w14:textId="77777777" w:rsidR="006B6D46" w:rsidRPr="006B6D46" w:rsidRDefault="006B6D46" w:rsidP="00A07209">
      <w:pPr>
        <w:numPr>
          <w:ilvl w:val="2"/>
          <w:numId w:val="156"/>
        </w:numPr>
        <w:tabs>
          <w:tab w:val="num" w:pos="1080"/>
        </w:tabs>
        <w:spacing w:after="60" w:line="240" w:lineRule="auto"/>
        <w:ind w:left="1080"/>
      </w:pPr>
      <w:r>
        <w:t>Magnetic resonance imaging</w:t>
      </w:r>
    </w:p>
    <w:p w14:paraId="3FA3BEEA" w14:textId="77777777" w:rsidR="006B6D46" w:rsidRPr="006B6D46" w:rsidRDefault="006B6D46" w:rsidP="00A07209">
      <w:pPr>
        <w:numPr>
          <w:ilvl w:val="2"/>
          <w:numId w:val="156"/>
        </w:numPr>
        <w:tabs>
          <w:tab w:val="num" w:pos="1080"/>
        </w:tabs>
        <w:spacing w:after="60" w:line="240" w:lineRule="auto"/>
        <w:ind w:left="1080"/>
      </w:pPr>
      <w:r>
        <w:t>Electrocardiography, electroencephalography, thermography, detection of naturally occurring radioactivity, electroretinography, ultrasound, diagnostic infrared imaging, doppler blood flow, and echocardiography</w:t>
      </w:r>
    </w:p>
    <w:p w14:paraId="07DFF4D2" w14:textId="77777777" w:rsidR="006B6D46" w:rsidRPr="006B6D46" w:rsidRDefault="006B6D46" w:rsidP="00A07209">
      <w:pPr>
        <w:numPr>
          <w:ilvl w:val="2"/>
          <w:numId w:val="156"/>
        </w:numPr>
        <w:tabs>
          <w:tab w:val="num" w:pos="1080"/>
        </w:tabs>
        <w:spacing w:after="120" w:line="240" w:lineRule="auto"/>
        <w:ind w:left="1080"/>
      </w:pPr>
      <w:r>
        <w:t>Moderate exercise, muscular strength testing, body composition assessment, and flexibility testing where appropriate given the age, weight, and health of the individual</w:t>
      </w:r>
    </w:p>
    <w:p w14:paraId="35BFDFA7" w14:textId="77777777" w:rsidR="006B6D46" w:rsidRPr="006B6D46" w:rsidRDefault="006B6D46" w:rsidP="00A07209">
      <w:pPr>
        <w:numPr>
          <w:ilvl w:val="3"/>
          <w:numId w:val="156"/>
        </w:numPr>
        <w:tabs>
          <w:tab w:val="num" w:pos="360"/>
        </w:tabs>
        <w:spacing w:after="120" w:line="240" w:lineRule="auto"/>
        <w:ind w:left="360"/>
      </w:pPr>
      <w:r>
        <w:t xml:space="preserve">Research involving materials (data, documents, records, or specimens) that have been collected, or will be collected solely for non-research purposes, such as medical treatment or diagnosis. </w:t>
      </w:r>
      <w:r>
        <w:rPr>
          <w:i/>
          <w:iCs/>
        </w:rPr>
        <w:t>Note: Some research in this category may be exempt from the DHHS regulations for the protection of human subjects. This listing refers only to research that is not exempt.</w:t>
      </w:r>
    </w:p>
    <w:p w14:paraId="1CF3C876" w14:textId="77777777" w:rsidR="006B6D46" w:rsidRPr="006B6D46" w:rsidRDefault="006B6D46" w:rsidP="00A07209">
      <w:pPr>
        <w:numPr>
          <w:ilvl w:val="3"/>
          <w:numId w:val="156"/>
        </w:numPr>
        <w:tabs>
          <w:tab w:val="num" w:pos="360"/>
        </w:tabs>
        <w:spacing w:after="120" w:line="240" w:lineRule="auto"/>
        <w:ind w:left="360"/>
      </w:pPr>
      <w:r>
        <w:t>Collection of data from voice, video, digital, or image recordings made for research purposes.</w:t>
      </w:r>
    </w:p>
    <w:p w14:paraId="4F5E1296" w14:textId="77777777" w:rsidR="006B6D46" w:rsidRPr="006B6D46" w:rsidRDefault="006B6D46" w:rsidP="00A07209">
      <w:pPr>
        <w:numPr>
          <w:ilvl w:val="3"/>
          <w:numId w:val="156"/>
        </w:numPr>
        <w:tabs>
          <w:tab w:val="num" w:pos="360"/>
        </w:tabs>
        <w:spacing w:after="120" w:line="240" w:lineRule="auto"/>
        <w:ind w:left="360"/>
      </w:pPr>
      <w:r>
        <w:t xml:space="preserve">Research on individual or group characteristics or behavior (including, but not limited to, research on perception, cognition, motivation, identity, language, communication, cultural beliefs or practices, and social behavior) or research employing survey, interview, oral history, focus group, program evaluation, human factors evaluation, or quality assurance methodologies. </w:t>
      </w:r>
      <w:r>
        <w:rPr>
          <w:i/>
          <w:iCs/>
        </w:rPr>
        <w:t>Note: Some research in this category may be exempt from the DHHS regulations for the protection of human subjects. This listing refers only to research that is not exempt.</w:t>
      </w:r>
    </w:p>
    <w:p w14:paraId="66FBD56A" w14:textId="77777777" w:rsidR="006B6D46" w:rsidRPr="006B6D46" w:rsidRDefault="006B6D46" w:rsidP="00A07209">
      <w:pPr>
        <w:numPr>
          <w:ilvl w:val="3"/>
          <w:numId w:val="156"/>
        </w:numPr>
        <w:tabs>
          <w:tab w:val="num" w:pos="360"/>
        </w:tabs>
        <w:spacing w:after="60" w:line="240" w:lineRule="auto"/>
        <w:ind w:left="360"/>
      </w:pPr>
      <w:r>
        <w:t>Continuing review of research previously approved by the convened IRB as follows:</w:t>
      </w:r>
    </w:p>
    <w:p w14:paraId="663723F0" w14:textId="77777777" w:rsidR="006B6D46" w:rsidRPr="006B6D46" w:rsidRDefault="006B6D46" w:rsidP="00A07209">
      <w:pPr>
        <w:numPr>
          <w:ilvl w:val="4"/>
          <w:numId w:val="156"/>
        </w:numPr>
        <w:tabs>
          <w:tab w:val="left" w:pos="720"/>
        </w:tabs>
        <w:spacing w:after="60" w:line="240" w:lineRule="auto"/>
        <w:ind w:left="1080" w:hanging="450"/>
      </w:pPr>
      <w:r>
        <w:t>Where the research is permanently closed to the enrollment of new subjects, all subjects have completed all research-related interventions, and the research remains active only for long-term follow-up of subjects, or</w:t>
      </w:r>
    </w:p>
    <w:p w14:paraId="6C6AA59F" w14:textId="77777777" w:rsidR="006B6D46" w:rsidRPr="006B6D46" w:rsidRDefault="006B6D46" w:rsidP="00A07209">
      <w:pPr>
        <w:numPr>
          <w:ilvl w:val="4"/>
          <w:numId w:val="156"/>
        </w:numPr>
        <w:tabs>
          <w:tab w:val="left" w:pos="720"/>
        </w:tabs>
        <w:spacing w:after="60" w:line="240" w:lineRule="auto"/>
        <w:ind w:left="1080" w:hanging="450"/>
      </w:pPr>
      <w:r>
        <w:t>Where no subjects have been enrolled and no additional risks have been identified, or</w:t>
      </w:r>
    </w:p>
    <w:p w14:paraId="5260B321" w14:textId="77777777" w:rsidR="006B6D46" w:rsidRPr="006B6D46" w:rsidRDefault="006B6D46" w:rsidP="00A07209">
      <w:pPr>
        <w:numPr>
          <w:ilvl w:val="4"/>
          <w:numId w:val="156"/>
        </w:numPr>
        <w:tabs>
          <w:tab w:val="left" w:pos="720"/>
        </w:tabs>
        <w:spacing w:after="120" w:line="240" w:lineRule="auto"/>
        <w:ind w:left="1080" w:hanging="450"/>
      </w:pPr>
      <w:r>
        <w:t>Where the remaining research activities are limited to data analysis.</w:t>
      </w:r>
    </w:p>
    <w:p w14:paraId="62C4E841" w14:textId="77777777" w:rsidR="22D851A6" w:rsidRPr="00471B9E" w:rsidRDefault="006B6D46" w:rsidP="00A07209">
      <w:pPr>
        <w:numPr>
          <w:ilvl w:val="0"/>
          <w:numId w:val="157"/>
        </w:numPr>
        <w:tabs>
          <w:tab w:val="num" w:pos="360"/>
        </w:tabs>
        <w:spacing w:after="0" w:line="240" w:lineRule="auto"/>
        <w:ind w:left="360"/>
      </w:pPr>
      <w:r>
        <w:rPr>
          <w:bCs/>
        </w:rPr>
        <w:t>Continuing review of research, not conducted under an investigational new drug application or investigational device exemption where categories two (2) through eight (8) do not apply, but the IRB has determined and documented at a convened meeting that the research involves no greater than minimal risk and no additional risks have been identified.</w:t>
      </w:r>
    </w:p>
    <w:p w14:paraId="370EFBB3" w14:textId="77777777" w:rsidR="00331664" w:rsidRDefault="00331664">
      <w:r>
        <w:br w:type="page"/>
      </w:r>
    </w:p>
    <w:p w14:paraId="54DAE60E" w14:textId="77777777" w:rsidR="007D03B6" w:rsidRPr="007D03B6" w:rsidRDefault="7CF24346" w:rsidP="00076836">
      <w:pPr>
        <w:pStyle w:val="Heading2"/>
      </w:pPr>
      <w:bookmarkStart w:id="271" w:name="_Toc1739814268"/>
      <w:bookmarkStart w:id="272" w:name="B11"/>
      <w:bookmarkStart w:id="273" w:name="_Toc212142208"/>
      <w:bookmarkStart w:id="274" w:name="_Toc225507748"/>
      <w:r>
        <w:lastRenderedPageBreak/>
        <w:t>Appendix B-11</w:t>
      </w:r>
      <w:bookmarkEnd w:id="271"/>
      <w:r>
        <w:t xml:space="preserve">   </w:t>
      </w:r>
      <w:bookmarkEnd w:id="272"/>
      <w:r>
        <w:t>Suspension and Termination of IRB-Approved Research</w:t>
      </w:r>
      <w:bookmarkEnd w:id="273"/>
      <w:bookmarkEnd w:id="274"/>
    </w:p>
    <w:p w14:paraId="6CB893BB" w14:textId="77777777" w:rsidR="007D03B6" w:rsidRPr="007D03B6" w:rsidRDefault="007D03B6" w:rsidP="007D03B6">
      <w:pPr>
        <w:spacing w:after="0" w:line="240" w:lineRule="auto"/>
        <w:rPr>
          <w:b/>
          <w:smallCaps/>
        </w:rPr>
      </w:pPr>
    </w:p>
    <w:p w14:paraId="00085550" w14:textId="77777777" w:rsidR="007D03B6" w:rsidRPr="007D03B6" w:rsidRDefault="007D03B6" w:rsidP="00A07209">
      <w:pPr>
        <w:numPr>
          <w:ilvl w:val="0"/>
          <w:numId w:val="181"/>
        </w:numPr>
        <w:tabs>
          <w:tab w:val="num" w:pos="360"/>
        </w:tabs>
        <w:spacing w:after="0" w:line="240" w:lineRule="auto"/>
        <w:rPr>
          <w:b/>
          <w:smallCaps/>
        </w:rPr>
      </w:pPr>
      <w:r>
        <w:rPr>
          <w:b/>
        </w:rPr>
        <w:t>Overview</w:t>
      </w:r>
    </w:p>
    <w:p w14:paraId="5ABD9296" w14:textId="77777777" w:rsidR="007D03B6" w:rsidRPr="007D03B6" w:rsidRDefault="007D03B6" w:rsidP="007D03B6">
      <w:pPr>
        <w:spacing w:after="0" w:line="240" w:lineRule="auto"/>
      </w:pPr>
    </w:p>
    <w:p w14:paraId="35AD6AFF" w14:textId="77777777" w:rsidR="007D03B6" w:rsidRPr="007D03B6" w:rsidRDefault="007D03B6" w:rsidP="007D03B6">
      <w:pPr>
        <w:spacing w:after="0" w:line="240" w:lineRule="auto"/>
        <w:ind w:left="360"/>
      </w:pPr>
      <w:r>
        <w:t>The IRBs have the authority to suspend or terminate previously approved research that is not being conducted in accordance with IRB requirements or that has been associated with unexpected serious harm to subjects.</w:t>
      </w:r>
    </w:p>
    <w:p w14:paraId="58EE8C55" w14:textId="77777777" w:rsidR="007D03B6" w:rsidRPr="007D03B6" w:rsidRDefault="007D03B6" w:rsidP="007D03B6">
      <w:pPr>
        <w:spacing w:after="0" w:line="240" w:lineRule="auto"/>
        <w:ind w:left="360"/>
      </w:pPr>
    </w:p>
    <w:p w14:paraId="528A6E99" w14:textId="77777777" w:rsidR="007D03B6" w:rsidRPr="007D03B6" w:rsidRDefault="007D03B6" w:rsidP="007D03B6">
      <w:pPr>
        <w:spacing w:after="0" w:line="240" w:lineRule="auto"/>
        <w:ind w:left="360"/>
      </w:pPr>
      <w:r>
        <w:t>This policy describes the conditions under which the IRBs may suspend or terminate previously approved research and the procedures to be followed when suspending or terminating previously approved research.</w:t>
      </w:r>
    </w:p>
    <w:p w14:paraId="23C1B5A1" w14:textId="77777777" w:rsidR="007D03B6" w:rsidRPr="007D03B6" w:rsidRDefault="007D03B6" w:rsidP="007D03B6">
      <w:pPr>
        <w:spacing w:after="0" w:line="240" w:lineRule="auto"/>
        <w:rPr>
          <w:b/>
          <w:smallCaps/>
        </w:rPr>
      </w:pPr>
    </w:p>
    <w:p w14:paraId="5961B75B" w14:textId="77777777" w:rsidR="007D03B6" w:rsidRPr="007D03B6" w:rsidRDefault="007D03B6" w:rsidP="00A07209">
      <w:pPr>
        <w:numPr>
          <w:ilvl w:val="0"/>
          <w:numId w:val="181"/>
        </w:numPr>
        <w:tabs>
          <w:tab w:val="num" w:pos="360"/>
        </w:tabs>
        <w:spacing w:after="0" w:line="240" w:lineRule="auto"/>
        <w:rPr>
          <w:b/>
          <w:smallCaps/>
        </w:rPr>
      </w:pPr>
      <w:r>
        <w:rPr>
          <w:b/>
        </w:rPr>
        <w:t>Definitions</w:t>
      </w:r>
    </w:p>
    <w:p w14:paraId="14C3FE0B" w14:textId="77777777" w:rsidR="007D03B6" w:rsidRPr="007D03B6" w:rsidRDefault="007D03B6" w:rsidP="007D03B6">
      <w:pPr>
        <w:spacing w:after="0" w:line="240" w:lineRule="auto"/>
      </w:pPr>
    </w:p>
    <w:p w14:paraId="3DF5B99F" w14:textId="77777777" w:rsidR="007D03B6" w:rsidRPr="007D03B6" w:rsidRDefault="007D03B6" w:rsidP="007D03B6">
      <w:pPr>
        <w:spacing w:after="0" w:line="240" w:lineRule="auto"/>
        <w:ind w:left="360"/>
      </w:pPr>
      <w:r>
        <w:rPr>
          <w:b/>
        </w:rPr>
        <w:t>Suspension</w:t>
      </w:r>
      <w:r>
        <w:t xml:space="preserve">: An action taken by the IRB chairs, vice chairs, or convened IRBs to withdraw approval for some research activities, temporarily or permanently, or all research activities temporarily, short of permanently withdrawing approval for all research activities. The institutional official may also suspend research on an urgent basis. </w:t>
      </w:r>
      <w:r>
        <w:rPr>
          <w:i/>
        </w:rPr>
        <w:t>Note: Similar actions taken by investigators or sponsors to stop research activities are not suspensions as described by HRPP policy.</w:t>
      </w:r>
    </w:p>
    <w:p w14:paraId="16DEE97F" w14:textId="77777777" w:rsidR="007D03B6" w:rsidRPr="007D03B6" w:rsidRDefault="007D03B6" w:rsidP="007D03B6">
      <w:pPr>
        <w:spacing w:after="0" w:line="240" w:lineRule="auto"/>
        <w:ind w:left="360"/>
        <w:rPr>
          <w:b/>
        </w:rPr>
      </w:pPr>
    </w:p>
    <w:p w14:paraId="00B073B9" w14:textId="77777777" w:rsidR="007D03B6" w:rsidRPr="007D03B6" w:rsidRDefault="007D03B6" w:rsidP="007D03B6">
      <w:pPr>
        <w:spacing w:after="0" w:line="240" w:lineRule="auto"/>
        <w:ind w:left="360"/>
      </w:pPr>
      <w:r>
        <w:rPr>
          <w:b/>
        </w:rPr>
        <w:t>Termination</w:t>
      </w:r>
      <w:r>
        <w:t xml:space="preserve">: An action taken by the convened IRBs to permanently withdraw approval for all research activities (except for those follow-up procedures that may be necessary to protect the health and/or welfare of participants). </w:t>
      </w:r>
      <w:r>
        <w:rPr>
          <w:i/>
        </w:rPr>
        <w:t>Note: Similar actions taken by investigators or sponsors to stop research activities are not terminations as described by HRPP policy.</w:t>
      </w:r>
    </w:p>
    <w:p w14:paraId="0C5437BB" w14:textId="77777777" w:rsidR="007D03B6" w:rsidRPr="007D03B6" w:rsidRDefault="007D03B6" w:rsidP="007D03B6">
      <w:pPr>
        <w:spacing w:after="0" w:line="240" w:lineRule="auto"/>
      </w:pPr>
    </w:p>
    <w:p w14:paraId="15EACB44" w14:textId="77777777" w:rsidR="007D03B6" w:rsidRPr="007D03B6" w:rsidRDefault="007D03B6" w:rsidP="007D03B6">
      <w:pPr>
        <w:tabs>
          <w:tab w:val="num" w:pos="360"/>
        </w:tabs>
        <w:spacing w:after="0" w:line="240" w:lineRule="auto"/>
        <w:rPr>
          <w:b/>
        </w:rPr>
      </w:pPr>
      <w:r>
        <w:rPr>
          <w:b/>
        </w:rPr>
        <w:t>3. General Information on Suspensions and Terminations</w:t>
      </w:r>
    </w:p>
    <w:p w14:paraId="6B84B5DF" w14:textId="77777777" w:rsidR="007D03B6" w:rsidRPr="007D03B6" w:rsidRDefault="007D03B6" w:rsidP="007D03B6">
      <w:pPr>
        <w:spacing w:after="0" w:line="240" w:lineRule="auto"/>
        <w:rPr>
          <w:b/>
        </w:rPr>
      </w:pPr>
    </w:p>
    <w:p w14:paraId="5D421D1D" w14:textId="77777777" w:rsidR="007D03B6" w:rsidRPr="007D03B6" w:rsidRDefault="007D03B6" w:rsidP="00A07209">
      <w:pPr>
        <w:numPr>
          <w:ilvl w:val="1"/>
          <w:numId w:val="181"/>
        </w:numPr>
        <w:spacing w:after="0" w:line="240" w:lineRule="auto"/>
        <w:ind w:left="720"/>
      </w:pPr>
      <w:r>
        <w:t>Information indicating that research is not being conducted in accordance with IRB requirements or that it has been associated with unexpected harm to subjects may arise from various sources, including (but not limited to) continuing reviews, event reports, allegations of potential noncompliance, and/or subject complaints.</w:t>
      </w:r>
    </w:p>
    <w:p w14:paraId="4C63D5C0" w14:textId="77777777" w:rsidR="007D03B6" w:rsidRPr="007D03B6" w:rsidRDefault="007D03B6" w:rsidP="007D03B6">
      <w:pPr>
        <w:spacing w:after="0" w:line="240" w:lineRule="auto"/>
        <w:ind w:left="720"/>
      </w:pPr>
    </w:p>
    <w:p w14:paraId="2D0BF607" w14:textId="77777777" w:rsidR="007D03B6" w:rsidRPr="007D03B6" w:rsidRDefault="007D03B6" w:rsidP="00A07209">
      <w:pPr>
        <w:numPr>
          <w:ilvl w:val="1"/>
          <w:numId w:val="181"/>
        </w:numPr>
        <w:spacing w:after="0" w:line="240" w:lineRule="auto"/>
        <w:ind w:left="720"/>
      </w:pPr>
      <w:r>
        <w:t>When further investigation is required to determine whether suspension or termination is warranted, the investigation will be conducted as described in HRPP policy [</w:t>
      </w:r>
      <w:hyperlink r:id="rId186" w:history="1">
        <w:r>
          <w:rPr>
            <w:color w:val="0000FF"/>
            <w:u w:val="single"/>
          </w:rPr>
          <w:t>Noncompliance</w:t>
        </w:r>
      </w:hyperlink>
      <w:r>
        <w:t>] or [</w:t>
      </w:r>
      <w:hyperlink r:id="rId187" w:history="1">
        <w:r>
          <w:rPr>
            <w:color w:val="0000FF"/>
            <w:u w:val="single"/>
          </w:rPr>
          <w:t>Event Reporting – Unanticipated Problems Involving Risks to Subjects or Others, Adverse Events, and Other Problems</w:t>
        </w:r>
      </w:hyperlink>
      <w:r>
        <w:t>].</w:t>
      </w:r>
    </w:p>
    <w:p w14:paraId="3EEA24C3" w14:textId="77777777" w:rsidR="007D03B6" w:rsidRPr="007D03B6" w:rsidRDefault="007D03B6" w:rsidP="007D03B6">
      <w:pPr>
        <w:spacing w:after="0" w:line="240" w:lineRule="auto"/>
      </w:pPr>
    </w:p>
    <w:p w14:paraId="37912BDA" w14:textId="77777777" w:rsidR="007D03B6" w:rsidRPr="007D03B6" w:rsidRDefault="007D03B6" w:rsidP="00A07209">
      <w:pPr>
        <w:numPr>
          <w:ilvl w:val="1"/>
          <w:numId w:val="181"/>
        </w:numPr>
        <w:spacing w:after="0" w:line="240" w:lineRule="auto"/>
        <w:ind w:left="720"/>
      </w:pPr>
      <w:r>
        <w:t>Corrective actions (e.g., modification of the research procedures, education for investigators and/or research staff) will be considered in association with suspensions or terminations as described in HRPP policy [</w:t>
      </w:r>
      <w:hyperlink r:id="rId188" w:history="1">
        <w:r>
          <w:rPr>
            <w:color w:val="0000FF"/>
            <w:u w:val="single"/>
          </w:rPr>
          <w:t>Noncompliance</w:t>
        </w:r>
      </w:hyperlink>
      <w:r>
        <w:t xml:space="preserve">] or </w:t>
      </w:r>
      <w:hyperlink r:id="rId189" w:history="1">
        <w:r>
          <w:rPr>
            <w:color w:val="0000FF"/>
            <w:u w:val="single"/>
          </w:rPr>
          <w:t>Event Reporting – Unanticipated Problems Involving Risks to Subjects or Others, Adverse Events, and Other Problems</w:t>
        </w:r>
      </w:hyperlink>
      <w:r>
        <w:t>].</w:t>
      </w:r>
    </w:p>
    <w:p w14:paraId="574C09F5" w14:textId="77777777" w:rsidR="007D03B6" w:rsidRPr="007D03B6" w:rsidRDefault="007D03B6" w:rsidP="007D03B6">
      <w:pPr>
        <w:spacing w:after="0" w:line="240" w:lineRule="auto"/>
      </w:pPr>
    </w:p>
    <w:p w14:paraId="1B26EBF3" w14:textId="77777777" w:rsidR="007D03B6" w:rsidRPr="007D03B6" w:rsidRDefault="007D03B6" w:rsidP="00A07209">
      <w:pPr>
        <w:numPr>
          <w:ilvl w:val="1"/>
          <w:numId w:val="181"/>
        </w:numPr>
        <w:spacing w:after="0" w:line="240" w:lineRule="auto"/>
        <w:ind w:left="720"/>
      </w:pPr>
      <w:r>
        <w:t>The IRBs will report all suspensions or terminations of IRB approval to IRB members, investigators, regulatory agencies, and institutional officials as described in HRPP policy [</w:t>
      </w:r>
      <w:hyperlink r:id="rId190" w:history="1">
        <w:r>
          <w:rPr>
            <w:color w:val="0000FF"/>
            <w:u w:val="single"/>
          </w:rPr>
          <w:t>IRB Reporting – Unanticipated Problems, Noncompliance, Suspensions, and Terminations</w:t>
        </w:r>
      </w:hyperlink>
      <w:r>
        <w:t>].</w:t>
      </w:r>
    </w:p>
    <w:p w14:paraId="3F368AFD" w14:textId="77777777" w:rsidR="007D03B6" w:rsidRPr="007D03B6" w:rsidRDefault="007D03B6" w:rsidP="007D03B6">
      <w:pPr>
        <w:spacing w:after="0" w:line="240" w:lineRule="auto"/>
      </w:pPr>
    </w:p>
    <w:p w14:paraId="2A7EF137" w14:textId="77777777" w:rsidR="007D03B6" w:rsidRPr="007D03B6" w:rsidRDefault="007D03B6" w:rsidP="00A07209">
      <w:pPr>
        <w:numPr>
          <w:ilvl w:val="0"/>
          <w:numId w:val="179"/>
        </w:numPr>
        <w:tabs>
          <w:tab w:val="num" w:pos="360"/>
        </w:tabs>
        <w:spacing w:after="0" w:line="240" w:lineRule="auto"/>
        <w:ind w:left="360"/>
        <w:rPr>
          <w:b/>
        </w:rPr>
      </w:pPr>
      <w:r>
        <w:rPr>
          <w:b/>
        </w:rPr>
        <w:t>Suspensions</w:t>
      </w:r>
    </w:p>
    <w:p w14:paraId="62F894A2" w14:textId="77777777" w:rsidR="007D03B6" w:rsidRPr="007D03B6" w:rsidRDefault="007D03B6" w:rsidP="007D03B6">
      <w:pPr>
        <w:spacing w:after="0" w:line="240" w:lineRule="auto"/>
        <w:ind w:left="720"/>
      </w:pPr>
    </w:p>
    <w:p w14:paraId="756AF9E4" w14:textId="77777777" w:rsidR="007D03B6" w:rsidRPr="007D03B6" w:rsidRDefault="007D03B6" w:rsidP="00A07209">
      <w:pPr>
        <w:numPr>
          <w:ilvl w:val="2"/>
          <w:numId w:val="181"/>
        </w:numPr>
        <w:spacing w:after="0" w:line="240" w:lineRule="auto"/>
        <w:ind w:left="720"/>
      </w:pPr>
      <w:r>
        <w:t>When there is reason to believe that research activities should be stopped, the IRB chair, vice chair, or applicable convened IRB may suspend approval of any or all research activities in order to protect participants. The institutional official may also suspend research, as needed, on an urgent basis.</w:t>
      </w:r>
    </w:p>
    <w:p w14:paraId="2401A760" w14:textId="77777777" w:rsidR="007D03B6" w:rsidRPr="007D03B6" w:rsidRDefault="007D03B6" w:rsidP="007D03B6">
      <w:pPr>
        <w:spacing w:after="0" w:line="240" w:lineRule="auto"/>
      </w:pPr>
    </w:p>
    <w:p w14:paraId="6E7ED7FA" w14:textId="77777777" w:rsidR="007D03B6" w:rsidRPr="007D03B6" w:rsidRDefault="007D03B6" w:rsidP="00A07209">
      <w:pPr>
        <w:numPr>
          <w:ilvl w:val="2"/>
          <w:numId w:val="181"/>
        </w:numPr>
        <w:spacing w:after="60" w:line="240" w:lineRule="auto"/>
        <w:ind w:left="720"/>
      </w:pPr>
      <w:r>
        <w:t>When IRB approval of research is suspended, the institutional official, IRB chairs, vice chairs, or convened IRBs will consider actions such as the following to protect the rights and welfare of participants, as appropriate:</w:t>
      </w:r>
    </w:p>
    <w:p w14:paraId="13308450" w14:textId="77777777" w:rsidR="007D03B6" w:rsidRPr="007D03B6" w:rsidRDefault="007D03B6" w:rsidP="00A07209">
      <w:pPr>
        <w:numPr>
          <w:ilvl w:val="3"/>
          <w:numId w:val="182"/>
        </w:numPr>
        <w:tabs>
          <w:tab w:val="left" w:pos="1440"/>
        </w:tabs>
        <w:spacing w:after="60" w:line="240" w:lineRule="auto"/>
      </w:pPr>
      <w:r>
        <w:lastRenderedPageBreak/>
        <w:t>Notification of current and/or former participants</w:t>
      </w:r>
    </w:p>
    <w:p w14:paraId="4750B985" w14:textId="77777777" w:rsidR="007D03B6" w:rsidRPr="007D03B6" w:rsidRDefault="007D03B6" w:rsidP="00A07209">
      <w:pPr>
        <w:numPr>
          <w:ilvl w:val="3"/>
          <w:numId w:val="182"/>
        </w:numPr>
        <w:tabs>
          <w:tab w:val="left" w:pos="1440"/>
        </w:tabs>
        <w:spacing w:after="60" w:line="240" w:lineRule="auto"/>
      </w:pPr>
      <w:r>
        <w:t>Transferring responsibility for the research and participants to another investigator</w:t>
      </w:r>
    </w:p>
    <w:p w14:paraId="7EE9EF97" w14:textId="77777777" w:rsidR="007D03B6" w:rsidRPr="007D03B6" w:rsidRDefault="007D03B6" w:rsidP="00A07209">
      <w:pPr>
        <w:numPr>
          <w:ilvl w:val="3"/>
          <w:numId w:val="182"/>
        </w:numPr>
        <w:tabs>
          <w:tab w:val="left" w:pos="1440"/>
        </w:tabs>
        <w:spacing w:after="60" w:line="240" w:lineRule="auto"/>
      </w:pPr>
      <w:r>
        <w:t>Continuation of participants in the research with an independent monitor</w:t>
      </w:r>
    </w:p>
    <w:p w14:paraId="6F99709C" w14:textId="77777777" w:rsidR="007D03B6" w:rsidRPr="007D03B6" w:rsidRDefault="007D03B6" w:rsidP="00A07209">
      <w:pPr>
        <w:numPr>
          <w:ilvl w:val="3"/>
          <w:numId w:val="182"/>
        </w:numPr>
        <w:tabs>
          <w:tab w:val="left" w:pos="1440"/>
        </w:tabs>
        <w:spacing w:after="60" w:line="240" w:lineRule="auto"/>
      </w:pPr>
      <w:r>
        <w:t>Withdrawal of current participants from the research</w:t>
      </w:r>
    </w:p>
    <w:p w14:paraId="6C81FB25" w14:textId="77777777" w:rsidR="007D03B6" w:rsidRPr="007D03B6" w:rsidRDefault="007D03B6" w:rsidP="00A07209">
      <w:pPr>
        <w:numPr>
          <w:ilvl w:val="3"/>
          <w:numId w:val="182"/>
        </w:numPr>
        <w:tabs>
          <w:tab w:val="left" w:pos="1440"/>
        </w:tabs>
        <w:spacing w:after="60" w:line="240" w:lineRule="auto"/>
      </w:pPr>
      <w:r>
        <w:t>Requiring arrangements for care of participants outside the research</w:t>
      </w:r>
    </w:p>
    <w:p w14:paraId="518C98A0" w14:textId="77777777" w:rsidR="007D03B6" w:rsidRPr="007D03B6" w:rsidRDefault="007D03B6" w:rsidP="00A07209">
      <w:pPr>
        <w:numPr>
          <w:ilvl w:val="3"/>
          <w:numId w:val="182"/>
        </w:numPr>
        <w:tabs>
          <w:tab w:val="left" w:pos="1440"/>
        </w:tabs>
        <w:spacing w:after="60" w:line="240" w:lineRule="auto"/>
      </w:pPr>
      <w:r>
        <w:t>Requiring or permitting follow-up of participants (e.g., for safety reasons)</w:t>
      </w:r>
    </w:p>
    <w:p w14:paraId="19C81868" w14:textId="77777777" w:rsidR="007D03B6" w:rsidRPr="007D03B6" w:rsidRDefault="007D03B6" w:rsidP="00A07209">
      <w:pPr>
        <w:numPr>
          <w:ilvl w:val="3"/>
          <w:numId w:val="182"/>
        </w:numPr>
        <w:tabs>
          <w:tab w:val="left" w:pos="1440"/>
        </w:tabs>
        <w:spacing w:after="0" w:line="240" w:lineRule="auto"/>
      </w:pPr>
      <w:r>
        <w:t>Arranging for compensation of current and/or former participants</w:t>
      </w:r>
    </w:p>
    <w:p w14:paraId="2C5CFEF0" w14:textId="77777777" w:rsidR="007D03B6" w:rsidRPr="007D03B6" w:rsidRDefault="007D03B6" w:rsidP="007D03B6">
      <w:pPr>
        <w:spacing w:after="0" w:line="240" w:lineRule="auto"/>
      </w:pPr>
    </w:p>
    <w:p w14:paraId="06ACF6A9" w14:textId="77777777" w:rsidR="007D03B6" w:rsidRPr="007D03B6" w:rsidRDefault="007D03B6" w:rsidP="00A07209">
      <w:pPr>
        <w:numPr>
          <w:ilvl w:val="2"/>
          <w:numId w:val="181"/>
        </w:numPr>
        <w:spacing w:after="0" w:line="240" w:lineRule="auto"/>
        <w:ind w:left="720"/>
      </w:pPr>
      <w:r>
        <w:t>When participants are to be withdrawn from the research, the institutional official, IRB chairs, vice chairs, or convened IRBs will evaluate whether the procedures for withdrawal consider the rights and welfare of enrolled participants.</w:t>
      </w:r>
    </w:p>
    <w:p w14:paraId="347F7116" w14:textId="77777777" w:rsidR="007D03B6" w:rsidRPr="007D03B6" w:rsidRDefault="007D03B6" w:rsidP="007D03B6">
      <w:pPr>
        <w:spacing w:after="0" w:line="240" w:lineRule="auto"/>
        <w:ind w:left="720"/>
      </w:pPr>
    </w:p>
    <w:p w14:paraId="18221B9B" w14:textId="77777777" w:rsidR="007D03B6" w:rsidRPr="007D03B6" w:rsidRDefault="007D03B6" w:rsidP="00A07209">
      <w:pPr>
        <w:numPr>
          <w:ilvl w:val="2"/>
          <w:numId w:val="181"/>
        </w:numPr>
        <w:spacing w:after="0" w:line="240" w:lineRule="auto"/>
        <w:ind w:left="720"/>
      </w:pPr>
      <w:r>
        <w:t>When study approval is suspended, the reason(s) will be communicated to the investigator(s), along with any actions required to protect the rights and welfare of current or past research participants. Other IRBs responsible for oversight of the investigator(s)’ research will also be notified, if applicable.</w:t>
      </w:r>
    </w:p>
    <w:p w14:paraId="6F89CF24" w14:textId="77777777" w:rsidR="007D03B6" w:rsidRPr="007D03B6" w:rsidRDefault="007D03B6" w:rsidP="007D03B6">
      <w:pPr>
        <w:spacing w:after="0" w:line="240" w:lineRule="auto"/>
        <w:ind w:left="720"/>
      </w:pPr>
    </w:p>
    <w:p w14:paraId="14DC7D02" w14:textId="77777777" w:rsidR="007D03B6" w:rsidRPr="007D03B6" w:rsidRDefault="007D03B6" w:rsidP="00A07209">
      <w:pPr>
        <w:numPr>
          <w:ilvl w:val="2"/>
          <w:numId w:val="181"/>
        </w:numPr>
        <w:spacing w:after="60" w:line="240" w:lineRule="auto"/>
        <w:ind w:left="720"/>
      </w:pPr>
      <w:r>
        <w:t>Suspensions of approval may be lifted by the institutional official, IRB chairs, vice chairs, or convened IRBs if there are no longer concerns about:</w:t>
      </w:r>
    </w:p>
    <w:p w14:paraId="69B482FA" w14:textId="77777777" w:rsidR="007D03B6" w:rsidRPr="007D03B6" w:rsidRDefault="007D03B6" w:rsidP="00A07209">
      <w:pPr>
        <w:numPr>
          <w:ilvl w:val="3"/>
          <w:numId w:val="181"/>
        </w:numPr>
        <w:spacing w:after="60" w:line="240" w:lineRule="auto"/>
        <w:ind w:left="1440"/>
      </w:pPr>
      <w:r>
        <w:t>Potential harm(s) to research participants</w:t>
      </w:r>
    </w:p>
    <w:p w14:paraId="4D119513" w14:textId="77777777" w:rsidR="007D03B6" w:rsidRPr="007D03B6" w:rsidRDefault="007D03B6" w:rsidP="00A07209">
      <w:pPr>
        <w:numPr>
          <w:ilvl w:val="3"/>
          <w:numId w:val="181"/>
        </w:numPr>
        <w:spacing w:after="60" w:line="240" w:lineRule="auto"/>
        <w:ind w:left="1440"/>
      </w:pPr>
      <w:r>
        <w:t>Investigator or research staff noncompliance</w:t>
      </w:r>
    </w:p>
    <w:p w14:paraId="3690D517" w14:textId="77777777" w:rsidR="007D03B6" w:rsidRPr="007D03B6" w:rsidRDefault="007D03B6" w:rsidP="00A07209">
      <w:pPr>
        <w:numPr>
          <w:ilvl w:val="3"/>
          <w:numId w:val="181"/>
        </w:numPr>
        <w:spacing w:after="0" w:line="240" w:lineRule="auto"/>
        <w:ind w:left="1440"/>
      </w:pPr>
      <w:r>
        <w:t>Other issues that were related to or resulted in suspension (e.g., drug manufacturer’s recall)</w:t>
      </w:r>
    </w:p>
    <w:p w14:paraId="6D4BAF5D" w14:textId="77777777" w:rsidR="007D03B6" w:rsidRPr="007D03B6" w:rsidRDefault="007D03B6" w:rsidP="007D03B6">
      <w:pPr>
        <w:spacing w:after="0" w:line="240" w:lineRule="auto"/>
        <w:ind w:left="720"/>
      </w:pPr>
    </w:p>
    <w:p w14:paraId="0B938517" w14:textId="77777777" w:rsidR="007D03B6" w:rsidRPr="007D03B6" w:rsidRDefault="007D03B6" w:rsidP="00A07209">
      <w:pPr>
        <w:numPr>
          <w:ilvl w:val="2"/>
          <w:numId w:val="181"/>
        </w:numPr>
        <w:spacing w:after="0" w:line="240" w:lineRule="auto"/>
        <w:ind w:left="720"/>
      </w:pPr>
      <w:r>
        <w:t>Modifications made to the research (if any) as a result of the suspension will be reviewed by the convened IRBs when changes represent more than minor changes, as defined by HRPP policy [</w:t>
      </w:r>
      <w:hyperlink r:id="rId191" w:history="1">
        <w:r>
          <w:rPr>
            <w:color w:val="0000FF"/>
            <w:u w:val="single"/>
          </w:rPr>
          <w:t>Expedited and Administrative Review Procedures</w:t>
        </w:r>
      </w:hyperlink>
      <w:r>
        <w:t>].</w:t>
      </w:r>
    </w:p>
    <w:p w14:paraId="35657209" w14:textId="77777777" w:rsidR="007D03B6" w:rsidRPr="007D03B6" w:rsidRDefault="007D03B6" w:rsidP="007D03B6">
      <w:pPr>
        <w:spacing w:after="0" w:line="240" w:lineRule="auto"/>
        <w:ind w:left="720"/>
      </w:pPr>
    </w:p>
    <w:p w14:paraId="0FD4A355" w14:textId="77777777" w:rsidR="007D03B6" w:rsidRPr="007E3864" w:rsidRDefault="007D03B6" w:rsidP="00A07209">
      <w:pPr>
        <w:numPr>
          <w:ilvl w:val="2"/>
          <w:numId w:val="181"/>
        </w:numPr>
        <w:spacing w:after="0" w:line="240" w:lineRule="auto"/>
        <w:ind w:left="720"/>
      </w:pPr>
      <w:r>
        <w:t>When the chair, vice chair, or institutional official suspends research, the suspension will be reported to the applicable convened IRB at the next available meeting. The convened IRB will determine whether to continue the suspension, re-instate IRB approval, or terminate approval of the research.</w:t>
      </w:r>
    </w:p>
    <w:p w14:paraId="6B8AA21B" w14:textId="77777777" w:rsidR="007D03B6" w:rsidRPr="007D03B6" w:rsidRDefault="007D03B6" w:rsidP="007D03B6">
      <w:pPr>
        <w:spacing w:after="0" w:line="240" w:lineRule="auto"/>
      </w:pPr>
    </w:p>
    <w:p w14:paraId="4079E8C9" w14:textId="77777777" w:rsidR="007D03B6" w:rsidRPr="007D03B6" w:rsidRDefault="007D03B6" w:rsidP="00A07209">
      <w:pPr>
        <w:numPr>
          <w:ilvl w:val="0"/>
          <w:numId w:val="180"/>
        </w:numPr>
        <w:tabs>
          <w:tab w:val="num" w:pos="360"/>
        </w:tabs>
        <w:spacing w:after="0" w:line="240" w:lineRule="auto"/>
        <w:rPr>
          <w:b/>
        </w:rPr>
      </w:pPr>
      <w:r>
        <w:rPr>
          <w:b/>
        </w:rPr>
        <w:t>Terminations</w:t>
      </w:r>
    </w:p>
    <w:p w14:paraId="1FE42DFB" w14:textId="77777777" w:rsidR="007D03B6" w:rsidRPr="007D03B6" w:rsidRDefault="007D03B6" w:rsidP="007D03B6">
      <w:pPr>
        <w:spacing w:after="0" w:line="240" w:lineRule="auto"/>
      </w:pPr>
    </w:p>
    <w:p w14:paraId="0FC4AA30" w14:textId="77777777" w:rsidR="007D03B6" w:rsidRPr="007D03B6" w:rsidRDefault="007D03B6" w:rsidP="00A07209">
      <w:pPr>
        <w:numPr>
          <w:ilvl w:val="2"/>
          <w:numId w:val="180"/>
        </w:numPr>
        <w:tabs>
          <w:tab w:val="left" w:pos="720"/>
        </w:tabs>
        <w:spacing w:after="0" w:line="240" w:lineRule="auto"/>
        <w:ind w:left="720"/>
        <w:rPr>
          <w:i/>
        </w:rPr>
      </w:pPr>
      <w:r>
        <w:t>The convened IRBs may terminate previously approved research when the research is not being conducted in accordance with IRB requirements or when the research is associated with unexpected serious harm to subjects as described in HRPP policy [</w:t>
      </w:r>
      <w:hyperlink r:id="rId192" w:history="1">
        <w:r>
          <w:rPr>
            <w:color w:val="0000FF"/>
            <w:u w:val="single"/>
          </w:rPr>
          <w:t>Noncompliance</w:t>
        </w:r>
      </w:hyperlink>
      <w:r>
        <w:t>] and [</w:t>
      </w:r>
      <w:hyperlink r:id="rId193" w:history="1">
        <w:r>
          <w:rPr>
            <w:color w:val="0000FF"/>
            <w:u w:val="single"/>
          </w:rPr>
          <w:t>Event Reporting – Unanticipated Problems Involving Risks to Subjects or Others, Adverse Events, and Other Problems</w:t>
        </w:r>
      </w:hyperlink>
      <w:r>
        <w:t xml:space="preserve">]. </w:t>
      </w:r>
      <w:r>
        <w:rPr>
          <w:i/>
        </w:rPr>
        <w:t>Note: Similar actions taken by investigators or sponsors to stop research activities are not terminations as described by this policy.</w:t>
      </w:r>
    </w:p>
    <w:p w14:paraId="06C1A92A" w14:textId="77777777" w:rsidR="007D03B6" w:rsidRPr="007D03B6" w:rsidRDefault="007D03B6" w:rsidP="007D03B6">
      <w:pPr>
        <w:tabs>
          <w:tab w:val="left" w:pos="720"/>
        </w:tabs>
        <w:spacing w:after="0" w:line="240" w:lineRule="auto"/>
        <w:ind w:left="720"/>
      </w:pPr>
    </w:p>
    <w:p w14:paraId="4E836CCD" w14:textId="77777777" w:rsidR="007D03B6" w:rsidRPr="007D03B6" w:rsidRDefault="007D03B6" w:rsidP="00A07209">
      <w:pPr>
        <w:numPr>
          <w:ilvl w:val="2"/>
          <w:numId w:val="180"/>
        </w:numPr>
        <w:tabs>
          <w:tab w:val="left" w:pos="720"/>
        </w:tabs>
        <w:spacing w:after="60" w:line="240" w:lineRule="auto"/>
        <w:ind w:left="720"/>
      </w:pPr>
      <w:r>
        <w:t>When IRB approval of research is terminated, the convened IRBs will consider actions such as the following to protect the rights and welfare of participants, as appropriate:</w:t>
      </w:r>
    </w:p>
    <w:p w14:paraId="22F1C553" w14:textId="77777777" w:rsidR="007D03B6" w:rsidRPr="007D03B6" w:rsidRDefault="007D03B6" w:rsidP="00A07209">
      <w:pPr>
        <w:numPr>
          <w:ilvl w:val="3"/>
          <w:numId w:val="180"/>
        </w:numPr>
        <w:spacing w:after="60" w:line="240" w:lineRule="auto"/>
        <w:ind w:left="1440"/>
      </w:pPr>
      <w:r>
        <w:t>Notification of current and/or former participants</w:t>
      </w:r>
    </w:p>
    <w:p w14:paraId="302BB441" w14:textId="77777777" w:rsidR="007D03B6" w:rsidRPr="007D03B6" w:rsidRDefault="007D03B6" w:rsidP="00A07209">
      <w:pPr>
        <w:numPr>
          <w:ilvl w:val="3"/>
          <w:numId w:val="180"/>
        </w:numPr>
        <w:spacing w:after="60" w:line="240" w:lineRule="auto"/>
        <w:ind w:left="1440"/>
      </w:pPr>
      <w:r>
        <w:t>Transferring responsibility for research participants to another investigator</w:t>
      </w:r>
    </w:p>
    <w:p w14:paraId="17AEF6CF" w14:textId="77777777" w:rsidR="007D03B6" w:rsidRPr="007D03B6" w:rsidRDefault="007D03B6" w:rsidP="00A07209">
      <w:pPr>
        <w:numPr>
          <w:ilvl w:val="3"/>
          <w:numId w:val="180"/>
        </w:numPr>
        <w:spacing w:after="60" w:line="240" w:lineRule="auto"/>
        <w:ind w:left="1440"/>
      </w:pPr>
      <w:r>
        <w:t>Withdrawal of current participants from the research</w:t>
      </w:r>
    </w:p>
    <w:p w14:paraId="2E3F2AD5" w14:textId="77777777" w:rsidR="007D03B6" w:rsidRPr="007D03B6" w:rsidRDefault="007D03B6" w:rsidP="00A07209">
      <w:pPr>
        <w:numPr>
          <w:ilvl w:val="3"/>
          <w:numId w:val="180"/>
        </w:numPr>
        <w:spacing w:after="60" w:line="240" w:lineRule="auto"/>
        <w:ind w:left="1440"/>
      </w:pPr>
      <w:r>
        <w:t>Requiring arrangements for care of participants outside the research</w:t>
      </w:r>
    </w:p>
    <w:p w14:paraId="485AF9BB" w14:textId="77777777" w:rsidR="007D03B6" w:rsidRPr="007D03B6" w:rsidRDefault="007D03B6" w:rsidP="00A07209">
      <w:pPr>
        <w:numPr>
          <w:ilvl w:val="3"/>
          <w:numId w:val="180"/>
        </w:numPr>
        <w:spacing w:after="60" w:line="240" w:lineRule="auto"/>
        <w:ind w:left="1440"/>
      </w:pPr>
      <w:r>
        <w:t>Requiring or permitting follow-up of participants (e.g., for safety reasons)</w:t>
      </w:r>
    </w:p>
    <w:p w14:paraId="652B584B" w14:textId="77777777" w:rsidR="007D03B6" w:rsidRPr="007D03B6" w:rsidRDefault="007D03B6" w:rsidP="00A07209">
      <w:pPr>
        <w:numPr>
          <w:ilvl w:val="3"/>
          <w:numId w:val="180"/>
        </w:numPr>
        <w:tabs>
          <w:tab w:val="left" w:pos="1440"/>
        </w:tabs>
        <w:spacing w:after="0" w:line="240" w:lineRule="auto"/>
        <w:ind w:hanging="288"/>
      </w:pPr>
      <w:r>
        <w:t>Arranging for compensation of current and/or former participants</w:t>
      </w:r>
    </w:p>
    <w:p w14:paraId="4AE71B86" w14:textId="77777777" w:rsidR="007D03B6" w:rsidRPr="007D03B6" w:rsidRDefault="007D03B6" w:rsidP="007D03B6">
      <w:pPr>
        <w:spacing w:after="0" w:line="240" w:lineRule="auto"/>
        <w:ind w:left="1080"/>
      </w:pPr>
    </w:p>
    <w:p w14:paraId="1F17BB33" w14:textId="77777777" w:rsidR="007D03B6" w:rsidRPr="007D03B6" w:rsidDel="0028786D" w:rsidRDefault="007D03B6" w:rsidP="00A07209">
      <w:pPr>
        <w:numPr>
          <w:ilvl w:val="2"/>
          <w:numId w:val="180"/>
        </w:numPr>
        <w:spacing w:after="0" w:line="240" w:lineRule="auto"/>
        <w:ind w:left="720"/>
      </w:pPr>
      <w:r>
        <w:lastRenderedPageBreak/>
        <w:t>When participants are to be withdrawn from the research, the convened IRBs will evaluate whether the procedures for withdrawal consider the rights and welfare of enrolled participants.</w:t>
      </w:r>
    </w:p>
    <w:p w14:paraId="6C754CFF" w14:textId="77777777" w:rsidR="007D03B6" w:rsidRPr="007D03B6" w:rsidRDefault="007D03B6" w:rsidP="007D03B6">
      <w:pPr>
        <w:spacing w:after="0" w:line="240" w:lineRule="auto"/>
        <w:ind w:left="720"/>
      </w:pPr>
    </w:p>
    <w:p w14:paraId="6B17B8B0" w14:textId="77777777" w:rsidR="007D03B6" w:rsidRPr="007D03B6" w:rsidRDefault="007D03B6" w:rsidP="00A07209">
      <w:pPr>
        <w:numPr>
          <w:ilvl w:val="2"/>
          <w:numId w:val="180"/>
        </w:numPr>
        <w:spacing w:after="0" w:line="240" w:lineRule="auto"/>
        <w:ind w:left="720"/>
      </w:pPr>
      <w:r>
        <w:t>When study approval is terminated, the reason(s) will be communicated to the investigator(s), along with any actions required to protect the rights and welfare of current or past research participants. Other IRBs responsible for oversight of the investigator(s)’ research will also be notified, if applicable.</w:t>
      </w:r>
    </w:p>
    <w:p w14:paraId="08152111" w14:textId="77777777" w:rsidR="007D03B6" w:rsidRPr="007D03B6" w:rsidRDefault="007D03B6" w:rsidP="007D03B6">
      <w:pPr>
        <w:spacing w:after="0" w:line="240" w:lineRule="auto"/>
      </w:pPr>
    </w:p>
    <w:p w14:paraId="2DA236A9" w14:textId="77777777" w:rsidR="007D03B6" w:rsidRPr="007D03B6" w:rsidRDefault="007D03B6" w:rsidP="00A07209">
      <w:pPr>
        <w:numPr>
          <w:ilvl w:val="0"/>
          <w:numId w:val="180"/>
        </w:numPr>
        <w:tabs>
          <w:tab w:val="num" w:pos="360"/>
        </w:tabs>
        <w:spacing w:after="0" w:line="240" w:lineRule="auto"/>
        <w:rPr>
          <w:b/>
        </w:rPr>
      </w:pPr>
      <w:r>
        <w:rPr>
          <w:b/>
        </w:rPr>
        <w:t>Investigator Responsibilities</w:t>
      </w:r>
    </w:p>
    <w:p w14:paraId="4317AEB0" w14:textId="77777777" w:rsidR="007D03B6" w:rsidRPr="007D03B6" w:rsidRDefault="007D03B6" w:rsidP="007D03B6">
      <w:pPr>
        <w:spacing w:after="0" w:line="240" w:lineRule="auto"/>
        <w:ind w:left="720"/>
      </w:pPr>
    </w:p>
    <w:p w14:paraId="7E955FBD" w14:textId="77777777" w:rsidR="007D03B6" w:rsidRPr="007D03B6" w:rsidRDefault="007D03B6" w:rsidP="007D03B6">
      <w:pPr>
        <w:spacing w:after="60" w:line="240" w:lineRule="auto"/>
        <w:ind w:left="360"/>
      </w:pPr>
      <w:r>
        <w:t>Upon notification that research has been suspended or terminated by the IRB, the investigator(s) is responsible for the following:</w:t>
      </w:r>
    </w:p>
    <w:p w14:paraId="4386D2A4" w14:textId="77777777" w:rsidR="007D03B6" w:rsidRPr="007D03B6" w:rsidRDefault="007D03B6" w:rsidP="00A07209">
      <w:pPr>
        <w:numPr>
          <w:ilvl w:val="3"/>
          <w:numId w:val="180"/>
        </w:numPr>
        <w:spacing w:after="60" w:line="240" w:lineRule="auto"/>
        <w:ind w:left="1080"/>
      </w:pPr>
      <w:r>
        <w:t>Stopping enrollment and research activities as required by the IRB</w:t>
      </w:r>
    </w:p>
    <w:p w14:paraId="264BB685" w14:textId="77777777" w:rsidR="007D03B6" w:rsidRPr="007D03B6" w:rsidRDefault="007D03B6" w:rsidP="00A07209">
      <w:pPr>
        <w:numPr>
          <w:ilvl w:val="3"/>
          <w:numId w:val="180"/>
        </w:numPr>
        <w:spacing w:after="60" w:line="240" w:lineRule="auto"/>
        <w:ind w:left="1080"/>
      </w:pPr>
      <w:r>
        <w:t>Cooperating with any investigation directed by the IRB or IRB Investigative Committee</w:t>
      </w:r>
    </w:p>
    <w:p w14:paraId="41A5D718" w14:textId="77777777" w:rsidR="007D03B6" w:rsidRPr="007D03B6" w:rsidRDefault="007D03B6" w:rsidP="00A07209">
      <w:pPr>
        <w:numPr>
          <w:ilvl w:val="3"/>
          <w:numId w:val="180"/>
        </w:numPr>
        <w:spacing w:after="60" w:line="240" w:lineRule="auto"/>
        <w:ind w:left="1080"/>
      </w:pPr>
      <w:r>
        <w:t>Assisting with and/or carrying out actions required by the IRB to protect the rights and welfare of participants (e.g., notification, withdrawal, follow-up, etc.)</w:t>
      </w:r>
    </w:p>
    <w:p w14:paraId="12399833" w14:textId="77777777" w:rsidR="007D03B6" w:rsidRPr="007E3864" w:rsidRDefault="007D03B6" w:rsidP="00A07209">
      <w:pPr>
        <w:numPr>
          <w:ilvl w:val="3"/>
          <w:numId w:val="180"/>
        </w:numPr>
        <w:spacing w:after="0" w:line="240" w:lineRule="auto"/>
        <w:ind w:left="1080"/>
      </w:pPr>
      <w:r>
        <w:t>Reporting to the IRB any adverse events or outcomes encountered during suspension or termination of the research in accordance with HRPP policy [</w:t>
      </w:r>
      <w:hyperlink r:id="rId194" w:history="1">
        <w:r>
          <w:rPr>
            <w:color w:val="0000FF"/>
            <w:u w:val="single"/>
          </w:rPr>
          <w:t>Event Reporting – Unanticipated Problems Involving Risks to Subjects or Others, Adverse Events, and Other Problems</w:t>
        </w:r>
      </w:hyperlink>
      <w:r>
        <w:t xml:space="preserve">] </w:t>
      </w:r>
    </w:p>
    <w:p w14:paraId="4690A642" w14:textId="77777777" w:rsidR="007D03B6" w:rsidRPr="007D03B6" w:rsidRDefault="007D03B6" w:rsidP="007D03B6">
      <w:pPr>
        <w:spacing w:after="0" w:line="240" w:lineRule="auto"/>
        <w:ind w:left="1080"/>
        <w:rPr>
          <w:bCs/>
          <w:color w:val="000000"/>
        </w:rPr>
      </w:pPr>
    </w:p>
    <w:p w14:paraId="364701A0" w14:textId="77777777" w:rsidR="007D03B6" w:rsidRPr="007E3864" w:rsidRDefault="007D03B6" w:rsidP="00A07209">
      <w:pPr>
        <w:pStyle w:val="ListParagraph"/>
        <w:numPr>
          <w:ilvl w:val="0"/>
          <w:numId w:val="180"/>
        </w:numPr>
        <w:tabs>
          <w:tab w:val="num" w:pos="360"/>
        </w:tabs>
        <w:spacing w:after="0" w:line="240" w:lineRule="auto"/>
      </w:pPr>
      <w:r>
        <w:rPr>
          <w:b/>
        </w:rPr>
        <w:t>Applicable Regulations/Guidance</w:t>
      </w:r>
    </w:p>
    <w:p w14:paraId="5D16342F" w14:textId="77777777" w:rsidR="007D03B6" w:rsidRPr="007D03B6" w:rsidRDefault="007D03B6" w:rsidP="007D03B6">
      <w:pPr>
        <w:spacing w:after="0" w:line="240" w:lineRule="auto"/>
        <w:ind w:left="360"/>
      </w:pPr>
    </w:p>
    <w:p w14:paraId="37DCDFD8" w14:textId="77777777" w:rsidR="007D03B6" w:rsidRPr="007D03B6" w:rsidRDefault="007D03B6" w:rsidP="007D03B6">
      <w:pPr>
        <w:spacing w:after="0" w:line="240" w:lineRule="auto"/>
        <w:ind w:left="360"/>
      </w:pPr>
      <w:r>
        <w:t>21 CFR 56.108, 21 CFR 56.113, 45 CFR 46.103, 45 CFR 46.113, OHRP “Guidance on Reporting Incidents to OHRP” (06/20/11)</w:t>
      </w:r>
    </w:p>
    <w:p w14:paraId="2F84231B" w14:textId="77777777" w:rsidR="007D03B6" w:rsidRPr="007D03B6" w:rsidRDefault="007D03B6" w:rsidP="007D03B6">
      <w:pPr>
        <w:spacing w:after="0" w:line="240" w:lineRule="auto"/>
        <w:ind w:left="360"/>
      </w:pPr>
    </w:p>
    <w:p w14:paraId="7B43A124" w14:textId="77777777" w:rsidR="007D03B6" w:rsidRPr="007D03B6" w:rsidRDefault="007D03B6" w:rsidP="00A07209">
      <w:pPr>
        <w:numPr>
          <w:ilvl w:val="0"/>
          <w:numId w:val="180"/>
        </w:numPr>
        <w:spacing w:after="0" w:line="240" w:lineRule="auto"/>
        <w:rPr>
          <w:b/>
        </w:rPr>
      </w:pPr>
      <w:r>
        <w:rPr>
          <w:b/>
        </w:rPr>
        <w:t>History</w:t>
      </w:r>
    </w:p>
    <w:p w14:paraId="6C89D637" w14:textId="77777777" w:rsidR="007D03B6" w:rsidRPr="007D03B6" w:rsidRDefault="007D03B6" w:rsidP="007D03B6">
      <w:pPr>
        <w:spacing w:after="0" w:line="240" w:lineRule="auto"/>
        <w:ind w:left="360"/>
      </w:pPr>
      <w:r>
        <w:t>Issued: 07/21/2008</w:t>
      </w:r>
    </w:p>
    <w:p w14:paraId="7EEBEACC" w14:textId="77777777" w:rsidR="007D03B6" w:rsidRPr="007D03B6" w:rsidRDefault="007D03B6" w:rsidP="007D03B6">
      <w:pPr>
        <w:spacing w:after="0" w:line="240" w:lineRule="auto"/>
        <w:ind w:left="360"/>
      </w:pPr>
      <w:r>
        <w:t>Revised: 04/28/2009, 05/19/2012, 06/14/2016</w:t>
      </w:r>
    </w:p>
    <w:p w14:paraId="3B9B86D3" w14:textId="77777777" w:rsidR="007D03B6" w:rsidRPr="007D03B6" w:rsidRDefault="007D03B6" w:rsidP="007D03B6">
      <w:pPr>
        <w:spacing w:after="0" w:line="240" w:lineRule="auto"/>
        <w:ind w:left="360"/>
      </w:pPr>
      <w:r>
        <w:t>Edited: 05/06/19, 01/14/2022, 04/20/2022</w:t>
      </w:r>
    </w:p>
    <w:p w14:paraId="58902A16" w14:textId="77777777" w:rsidR="0AC94FA0" w:rsidRDefault="0AC94FA0" w:rsidP="007D03B6">
      <w:pPr>
        <w:pStyle w:val="Heading2"/>
      </w:pPr>
    </w:p>
    <w:p w14:paraId="2DAB7B3D" w14:textId="77777777" w:rsidR="00331664" w:rsidRDefault="00331664">
      <w:pPr>
        <w:rPr>
          <w:i/>
          <w:iCs/>
        </w:rPr>
      </w:pPr>
      <w:r>
        <w:rPr>
          <w:i/>
          <w:iCs/>
        </w:rPr>
        <w:br w:type="page"/>
      </w:r>
    </w:p>
    <w:p w14:paraId="26A3A68F" w14:textId="77777777" w:rsidR="005B32D0" w:rsidRPr="005B32D0" w:rsidRDefault="1AF5D2BF" w:rsidP="00471B9E">
      <w:pPr>
        <w:pStyle w:val="Heading2"/>
      </w:pPr>
      <w:bookmarkStart w:id="275" w:name="_Toc656560499"/>
      <w:bookmarkStart w:id="276" w:name="B12"/>
      <w:bookmarkStart w:id="277" w:name="_Toc212142209"/>
      <w:bookmarkStart w:id="278" w:name="_Toc225507749"/>
      <w:r>
        <w:lastRenderedPageBreak/>
        <w:t>Appendix B-12</w:t>
      </w:r>
      <w:bookmarkEnd w:id="275"/>
      <w:r>
        <w:t xml:space="preserve">  </w:t>
      </w:r>
      <w:bookmarkEnd w:id="276"/>
      <w:r>
        <w:t>Recruiting Methods, Recruitment Materials, and Participant Compensation</w:t>
      </w:r>
      <w:bookmarkEnd w:id="277"/>
      <w:bookmarkEnd w:id="278"/>
    </w:p>
    <w:p w14:paraId="6F3975CB" w14:textId="77777777" w:rsidR="005B32D0" w:rsidRPr="005B32D0" w:rsidRDefault="005B32D0" w:rsidP="005B32D0">
      <w:pPr>
        <w:spacing w:after="0" w:line="240" w:lineRule="auto"/>
        <w:rPr>
          <w:b/>
          <w:smallCaps/>
        </w:rPr>
      </w:pPr>
    </w:p>
    <w:p w14:paraId="0A68CF48" w14:textId="77777777" w:rsidR="005B32D0" w:rsidRPr="005B32D0" w:rsidRDefault="005B32D0" w:rsidP="00A07209">
      <w:pPr>
        <w:numPr>
          <w:ilvl w:val="0"/>
          <w:numId w:val="190"/>
        </w:numPr>
        <w:tabs>
          <w:tab w:val="num" w:pos="360"/>
        </w:tabs>
        <w:spacing w:after="0" w:line="240" w:lineRule="auto"/>
        <w:rPr>
          <w:b/>
          <w:smallCaps/>
        </w:rPr>
      </w:pPr>
      <w:r>
        <w:rPr>
          <w:b/>
        </w:rPr>
        <w:t>Overview</w:t>
      </w:r>
    </w:p>
    <w:p w14:paraId="71E4AB3C" w14:textId="77777777" w:rsidR="005B32D0" w:rsidRPr="005B32D0" w:rsidRDefault="005B32D0" w:rsidP="005B32D0">
      <w:pPr>
        <w:spacing w:after="0" w:line="240" w:lineRule="auto"/>
        <w:rPr>
          <w:b/>
          <w:smallCaps/>
        </w:rPr>
      </w:pPr>
    </w:p>
    <w:p w14:paraId="6C8A11D5" w14:textId="77777777" w:rsidR="005B32D0" w:rsidRPr="005B32D0" w:rsidRDefault="005B32D0" w:rsidP="005B32D0">
      <w:pPr>
        <w:spacing w:after="0" w:line="240" w:lineRule="auto"/>
        <w:ind w:left="360"/>
        <w:rPr>
          <w:color w:val="000000"/>
        </w:rPr>
      </w:pPr>
      <w:r>
        <w:rPr>
          <w:color w:val="000000"/>
        </w:rPr>
        <w:t>Methods used to recruit and compensate research participants must be free from coercion or undue influence, respect the privacy rights of prospective participants, and provide for their fair and unbiased selection. As with the informed consent process, investigators and IRBs must consider the content, comprehensibility, and voluntariness of the methods used to recruit participants.</w:t>
      </w:r>
    </w:p>
    <w:p w14:paraId="07DB0E18" w14:textId="77777777" w:rsidR="005B32D0" w:rsidRPr="005B32D0" w:rsidRDefault="005B32D0" w:rsidP="005B32D0">
      <w:pPr>
        <w:spacing w:after="0" w:line="240" w:lineRule="auto"/>
        <w:ind w:left="360"/>
        <w:rPr>
          <w:color w:val="000000"/>
        </w:rPr>
      </w:pPr>
    </w:p>
    <w:p w14:paraId="79B86FFA" w14:textId="77777777" w:rsidR="007E3864" w:rsidRDefault="005B32D0" w:rsidP="007E3864">
      <w:pPr>
        <w:spacing w:after="0" w:line="240" w:lineRule="auto"/>
        <w:ind w:left="360"/>
        <w:rPr>
          <w:b/>
        </w:rPr>
      </w:pPr>
      <w:r>
        <w:rPr>
          <w:bCs/>
          <w:color w:val="000000"/>
        </w:rPr>
        <w:t xml:space="preserve">The purpose of this policy is to describe recruiting methods, recruitment materials, and participant compensation plans that minimize the possibility of coercion and help ensure equitable selection. Recruiting methods, recruitment materials, and plans for participant compensation used in human subjects research must first be </w:t>
      </w:r>
      <w:r>
        <w:rPr>
          <w:color w:val="000000"/>
        </w:rPr>
        <w:t>approved by the IRB (except for certain recruitment materials identified below).</w:t>
      </w:r>
      <w:r>
        <w:rPr>
          <w:b/>
        </w:rPr>
        <w:t xml:space="preserve"> </w:t>
      </w:r>
    </w:p>
    <w:p w14:paraId="33ACD20B" w14:textId="77777777" w:rsidR="007E3864" w:rsidRPr="007E3864" w:rsidRDefault="007E3864" w:rsidP="007E3864">
      <w:pPr>
        <w:spacing w:after="0" w:line="240" w:lineRule="auto"/>
        <w:ind w:left="360"/>
        <w:rPr>
          <w:b/>
          <w:smallCaps/>
        </w:rPr>
      </w:pPr>
    </w:p>
    <w:p w14:paraId="0802AC2B" w14:textId="77777777" w:rsidR="005B32D0" w:rsidRPr="005B32D0" w:rsidRDefault="005B32D0" w:rsidP="00A07209">
      <w:pPr>
        <w:pStyle w:val="ListParagraph"/>
        <w:numPr>
          <w:ilvl w:val="0"/>
          <w:numId w:val="190"/>
        </w:numPr>
        <w:spacing w:after="0" w:line="240" w:lineRule="auto"/>
        <w:rPr>
          <w:b/>
          <w:smallCaps/>
        </w:rPr>
      </w:pPr>
      <w:r>
        <w:rPr>
          <w:b/>
        </w:rPr>
        <w:t>Definitions</w:t>
      </w:r>
    </w:p>
    <w:p w14:paraId="69939BA0" w14:textId="77777777" w:rsidR="005B32D0" w:rsidRPr="005B32D0" w:rsidRDefault="005B32D0" w:rsidP="005B32D0">
      <w:pPr>
        <w:spacing w:after="0" w:line="240" w:lineRule="auto"/>
        <w:rPr>
          <w:b/>
          <w:smallCaps/>
        </w:rPr>
      </w:pPr>
    </w:p>
    <w:p w14:paraId="5EC63731" w14:textId="77777777" w:rsidR="005B32D0" w:rsidRPr="005B32D0" w:rsidRDefault="005B32D0" w:rsidP="005B32D0">
      <w:pPr>
        <w:autoSpaceDE w:val="0"/>
        <w:autoSpaceDN w:val="0"/>
        <w:adjustRightInd w:val="0"/>
        <w:spacing w:after="0" w:line="240" w:lineRule="auto"/>
        <w:ind w:left="360"/>
        <w:rPr>
          <w:i/>
          <w:color w:val="000000"/>
        </w:rPr>
      </w:pPr>
      <w:r>
        <w:rPr>
          <w:b/>
          <w:color w:val="000000"/>
        </w:rPr>
        <w:t>Recruiting Methods</w:t>
      </w:r>
      <w:r>
        <w:rPr>
          <w:color w:val="000000"/>
        </w:rPr>
        <w:t xml:space="preserve">: Materials, compensation, and other practices or procedures used to inform potential participants about research. </w:t>
      </w:r>
      <w:r>
        <w:rPr>
          <w:i/>
          <w:color w:val="000000"/>
        </w:rPr>
        <w:t>Note: Methods for recruiting research participants are generally distinguished from those of marketing, advertising, or public relations’ efforts, which have the goal of promoting a product, service, or idea.</w:t>
      </w:r>
    </w:p>
    <w:p w14:paraId="75404C7B" w14:textId="77777777" w:rsidR="005B32D0" w:rsidRPr="005B32D0" w:rsidRDefault="005B32D0" w:rsidP="005B32D0">
      <w:pPr>
        <w:autoSpaceDE w:val="0"/>
        <w:autoSpaceDN w:val="0"/>
        <w:adjustRightInd w:val="0"/>
        <w:spacing w:after="0" w:line="240" w:lineRule="auto"/>
        <w:ind w:left="360"/>
        <w:rPr>
          <w:color w:val="000000"/>
        </w:rPr>
      </w:pPr>
    </w:p>
    <w:p w14:paraId="3EC30A49" w14:textId="77777777" w:rsidR="005B32D0" w:rsidRPr="005B32D0" w:rsidRDefault="005B32D0" w:rsidP="005B32D0">
      <w:pPr>
        <w:autoSpaceDE w:val="0"/>
        <w:autoSpaceDN w:val="0"/>
        <w:adjustRightInd w:val="0"/>
        <w:spacing w:after="0" w:line="240" w:lineRule="auto"/>
        <w:ind w:left="360"/>
        <w:rPr>
          <w:color w:val="000000"/>
        </w:rPr>
      </w:pPr>
      <w:r>
        <w:rPr>
          <w:b/>
          <w:color w:val="000000"/>
        </w:rPr>
        <w:t>Recruitment Materials</w:t>
      </w:r>
      <w:r>
        <w:rPr>
          <w:color w:val="000000"/>
        </w:rPr>
        <w:t xml:space="preserve">: Announcements; advertisements; flyers; posters; scripts for telephone or other oral communication; letters or email messages; bulletin board tear-offs; Internet postings; newspaper, radio, television, or video broadcasts, or other media used to attract potential participants for research. </w:t>
      </w:r>
      <w:r>
        <w:rPr>
          <w:i/>
          <w:color w:val="000000"/>
        </w:rPr>
        <w:t>Note: Communications intended for health professionals, news stories, and other public audiences are not considered recruitment materials.</w:t>
      </w:r>
      <w:r>
        <w:rPr>
          <w:color w:val="000000"/>
        </w:rPr>
        <w:t xml:space="preserve"> </w:t>
      </w:r>
    </w:p>
    <w:p w14:paraId="5B6E793F" w14:textId="77777777" w:rsidR="005B32D0" w:rsidRPr="005B32D0" w:rsidRDefault="005B32D0" w:rsidP="005B32D0">
      <w:pPr>
        <w:autoSpaceDE w:val="0"/>
        <w:autoSpaceDN w:val="0"/>
        <w:adjustRightInd w:val="0"/>
        <w:spacing w:after="0" w:line="240" w:lineRule="auto"/>
        <w:ind w:left="360"/>
        <w:rPr>
          <w:color w:val="000000"/>
        </w:rPr>
      </w:pPr>
    </w:p>
    <w:p w14:paraId="382E40DA" w14:textId="77777777" w:rsidR="005B32D0" w:rsidRPr="005B32D0" w:rsidRDefault="005B32D0" w:rsidP="005B32D0">
      <w:pPr>
        <w:autoSpaceDE w:val="0"/>
        <w:autoSpaceDN w:val="0"/>
        <w:adjustRightInd w:val="0"/>
        <w:spacing w:after="0" w:line="240" w:lineRule="auto"/>
        <w:ind w:left="360"/>
        <w:rPr>
          <w:i/>
          <w:color w:val="000000"/>
        </w:rPr>
      </w:pPr>
      <w:r>
        <w:rPr>
          <w:b/>
          <w:color w:val="000000"/>
        </w:rPr>
        <w:t>Compensation</w:t>
      </w:r>
      <w:r>
        <w:rPr>
          <w:color w:val="000000"/>
        </w:rPr>
        <w:t xml:space="preserve">: Payment, merchandise, class credit, or other gift or service provided to research participants or their legally authorized representatives to reimburse them for their time, effort, and/or for any out-of-pocket expenses associated with research participation. </w:t>
      </w:r>
      <w:r>
        <w:rPr>
          <w:i/>
          <w:color w:val="000000"/>
        </w:rPr>
        <w:t xml:space="preserve">Note: Compensation is sometimes distinguished from an </w:t>
      </w:r>
      <w:r>
        <w:rPr>
          <w:b/>
          <w:i/>
          <w:color w:val="000000"/>
        </w:rPr>
        <w:t xml:space="preserve">incentive </w:t>
      </w:r>
      <w:r>
        <w:rPr>
          <w:i/>
          <w:color w:val="000000"/>
        </w:rPr>
        <w:t xml:space="preserve">or </w:t>
      </w:r>
      <w:r>
        <w:rPr>
          <w:b/>
          <w:i/>
          <w:color w:val="000000"/>
        </w:rPr>
        <w:t>inducement</w:t>
      </w:r>
      <w:r>
        <w:rPr>
          <w:i/>
          <w:color w:val="000000"/>
        </w:rPr>
        <w:t>, which is generally thought of as a payment or other offering that is “over and above” reimbursement and intended to encourage research participation.</w:t>
      </w:r>
    </w:p>
    <w:p w14:paraId="617AB24D" w14:textId="77777777" w:rsidR="005B32D0" w:rsidRPr="005B32D0" w:rsidRDefault="005B32D0" w:rsidP="005B32D0">
      <w:pPr>
        <w:spacing w:after="0" w:line="240" w:lineRule="auto"/>
        <w:ind w:left="360"/>
      </w:pPr>
    </w:p>
    <w:p w14:paraId="3B171C46" w14:textId="77777777" w:rsidR="005B32D0" w:rsidRPr="005B32D0" w:rsidRDefault="005B32D0" w:rsidP="005B32D0">
      <w:pPr>
        <w:spacing w:after="0" w:line="240" w:lineRule="auto"/>
        <w:ind w:left="360"/>
      </w:pPr>
      <w:r>
        <w:rPr>
          <w:b/>
        </w:rPr>
        <w:t>Finder’s Fee</w:t>
      </w:r>
      <w:r>
        <w:t>: P</w:t>
      </w:r>
      <w:r>
        <w:rPr>
          <w:color w:val="000000"/>
        </w:rPr>
        <w:t>ayment made by an investigator or sponsor to an organization or individual for identifying and/or referring potential participants for research.</w:t>
      </w:r>
    </w:p>
    <w:p w14:paraId="00A47D47" w14:textId="77777777" w:rsidR="005B32D0" w:rsidRPr="005B32D0" w:rsidRDefault="005B32D0" w:rsidP="005B32D0">
      <w:pPr>
        <w:spacing w:after="0" w:line="240" w:lineRule="auto"/>
        <w:ind w:left="360"/>
      </w:pPr>
    </w:p>
    <w:p w14:paraId="4166CA16" w14:textId="77777777" w:rsidR="005B32D0" w:rsidRPr="005B32D0" w:rsidRDefault="005B32D0" w:rsidP="005B32D0">
      <w:pPr>
        <w:spacing w:after="0" w:line="240" w:lineRule="auto"/>
        <w:ind w:left="360"/>
      </w:pPr>
      <w:r>
        <w:rPr>
          <w:b/>
        </w:rPr>
        <w:t>Recruitment Bonus</w:t>
      </w:r>
      <w:r>
        <w:t>: Payment, merchandise, or other gift or service offered by a sponsor as an incentive or reward to an organization, an investigator, or key personnel conducting research designed to accelerate recruitment that is tied to enrollment rate, timing, or numbers.</w:t>
      </w:r>
    </w:p>
    <w:p w14:paraId="1F6377CD" w14:textId="77777777" w:rsidR="005B32D0" w:rsidRPr="005B32D0" w:rsidRDefault="005B32D0" w:rsidP="005B32D0">
      <w:pPr>
        <w:spacing w:after="0" w:line="240" w:lineRule="auto"/>
        <w:ind w:left="360"/>
      </w:pPr>
    </w:p>
    <w:p w14:paraId="45F7AF31" w14:textId="77777777" w:rsidR="005B32D0" w:rsidRPr="005B32D0" w:rsidRDefault="005B32D0" w:rsidP="00A07209">
      <w:pPr>
        <w:pStyle w:val="ListParagraph"/>
        <w:numPr>
          <w:ilvl w:val="0"/>
          <w:numId w:val="190"/>
        </w:numPr>
        <w:tabs>
          <w:tab w:val="num" w:pos="360"/>
        </w:tabs>
        <w:spacing w:after="0" w:line="240" w:lineRule="auto"/>
        <w:rPr>
          <w:b/>
        </w:rPr>
      </w:pPr>
      <w:r>
        <w:rPr>
          <w:b/>
        </w:rPr>
        <w:t>General Information on Participant Recruitment</w:t>
      </w:r>
    </w:p>
    <w:p w14:paraId="4A08BBB9" w14:textId="77777777" w:rsidR="005B32D0" w:rsidRPr="005B32D0" w:rsidRDefault="005B32D0" w:rsidP="005B32D0">
      <w:pPr>
        <w:spacing w:after="0" w:line="240" w:lineRule="auto"/>
        <w:rPr>
          <w:b/>
        </w:rPr>
      </w:pPr>
    </w:p>
    <w:p w14:paraId="4C1688A4" w14:textId="77777777" w:rsidR="005B32D0" w:rsidRPr="005B32D0" w:rsidRDefault="005B32D0" w:rsidP="005B32D0">
      <w:pPr>
        <w:autoSpaceDE w:val="0"/>
        <w:autoSpaceDN w:val="0"/>
        <w:adjustRightInd w:val="0"/>
        <w:spacing w:after="0" w:line="240" w:lineRule="auto"/>
        <w:ind w:left="360"/>
        <w:rPr>
          <w:bCs/>
          <w:color w:val="000000"/>
        </w:rPr>
      </w:pPr>
      <w:r>
        <w:rPr>
          <w:bCs/>
          <w:color w:val="000000"/>
        </w:rPr>
        <w:t>As a criterion for approval, IRBs are required to assure that selection of subjects is equitable, taking into account the purpose(s) of the research and the setting in which the study will be conducted. This assessment also requires consideration of whether any potential participants are vulnerable to coercion or undue influence. Investigators and IRBs will consider the participants likely to respond to the type(s) and location(s) of recruitment efforts, as well as proposed incentives, to avoid potential inequalities in participant selection</w:t>
      </w:r>
      <w:r>
        <w:t xml:space="preserve"> and to balance </w:t>
      </w:r>
      <w:r>
        <w:rPr>
          <w:bCs/>
          <w:color w:val="000000"/>
        </w:rPr>
        <w:t>protection of participants who might be considered vulnerable with their opportunity to participate in the research.</w:t>
      </w:r>
    </w:p>
    <w:p w14:paraId="1784CCA7" w14:textId="77777777" w:rsidR="005B32D0" w:rsidRPr="005B32D0" w:rsidRDefault="005B32D0" w:rsidP="005B32D0">
      <w:pPr>
        <w:autoSpaceDE w:val="0"/>
        <w:autoSpaceDN w:val="0"/>
        <w:adjustRightInd w:val="0"/>
        <w:spacing w:after="0" w:line="240" w:lineRule="auto"/>
        <w:rPr>
          <w:bCs/>
          <w:color w:val="000000"/>
        </w:rPr>
      </w:pPr>
    </w:p>
    <w:p w14:paraId="5CABEAAC" w14:textId="77777777" w:rsidR="005B32D0" w:rsidRPr="005B32D0" w:rsidRDefault="005B32D0" w:rsidP="00A07209">
      <w:pPr>
        <w:numPr>
          <w:ilvl w:val="0"/>
          <w:numId w:val="190"/>
        </w:numPr>
        <w:tabs>
          <w:tab w:val="num" w:pos="360"/>
        </w:tabs>
        <w:spacing w:after="0" w:line="240" w:lineRule="auto"/>
        <w:rPr>
          <w:b/>
        </w:rPr>
      </w:pPr>
      <w:r>
        <w:rPr>
          <w:b/>
        </w:rPr>
        <w:t>Recruiting Methods</w:t>
      </w:r>
    </w:p>
    <w:p w14:paraId="4A56B7AD" w14:textId="77777777" w:rsidR="005B32D0" w:rsidRPr="005B32D0" w:rsidRDefault="005B32D0" w:rsidP="005B32D0">
      <w:pPr>
        <w:spacing w:after="0" w:line="240" w:lineRule="auto"/>
        <w:rPr>
          <w:b/>
        </w:rPr>
      </w:pPr>
    </w:p>
    <w:p w14:paraId="7BD156F7"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Participants may be recruited from a variety of sources including medical centers, businesses, schools, churches, support groups, and health fairs, using a variety of methods, such as referral, telephone solicitation, Internet posting, flyer, and media announcement or advertisement. Individuals involved in recruitment of participants, beyond providing information about the availability of the study and contact information for the investigator, are considered to be “engaged in research” and must have IRB approval to perform this activity.</w:t>
      </w:r>
    </w:p>
    <w:p w14:paraId="290229E2" w14:textId="77777777" w:rsidR="005B32D0" w:rsidRPr="005B32D0" w:rsidRDefault="005B32D0" w:rsidP="005B32D0">
      <w:pPr>
        <w:autoSpaceDE w:val="0"/>
        <w:autoSpaceDN w:val="0"/>
        <w:adjustRightInd w:val="0"/>
        <w:spacing w:after="0" w:line="240" w:lineRule="auto"/>
        <w:ind w:left="288"/>
        <w:rPr>
          <w:bCs/>
          <w:color w:val="000000"/>
        </w:rPr>
      </w:pPr>
    </w:p>
    <w:p w14:paraId="530D8929" w14:textId="77777777" w:rsidR="005B32D0" w:rsidRPr="005B32D0" w:rsidRDefault="005B32D0" w:rsidP="00A07209">
      <w:pPr>
        <w:numPr>
          <w:ilvl w:val="1"/>
          <w:numId w:val="190"/>
        </w:numPr>
        <w:spacing w:after="0" w:line="240" w:lineRule="auto"/>
        <w:ind w:left="720"/>
        <w:rPr>
          <w:bCs/>
          <w:color w:val="000000"/>
        </w:rPr>
      </w:pPr>
      <w:r>
        <w:rPr>
          <w:bCs/>
          <w:color w:val="000000"/>
        </w:rPr>
        <w:t>Recruiting methods (including the proposed inclusion and exclusion criteria) will be designed to ensure that vulnerable subjects are not systematically selected solely due to ease of availability, compromised positions, or manipulability.</w:t>
      </w:r>
    </w:p>
    <w:p w14:paraId="4953BD5D" w14:textId="77777777" w:rsidR="005B32D0" w:rsidRPr="005B32D0" w:rsidRDefault="005B32D0" w:rsidP="005B32D0">
      <w:pPr>
        <w:spacing w:after="0" w:line="240" w:lineRule="auto"/>
        <w:ind w:left="360"/>
        <w:rPr>
          <w:bCs/>
          <w:color w:val="000000"/>
        </w:rPr>
      </w:pPr>
    </w:p>
    <w:p w14:paraId="2C947FF7" w14:textId="77777777" w:rsidR="005B32D0" w:rsidRPr="005B32D0" w:rsidDel="00873B5B" w:rsidRDefault="005B32D0" w:rsidP="00A07209">
      <w:pPr>
        <w:numPr>
          <w:ilvl w:val="1"/>
          <w:numId w:val="190"/>
        </w:numPr>
        <w:autoSpaceDE w:val="0"/>
        <w:autoSpaceDN w:val="0"/>
        <w:adjustRightInd w:val="0"/>
        <w:spacing w:after="0" w:line="240" w:lineRule="auto"/>
        <w:ind w:left="720"/>
        <w:rPr>
          <w:bCs/>
          <w:color w:val="000000"/>
        </w:rPr>
      </w:pPr>
      <w:r>
        <w:rPr>
          <w:bCs/>
          <w:color w:val="000000"/>
        </w:rPr>
        <w:t>Recruitment should result in the selection of participants accurately reflecting the question under study and</w:t>
      </w:r>
      <w:r>
        <w:t xml:space="preserve"> n</w:t>
      </w:r>
      <w:r>
        <w:rPr>
          <w:bCs/>
          <w:color w:val="000000"/>
        </w:rPr>
        <w:t>ot disproportionately involving participants from groups unlikely to be among the beneficiaries of future applications of the research.</w:t>
      </w:r>
    </w:p>
    <w:p w14:paraId="57FDDEC7" w14:textId="77777777" w:rsidR="005B32D0" w:rsidRPr="005B32D0" w:rsidRDefault="005B32D0" w:rsidP="005B32D0">
      <w:pPr>
        <w:autoSpaceDE w:val="0"/>
        <w:autoSpaceDN w:val="0"/>
        <w:adjustRightInd w:val="0"/>
        <w:spacing w:after="0" w:line="240" w:lineRule="auto"/>
        <w:ind w:left="360"/>
        <w:rPr>
          <w:bCs/>
          <w:color w:val="000000"/>
        </w:rPr>
      </w:pPr>
    </w:p>
    <w:p w14:paraId="41584D0A" w14:textId="77777777" w:rsidR="005B32D0" w:rsidRPr="005B32D0" w:rsidDel="00873B5B" w:rsidRDefault="005B32D0" w:rsidP="00A07209">
      <w:pPr>
        <w:numPr>
          <w:ilvl w:val="1"/>
          <w:numId w:val="190"/>
        </w:numPr>
        <w:spacing w:after="0" w:line="240" w:lineRule="auto"/>
        <w:ind w:left="720"/>
        <w:rPr>
          <w:bCs/>
          <w:color w:val="000000"/>
        </w:rPr>
      </w:pPr>
      <w:r>
        <w:rPr>
          <w:bCs/>
          <w:color w:val="000000"/>
        </w:rPr>
        <w:t>The IRBs will consider the medical, employment, and educational status of participants, as well as available financial, emotional, and community resources when determining whether participants can be recruited fairly, informed adequately, and appropriately compensated.</w:t>
      </w:r>
    </w:p>
    <w:p w14:paraId="73903CD1" w14:textId="77777777" w:rsidR="005B32D0" w:rsidRPr="005B32D0" w:rsidRDefault="005B32D0" w:rsidP="005B32D0">
      <w:pPr>
        <w:autoSpaceDE w:val="0"/>
        <w:autoSpaceDN w:val="0"/>
        <w:adjustRightInd w:val="0"/>
        <w:spacing w:after="0" w:line="240" w:lineRule="auto"/>
        <w:ind w:left="288"/>
        <w:rPr>
          <w:bCs/>
          <w:color w:val="000000"/>
        </w:rPr>
      </w:pPr>
    </w:p>
    <w:p w14:paraId="7F7A0300"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Accepting a finder’s fee for identification and referral of participants by investigators, research staff, or referring health care providers is not permitted because of the potential for coercion of participants or conflict of interest on the part of the individual making the referral</w:t>
      </w:r>
      <w:r>
        <w:rPr>
          <w:color w:val="000000"/>
        </w:rPr>
        <w:t xml:space="preserve">. Note: Several professional associations, including the </w:t>
      </w:r>
      <w:r>
        <w:rPr>
          <w:bCs/>
          <w:color w:val="000000"/>
        </w:rPr>
        <w:t>American Medical Association (Council on Ethical and Judicial Affairs</w:t>
      </w:r>
      <w:r>
        <w:rPr>
          <w:color w:val="000000"/>
        </w:rPr>
        <w:t xml:space="preserve"> Code of Ethics, E-6.03) and American Psychological Association (</w:t>
      </w:r>
      <w:r>
        <w:t xml:space="preserve">Ethical Principles of Psychologists and Code of Conduct) consider the use of finder’s fees to be unethical. </w:t>
      </w:r>
    </w:p>
    <w:p w14:paraId="06D2188E" w14:textId="77777777" w:rsidR="005B32D0" w:rsidRPr="005B32D0" w:rsidRDefault="005B32D0" w:rsidP="005B32D0">
      <w:pPr>
        <w:autoSpaceDE w:val="0"/>
        <w:autoSpaceDN w:val="0"/>
        <w:adjustRightInd w:val="0"/>
        <w:spacing w:after="0" w:line="240" w:lineRule="auto"/>
        <w:ind w:left="360"/>
        <w:rPr>
          <w:color w:val="000000"/>
        </w:rPr>
      </w:pPr>
    </w:p>
    <w:p w14:paraId="4504B54F"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Paying or accepting a recruitment bonus or other incentive tied to the timing or rate of enrollment or number of enrolled participants is not permitted.</w:t>
      </w:r>
    </w:p>
    <w:p w14:paraId="60AC7A9A" w14:textId="77777777" w:rsidR="005B32D0" w:rsidRPr="005B32D0" w:rsidRDefault="005B32D0" w:rsidP="005B32D0">
      <w:pPr>
        <w:autoSpaceDE w:val="0"/>
        <w:autoSpaceDN w:val="0"/>
        <w:adjustRightInd w:val="0"/>
        <w:spacing w:after="0" w:line="240" w:lineRule="auto"/>
        <w:ind w:left="288"/>
        <w:rPr>
          <w:bCs/>
          <w:color w:val="000000"/>
        </w:rPr>
      </w:pPr>
    </w:p>
    <w:p w14:paraId="53E85D28" w14:textId="77777777" w:rsidR="005B32D0" w:rsidRPr="005B32D0" w:rsidRDefault="005B32D0" w:rsidP="00A07209">
      <w:pPr>
        <w:numPr>
          <w:ilvl w:val="0"/>
          <w:numId w:val="189"/>
        </w:numPr>
        <w:tabs>
          <w:tab w:val="num" w:pos="1800"/>
        </w:tabs>
        <w:autoSpaceDE w:val="0"/>
        <w:autoSpaceDN w:val="0"/>
        <w:adjustRightInd w:val="0"/>
        <w:spacing w:after="0" w:line="240" w:lineRule="auto"/>
        <w:rPr>
          <w:bCs/>
          <w:color w:val="000000"/>
          <w:u w:val="single"/>
        </w:rPr>
      </w:pPr>
      <w:r>
        <w:rPr>
          <w:bCs/>
          <w:color w:val="000000"/>
        </w:rPr>
        <w:t>To avoid potential invasions of privacy, investigators may not directly contact potential participants identified from privately held sources (e.g., physicians’ practices, teachers’ class lists, previous research participation) without the participants’ (or their legally authorized representatives’) permission. This does not include listservs or other lists without a reasonable expectation of privacy (e.g., magazine subscribers, professional organization members). Whenever possible, methods of contact that are the “least intrusive” should be considered, e.g., allowing interested potential participants to initiate contact with the research team.</w:t>
      </w:r>
    </w:p>
    <w:p w14:paraId="144AA100" w14:textId="77777777" w:rsidR="005B32D0" w:rsidRPr="005B32D0" w:rsidRDefault="005B32D0" w:rsidP="005B32D0">
      <w:pPr>
        <w:tabs>
          <w:tab w:val="num" w:pos="1800"/>
        </w:tabs>
        <w:autoSpaceDE w:val="0"/>
        <w:autoSpaceDN w:val="0"/>
        <w:adjustRightInd w:val="0"/>
        <w:spacing w:after="0" w:line="240" w:lineRule="auto"/>
        <w:ind w:left="720"/>
        <w:rPr>
          <w:bCs/>
          <w:color w:val="000000"/>
          <w:u w:val="single"/>
        </w:rPr>
      </w:pPr>
    </w:p>
    <w:p w14:paraId="0E0F2BD5" w14:textId="77777777" w:rsidR="005B32D0" w:rsidRPr="005B32D0" w:rsidRDefault="005B32D0" w:rsidP="007E3864">
      <w:pPr>
        <w:tabs>
          <w:tab w:val="num" w:pos="1800"/>
        </w:tabs>
        <w:autoSpaceDE w:val="0"/>
        <w:autoSpaceDN w:val="0"/>
        <w:adjustRightInd w:val="0"/>
        <w:spacing w:after="0" w:line="240" w:lineRule="auto"/>
        <w:ind w:left="648"/>
        <w:rPr>
          <w:bCs/>
          <w:color w:val="000000"/>
        </w:rPr>
      </w:pPr>
      <w:r>
        <w:rPr>
          <w:bCs/>
          <w:color w:val="000000"/>
        </w:rPr>
        <w:t xml:space="preserve">The IRBs must evaluate the appropriateness of the proposed number and frequency of recruitment attempts to ensure the least intrusive process is considered, and to avoid the possibility of coercion or undue influence. The IRB may require an option for participants to opt out of future contact. </w:t>
      </w:r>
    </w:p>
    <w:p w14:paraId="77115202" w14:textId="77777777" w:rsidR="005B32D0" w:rsidRPr="005B32D0" w:rsidRDefault="005B32D0" w:rsidP="005B32D0">
      <w:pPr>
        <w:autoSpaceDE w:val="0"/>
        <w:autoSpaceDN w:val="0"/>
        <w:adjustRightInd w:val="0"/>
        <w:spacing w:after="0" w:line="240" w:lineRule="auto"/>
        <w:rPr>
          <w:bCs/>
          <w:color w:val="000000"/>
          <w:u w:val="single"/>
        </w:rPr>
      </w:pPr>
    </w:p>
    <w:p w14:paraId="6E840970"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The IRBs must evaluate the appropriateness of recruiting methods that propose enrollment of participants such as employees or students who are directly supervised or taught by the investigator(s) to ensure voluntary participation and equitable selection. Investigators proposing to recruit participants from their own patient, student, or client populations must also consider strategies to avoid the possibility of coercion or undue influence.</w:t>
      </w:r>
    </w:p>
    <w:p w14:paraId="5A6B117C" w14:textId="77777777" w:rsidR="005B32D0" w:rsidRPr="005B32D0" w:rsidRDefault="005B32D0" w:rsidP="005B32D0">
      <w:pPr>
        <w:autoSpaceDE w:val="0"/>
        <w:autoSpaceDN w:val="0"/>
        <w:adjustRightInd w:val="0"/>
        <w:spacing w:after="0" w:line="240" w:lineRule="auto"/>
        <w:ind w:left="360"/>
        <w:rPr>
          <w:bCs/>
          <w:color w:val="000000"/>
          <w:u w:val="single"/>
        </w:rPr>
      </w:pPr>
    </w:p>
    <w:p w14:paraId="588AAF5E"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For studies that require participant identification or referral by a primary family member participating in the study (e.g., proband in genetic studies), consideration must be given to the privacy interests and the potential for coercion of family members.</w:t>
      </w:r>
    </w:p>
    <w:p w14:paraId="5B768383" w14:textId="77777777" w:rsidR="005B32D0" w:rsidRPr="005B32D0" w:rsidRDefault="005B32D0" w:rsidP="005B32D0">
      <w:pPr>
        <w:autoSpaceDE w:val="0"/>
        <w:autoSpaceDN w:val="0"/>
        <w:adjustRightInd w:val="0"/>
        <w:spacing w:after="0" w:line="240" w:lineRule="auto"/>
        <w:ind w:left="360"/>
        <w:rPr>
          <w:bCs/>
          <w:color w:val="000000"/>
          <w:u w:val="single"/>
        </w:rPr>
      </w:pPr>
    </w:p>
    <w:p w14:paraId="6CA014AD"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lastRenderedPageBreak/>
        <w:t xml:space="preserve">Investigators must ensure that methods for reviewing and/or obtaining protected health information from medical records or clinical databases during the recruitment of potential participants are compliant with the requirements of the </w:t>
      </w:r>
      <w:r>
        <w:t>HIPAA Privacy and Security Rules</w:t>
      </w:r>
      <w:r>
        <w:rPr>
          <w:bCs/>
          <w:color w:val="000000"/>
        </w:rPr>
        <w:t xml:space="preserve"> and university policy [e.g., University Hospital Policy 09-11: Use of Patient Information by Hospitals and Medical Staff and the university </w:t>
      </w:r>
      <w:hyperlink r:id="rId195" w:history="1">
        <w:r>
          <w:rPr>
            <w:bCs/>
            <w:color w:val="0000FF"/>
            <w:u w:val="single"/>
          </w:rPr>
          <w:t>Protected Health Information and HIPAA</w:t>
        </w:r>
      </w:hyperlink>
      <w:r>
        <w:rPr>
          <w:bCs/>
          <w:color w:val="000000"/>
        </w:rPr>
        <w:t xml:space="preserve"> policy</w:t>
      </w:r>
      <w:r>
        <w:t>]</w:t>
      </w:r>
      <w:r>
        <w:rPr>
          <w:bCs/>
          <w:color w:val="000000"/>
        </w:rPr>
        <w:t>.</w:t>
      </w:r>
    </w:p>
    <w:p w14:paraId="544613C1" w14:textId="77777777" w:rsidR="005B32D0" w:rsidRPr="005B32D0" w:rsidRDefault="005B32D0" w:rsidP="005B32D0">
      <w:pPr>
        <w:autoSpaceDE w:val="0"/>
        <w:autoSpaceDN w:val="0"/>
        <w:adjustRightInd w:val="0"/>
        <w:spacing w:after="0" w:line="240" w:lineRule="auto"/>
        <w:ind w:left="360"/>
        <w:rPr>
          <w:bCs/>
          <w:color w:val="000000"/>
          <w:u w:val="single"/>
        </w:rPr>
      </w:pPr>
    </w:p>
    <w:p w14:paraId="1F70A3F7"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 xml:space="preserve">The proposed use of student education records for identifying and recruiting potential participants must comply with the requirements of the </w:t>
      </w:r>
      <w:hyperlink r:id="rId196" w:history="1">
        <w:r>
          <w:rPr>
            <w:bCs/>
            <w:color w:val="0000FF"/>
            <w:u w:val="single"/>
          </w:rPr>
          <w:t>Family Educational and Rights Privacy Act (FERPA)</w:t>
        </w:r>
      </w:hyperlink>
      <w:r>
        <w:rPr>
          <w:bCs/>
          <w:color w:val="000000"/>
        </w:rPr>
        <w:t>.</w:t>
      </w:r>
    </w:p>
    <w:p w14:paraId="3F4EEDD5" w14:textId="77777777" w:rsidR="005B32D0" w:rsidRPr="005B32D0" w:rsidRDefault="005B32D0" w:rsidP="005B32D0">
      <w:pPr>
        <w:autoSpaceDE w:val="0"/>
        <w:autoSpaceDN w:val="0"/>
        <w:adjustRightInd w:val="0"/>
        <w:spacing w:after="0" w:line="240" w:lineRule="auto"/>
        <w:ind w:left="360"/>
        <w:rPr>
          <w:bCs/>
          <w:color w:val="000000"/>
          <w:u w:val="single"/>
        </w:rPr>
      </w:pPr>
    </w:p>
    <w:p w14:paraId="5206D992"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Use of university computing resources to recruit potential participants must comply with university policies on [</w:t>
      </w:r>
      <w:hyperlink r:id="rId197" w:history="1">
        <w:r>
          <w:rPr>
            <w:color w:val="0000FF"/>
            <w:u w:val="single"/>
          </w:rPr>
          <w:t>Responsible Use of University Computing and Network Resources</w:t>
        </w:r>
      </w:hyperlink>
      <w:r>
        <w:t>] and [</w:t>
      </w:r>
      <w:hyperlink r:id="rId198" w:history="1">
        <w:r>
          <w:rPr>
            <w:color w:val="0000FF"/>
            <w:u w:val="single"/>
          </w:rPr>
          <w:t>Institutional Data</w:t>
        </w:r>
      </w:hyperlink>
      <w:r>
        <w:t>].</w:t>
      </w:r>
    </w:p>
    <w:p w14:paraId="6BD5A408" w14:textId="77777777" w:rsidR="005B32D0" w:rsidRPr="005B32D0" w:rsidRDefault="005B32D0" w:rsidP="005B32D0">
      <w:pPr>
        <w:autoSpaceDE w:val="0"/>
        <w:autoSpaceDN w:val="0"/>
        <w:adjustRightInd w:val="0"/>
        <w:spacing w:after="0" w:line="240" w:lineRule="auto"/>
        <w:ind w:left="360"/>
        <w:rPr>
          <w:bCs/>
          <w:color w:val="000000"/>
          <w:u w:val="single"/>
        </w:rPr>
      </w:pPr>
    </w:p>
    <w:p w14:paraId="7E02B99E" w14:textId="77777777" w:rsidR="005B32D0" w:rsidRPr="005B32D0" w:rsidRDefault="005B32D0" w:rsidP="00A07209">
      <w:pPr>
        <w:numPr>
          <w:ilvl w:val="0"/>
          <w:numId w:val="189"/>
        </w:numPr>
        <w:autoSpaceDE w:val="0"/>
        <w:autoSpaceDN w:val="0"/>
        <w:adjustRightInd w:val="0"/>
        <w:spacing w:after="0" w:line="240" w:lineRule="auto"/>
        <w:rPr>
          <w:bCs/>
          <w:color w:val="000000"/>
          <w:u w:val="single"/>
        </w:rPr>
      </w:pPr>
      <w:r>
        <w:rPr>
          <w:bCs/>
          <w:color w:val="000000"/>
        </w:rPr>
        <w:t>Individually identifiable records of persons who decline research participation or do not meet study entry criteria (e.g., screening logs) can be retained as necessary to generate a “do not contact” list, provided that, when possible, the persons are informed of the list and appropriate confidentiality of the data is maintained. When this information is requested by sponsors to verify enrollment efforts, data provided must not be individually identifiable.</w:t>
      </w:r>
    </w:p>
    <w:p w14:paraId="4997E632" w14:textId="77777777" w:rsidR="005B32D0" w:rsidRPr="005B32D0" w:rsidRDefault="005B32D0" w:rsidP="005B32D0">
      <w:pPr>
        <w:autoSpaceDE w:val="0"/>
        <w:autoSpaceDN w:val="0"/>
        <w:adjustRightInd w:val="0"/>
        <w:spacing w:after="0" w:line="240" w:lineRule="auto"/>
        <w:ind w:left="360"/>
        <w:rPr>
          <w:bCs/>
          <w:color w:val="000000"/>
          <w:u w:val="single"/>
        </w:rPr>
      </w:pPr>
    </w:p>
    <w:p w14:paraId="6366F97C" w14:textId="77777777" w:rsidR="005B32D0" w:rsidRPr="00076836" w:rsidRDefault="005B32D0" w:rsidP="00A07209">
      <w:pPr>
        <w:numPr>
          <w:ilvl w:val="0"/>
          <w:numId w:val="189"/>
        </w:numPr>
        <w:autoSpaceDE w:val="0"/>
        <w:autoSpaceDN w:val="0"/>
        <w:adjustRightInd w:val="0"/>
        <w:spacing w:after="0" w:line="240" w:lineRule="auto"/>
        <w:rPr>
          <w:bCs/>
          <w:color w:val="000000"/>
          <w:u w:val="single"/>
        </w:rPr>
      </w:pPr>
      <w:r>
        <w:rPr>
          <w:bCs/>
          <w:color w:val="000000"/>
        </w:rPr>
        <w:t>Recruiting methods will be described in the Buck-IRB application, including the subject inclusion/exclusion criteria. Changes in approved recruiting methods or the proposed participant population are amendments to the research and must be submitted to the IRB for review and approval before initiating these changes.</w:t>
      </w:r>
    </w:p>
    <w:p w14:paraId="007DE46A" w14:textId="77777777" w:rsidR="005B32D0" w:rsidRPr="005B32D0" w:rsidRDefault="005B32D0" w:rsidP="005B32D0">
      <w:pPr>
        <w:autoSpaceDE w:val="0"/>
        <w:autoSpaceDN w:val="0"/>
        <w:adjustRightInd w:val="0"/>
        <w:spacing w:after="0" w:line="240" w:lineRule="auto"/>
        <w:rPr>
          <w:bCs/>
          <w:color w:val="000000"/>
        </w:rPr>
      </w:pPr>
    </w:p>
    <w:p w14:paraId="78B06C3A" w14:textId="77777777" w:rsidR="005B32D0" w:rsidRPr="005B32D0" w:rsidRDefault="005B32D0" w:rsidP="00A07209">
      <w:pPr>
        <w:numPr>
          <w:ilvl w:val="0"/>
          <w:numId w:val="190"/>
        </w:numPr>
        <w:tabs>
          <w:tab w:val="num" w:pos="360"/>
        </w:tabs>
        <w:spacing w:after="0" w:line="240" w:lineRule="auto"/>
        <w:rPr>
          <w:b/>
        </w:rPr>
      </w:pPr>
      <w:r>
        <w:rPr>
          <w:b/>
        </w:rPr>
        <w:t>Recruitment Materials</w:t>
      </w:r>
    </w:p>
    <w:p w14:paraId="2334F658" w14:textId="77777777" w:rsidR="005B32D0" w:rsidRPr="005B32D0" w:rsidRDefault="005B32D0" w:rsidP="005B32D0">
      <w:pPr>
        <w:spacing w:after="0" w:line="240" w:lineRule="auto"/>
        <w:rPr>
          <w:b/>
        </w:rPr>
      </w:pPr>
    </w:p>
    <w:p w14:paraId="41DB43FE"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Recruitment materials are considered to be part of the informed consent process and must follow the requirements for informed consent described in HRPP policy [</w:t>
      </w:r>
      <w:hyperlink r:id="rId199" w:history="1">
        <w:r>
          <w:rPr>
            <w:color w:val="0000FF"/>
            <w:u w:val="single"/>
          </w:rPr>
          <w:t>Informed Consent Process and the Elements of Informed Consent</w:t>
        </w:r>
      </w:hyperlink>
      <w:r>
        <w:rPr>
          <w:bCs/>
          <w:color w:val="000000"/>
        </w:rPr>
        <w:t>].</w:t>
      </w:r>
    </w:p>
    <w:p w14:paraId="13CC3FB1" w14:textId="77777777" w:rsidR="005B32D0" w:rsidRPr="005B32D0" w:rsidRDefault="005B32D0" w:rsidP="005B32D0">
      <w:pPr>
        <w:autoSpaceDE w:val="0"/>
        <w:autoSpaceDN w:val="0"/>
        <w:adjustRightInd w:val="0"/>
        <w:spacing w:after="0" w:line="240" w:lineRule="auto"/>
        <w:rPr>
          <w:bCs/>
          <w:color w:val="000000"/>
        </w:rPr>
      </w:pPr>
    </w:p>
    <w:p w14:paraId="1DB429AB"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Recruitment materials must meet the following general requirements:</w:t>
      </w:r>
    </w:p>
    <w:p w14:paraId="23AF39B9"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Purpose indicates that the activity is research.</w:t>
      </w:r>
    </w:p>
    <w:p w14:paraId="14463551"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Potential benefits of participation are not coercive or misleading.</w:t>
      </w:r>
    </w:p>
    <w:p w14:paraId="6478265C"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Compensation is not overly emphasized, coercive, or misleading.</w:t>
      </w:r>
    </w:p>
    <w:p w14:paraId="706491A1"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Materials are free of deception and exculpatory language.</w:t>
      </w:r>
    </w:p>
    <w:p w14:paraId="5D33B124" w14:textId="77777777" w:rsidR="005B32D0" w:rsidRPr="005B32D0" w:rsidRDefault="005B32D0" w:rsidP="00A07209">
      <w:pPr>
        <w:numPr>
          <w:ilvl w:val="2"/>
          <w:numId w:val="187"/>
        </w:numPr>
        <w:tabs>
          <w:tab w:val="num" w:pos="1440"/>
        </w:tabs>
        <w:autoSpaceDE w:val="0"/>
        <w:autoSpaceDN w:val="0"/>
        <w:adjustRightInd w:val="0"/>
        <w:spacing w:after="60" w:line="240" w:lineRule="auto"/>
        <w:ind w:left="1440"/>
        <w:rPr>
          <w:bCs/>
          <w:color w:val="000000"/>
        </w:rPr>
      </w:pPr>
      <w:r>
        <w:rPr>
          <w:bCs/>
          <w:color w:val="000000"/>
        </w:rPr>
        <w:t>Font size or other visual effect is not coercive or misleading.</w:t>
      </w:r>
    </w:p>
    <w:p w14:paraId="231FA266" w14:textId="77777777" w:rsidR="005B32D0" w:rsidRPr="005B32D0" w:rsidRDefault="005B32D0" w:rsidP="00A07209">
      <w:pPr>
        <w:numPr>
          <w:ilvl w:val="2"/>
          <w:numId w:val="187"/>
        </w:numPr>
        <w:tabs>
          <w:tab w:val="num" w:pos="1440"/>
        </w:tabs>
        <w:autoSpaceDE w:val="0"/>
        <w:autoSpaceDN w:val="0"/>
        <w:adjustRightInd w:val="0"/>
        <w:spacing w:after="0" w:line="240" w:lineRule="auto"/>
        <w:ind w:left="1440"/>
        <w:rPr>
          <w:bCs/>
          <w:color w:val="000000"/>
        </w:rPr>
      </w:pPr>
      <w:r>
        <w:rPr>
          <w:bCs/>
          <w:color w:val="000000"/>
        </w:rPr>
        <w:t>Language and terminology are appropriate for the intended audience.</w:t>
      </w:r>
    </w:p>
    <w:p w14:paraId="0FA5E140" w14:textId="77777777" w:rsidR="005B32D0" w:rsidRPr="005B32D0" w:rsidRDefault="005B32D0" w:rsidP="005B32D0">
      <w:pPr>
        <w:autoSpaceDE w:val="0"/>
        <w:autoSpaceDN w:val="0"/>
        <w:adjustRightInd w:val="0"/>
        <w:spacing w:after="0" w:line="240" w:lineRule="auto"/>
        <w:rPr>
          <w:bCs/>
          <w:color w:val="000000"/>
        </w:rPr>
      </w:pPr>
    </w:p>
    <w:p w14:paraId="69BEFE95"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Information included in recruitment materials (including oral recruitment scripts) should usually be limited to information prospective participants need to determine their eligibility and interest, such as:</w:t>
      </w:r>
    </w:p>
    <w:p w14:paraId="5F398C05"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Name and contact information of the investigator, research facility, and/or the organization conducting the study</w:t>
      </w:r>
    </w:p>
    <w:p w14:paraId="3DBD7941"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Brief description of the condition or concept being studied and/or the purpose of the research</w:t>
      </w:r>
    </w:p>
    <w:p w14:paraId="28E1797F"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Summary of criteria that will be used to determine study eligibility (or exclusion)</w:t>
      </w:r>
    </w:p>
    <w:p w14:paraId="6CFED088"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Brief list of any benefits of participation</w:t>
      </w:r>
    </w:p>
    <w:p w14:paraId="0692D19E"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bCs/>
          <w:color w:val="000000"/>
        </w:rPr>
      </w:pPr>
      <w:r>
        <w:rPr>
          <w:bCs/>
          <w:color w:val="000000"/>
        </w:rPr>
        <w:t>Time or other commitment required of the participants</w:t>
      </w:r>
    </w:p>
    <w:p w14:paraId="49805691" w14:textId="77777777" w:rsidR="005B32D0" w:rsidRPr="005B32D0" w:rsidRDefault="005B32D0" w:rsidP="00A07209">
      <w:pPr>
        <w:numPr>
          <w:ilvl w:val="2"/>
          <w:numId w:val="183"/>
        </w:numPr>
        <w:tabs>
          <w:tab w:val="num" w:pos="1440"/>
        </w:tabs>
        <w:autoSpaceDE w:val="0"/>
        <w:autoSpaceDN w:val="0"/>
        <w:adjustRightInd w:val="0"/>
        <w:spacing w:after="60" w:line="240" w:lineRule="auto"/>
        <w:ind w:left="1440"/>
        <w:rPr>
          <w:color w:val="000000"/>
        </w:rPr>
      </w:pPr>
      <w:r>
        <w:rPr>
          <w:bCs/>
          <w:color w:val="000000"/>
        </w:rPr>
        <w:t>Location of the research</w:t>
      </w:r>
    </w:p>
    <w:p w14:paraId="5B85CD0B" w14:textId="77777777" w:rsidR="005B32D0" w:rsidRPr="005B32D0" w:rsidRDefault="005B32D0" w:rsidP="00A07209">
      <w:pPr>
        <w:numPr>
          <w:ilvl w:val="2"/>
          <w:numId w:val="183"/>
        </w:numPr>
        <w:tabs>
          <w:tab w:val="num" w:pos="1440"/>
        </w:tabs>
        <w:autoSpaceDE w:val="0"/>
        <w:autoSpaceDN w:val="0"/>
        <w:adjustRightInd w:val="0"/>
        <w:spacing w:after="0" w:line="240" w:lineRule="auto"/>
        <w:ind w:left="1440"/>
        <w:rPr>
          <w:color w:val="000000"/>
        </w:rPr>
      </w:pPr>
      <w:r>
        <w:rPr>
          <w:bCs/>
          <w:color w:val="000000"/>
        </w:rPr>
        <w:t>If payment is being offered:</w:t>
      </w:r>
    </w:p>
    <w:p w14:paraId="37180D11" w14:textId="77777777" w:rsidR="005B32D0" w:rsidRPr="005B32D0" w:rsidRDefault="005B32D0" w:rsidP="00A07209">
      <w:pPr>
        <w:numPr>
          <w:ilvl w:val="4"/>
          <w:numId w:val="440"/>
        </w:numPr>
        <w:autoSpaceDE w:val="0"/>
        <w:autoSpaceDN w:val="0"/>
        <w:adjustRightInd w:val="0"/>
        <w:spacing w:after="0" w:line="240" w:lineRule="auto"/>
        <w:rPr>
          <w:color w:val="000000"/>
        </w:rPr>
      </w:pPr>
      <w:r>
        <w:rPr>
          <w:bCs/>
          <w:color w:val="000000"/>
        </w:rPr>
        <w:t xml:space="preserve">Statements about payment should not be emphasized by </w:t>
      </w:r>
      <w:r>
        <w:rPr>
          <w:bCs/>
          <w:caps/>
          <w:color w:val="000000"/>
        </w:rPr>
        <w:t>large</w:t>
      </w:r>
      <w:r>
        <w:rPr>
          <w:bCs/>
          <w:color w:val="000000"/>
        </w:rPr>
        <w:t xml:space="preserve"> or </w:t>
      </w:r>
      <w:r>
        <w:rPr>
          <w:b/>
          <w:bCs/>
          <w:color w:val="000000"/>
        </w:rPr>
        <w:t>bold</w:t>
      </w:r>
      <w:r>
        <w:rPr>
          <w:bCs/>
          <w:color w:val="000000"/>
        </w:rPr>
        <w:t xml:space="preserve"> type relative to other statements (if in writing).</w:t>
      </w:r>
    </w:p>
    <w:p w14:paraId="30BA187F" w14:textId="77777777" w:rsidR="005B32D0" w:rsidRPr="005B32D0" w:rsidRDefault="005B32D0" w:rsidP="00A07209">
      <w:pPr>
        <w:numPr>
          <w:ilvl w:val="4"/>
          <w:numId w:val="440"/>
        </w:numPr>
        <w:autoSpaceDE w:val="0"/>
        <w:autoSpaceDN w:val="0"/>
        <w:adjustRightInd w:val="0"/>
        <w:spacing w:after="60" w:line="240" w:lineRule="auto"/>
        <w:rPr>
          <w:color w:val="000000"/>
        </w:rPr>
      </w:pPr>
      <w:r>
        <w:rPr>
          <w:bCs/>
          <w:color w:val="000000"/>
        </w:rPr>
        <w:lastRenderedPageBreak/>
        <w:t>The amount of payment should be preceded by “up to” (e.g., “up to $100”) if not all participants will receive the full amount.</w:t>
      </w:r>
    </w:p>
    <w:p w14:paraId="6E4A9960" w14:textId="77777777" w:rsidR="005B32D0" w:rsidRPr="005B32D0" w:rsidRDefault="005B32D0" w:rsidP="00A07209">
      <w:pPr>
        <w:numPr>
          <w:ilvl w:val="2"/>
          <w:numId w:val="183"/>
        </w:numPr>
        <w:tabs>
          <w:tab w:val="num" w:pos="1440"/>
        </w:tabs>
        <w:autoSpaceDE w:val="0"/>
        <w:autoSpaceDN w:val="0"/>
        <w:adjustRightInd w:val="0"/>
        <w:spacing w:after="0" w:line="240" w:lineRule="auto"/>
        <w:ind w:left="1440"/>
        <w:rPr>
          <w:color w:val="000000"/>
        </w:rPr>
      </w:pPr>
      <w:r>
        <w:rPr>
          <w:bCs/>
          <w:color w:val="000000"/>
        </w:rPr>
        <w:t>Person or office to contact for further information</w:t>
      </w:r>
    </w:p>
    <w:p w14:paraId="3EEADE87" w14:textId="77777777" w:rsidR="005B32D0" w:rsidRPr="005B32D0" w:rsidRDefault="005B32D0" w:rsidP="005B32D0">
      <w:pPr>
        <w:autoSpaceDE w:val="0"/>
        <w:autoSpaceDN w:val="0"/>
        <w:adjustRightInd w:val="0"/>
        <w:spacing w:after="0" w:line="240" w:lineRule="auto"/>
        <w:rPr>
          <w:bCs/>
          <w:color w:val="000000"/>
        </w:rPr>
      </w:pPr>
    </w:p>
    <w:p w14:paraId="5367B530"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 xml:space="preserve">For FDA-regulated research, recruitment materials must </w:t>
      </w:r>
      <w:r>
        <w:rPr>
          <w:b/>
          <w:bCs/>
          <w:color w:val="000000"/>
        </w:rPr>
        <w:t>NOT</w:t>
      </w:r>
      <w:r>
        <w:rPr>
          <w:bCs/>
          <w:color w:val="000000"/>
        </w:rPr>
        <w:t xml:space="preserve"> include any of the following:</w:t>
      </w:r>
    </w:p>
    <w:p w14:paraId="4C9ECB9A"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direct or implied claim that the purpose of the study is to provide treatment for a condition or disease, or that the research will improve a subject’s medical condition</w:t>
      </w:r>
    </w:p>
    <w:p w14:paraId="02F5B2A2"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claim (directly stated or implied) that a drug, biologic, or device being studied is safe and effective, or equal or superior to, an existing treatment</w:t>
      </w:r>
    </w:p>
    <w:p w14:paraId="26D2A29B"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claim (explicit or implicit) about a drug, biologic, or device being studied that is inconsistent with FDA labeling</w:t>
      </w:r>
    </w:p>
    <w:p w14:paraId="79B4DF29"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Any statement (direct or implied) that the research is approved by the FDA</w:t>
      </w:r>
    </w:p>
    <w:p w14:paraId="2AE22A59"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Statements that promise “free medical treatment,” when the intent is that subjects will not be charged for participation</w:t>
      </w:r>
    </w:p>
    <w:p w14:paraId="417F54F3"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Use of terms such as “new treatment,” “new medication,” “new drug,” or “new device” without explaining that the drug, biologic, or device is investigational</w:t>
      </w:r>
    </w:p>
    <w:p w14:paraId="4CEAC618" w14:textId="77777777" w:rsidR="005B32D0" w:rsidRPr="005B32D0" w:rsidRDefault="005B32D0" w:rsidP="00A07209">
      <w:pPr>
        <w:numPr>
          <w:ilvl w:val="2"/>
          <w:numId w:val="184"/>
        </w:numPr>
        <w:tabs>
          <w:tab w:val="num" w:pos="1440"/>
        </w:tabs>
        <w:autoSpaceDE w:val="0"/>
        <w:autoSpaceDN w:val="0"/>
        <w:adjustRightInd w:val="0"/>
        <w:spacing w:after="60" w:line="240" w:lineRule="auto"/>
        <w:ind w:left="1440"/>
        <w:rPr>
          <w:bCs/>
          <w:color w:val="000000"/>
        </w:rPr>
      </w:pPr>
      <w:r>
        <w:rPr>
          <w:bCs/>
          <w:color w:val="000000"/>
        </w:rPr>
        <w:t>For studies involving a placebo, descriptions of study design, drug allocation, or potential benefits without acknowledging the possibility that subjects may receive a placebo</w:t>
      </w:r>
    </w:p>
    <w:p w14:paraId="65BE5C0F" w14:textId="77777777" w:rsidR="005B32D0" w:rsidRPr="005B32D0" w:rsidRDefault="005B32D0" w:rsidP="00A07209">
      <w:pPr>
        <w:numPr>
          <w:ilvl w:val="2"/>
          <w:numId w:val="184"/>
        </w:numPr>
        <w:tabs>
          <w:tab w:val="num" w:pos="1440"/>
        </w:tabs>
        <w:autoSpaceDE w:val="0"/>
        <w:autoSpaceDN w:val="0"/>
        <w:adjustRightInd w:val="0"/>
        <w:spacing w:after="0" w:line="240" w:lineRule="auto"/>
        <w:ind w:left="1440"/>
        <w:rPr>
          <w:bCs/>
          <w:color w:val="000000"/>
        </w:rPr>
      </w:pPr>
      <w:r>
        <w:rPr>
          <w:bCs/>
          <w:color w:val="000000"/>
        </w:rPr>
        <w:t>Exculpatory language (e.g., releasing the investigator or sponsor from liability)</w:t>
      </w:r>
    </w:p>
    <w:p w14:paraId="52DEA761" w14:textId="77777777" w:rsidR="005B32D0" w:rsidRPr="005B32D0" w:rsidRDefault="005B32D0" w:rsidP="005B32D0">
      <w:pPr>
        <w:autoSpaceDE w:val="0"/>
        <w:autoSpaceDN w:val="0"/>
        <w:adjustRightInd w:val="0"/>
        <w:spacing w:after="0" w:line="240" w:lineRule="auto"/>
        <w:rPr>
          <w:bCs/>
          <w:color w:val="000000"/>
        </w:rPr>
      </w:pPr>
    </w:p>
    <w:p w14:paraId="42C81EB6"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When advertisements are to be used, the IRBs will review the following:</w:t>
      </w:r>
    </w:p>
    <w:p w14:paraId="124F0A3B"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Information contained in the advertisement</w:t>
      </w:r>
    </w:p>
    <w:p w14:paraId="7D48324D"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Mode of its communication</w:t>
      </w:r>
    </w:p>
    <w:p w14:paraId="55BEAF01" w14:textId="77777777" w:rsidR="005B32D0" w:rsidRPr="005B32D0" w:rsidRDefault="005B32D0" w:rsidP="00A07209">
      <w:pPr>
        <w:numPr>
          <w:ilvl w:val="2"/>
          <w:numId w:val="188"/>
        </w:numPr>
        <w:tabs>
          <w:tab w:val="num" w:pos="1440"/>
        </w:tabs>
        <w:autoSpaceDE w:val="0"/>
        <w:autoSpaceDN w:val="0"/>
        <w:adjustRightInd w:val="0"/>
        <w:spacing w:after="60" w:line="240" w:lineRule="auto"/>
        <w:ind w:left="1440"/>
        <w:rPr>
          <w:bCs/>
          <w:color w:val="000000"/>
        </w:rPr>
      </w:pPr>
      <w:r>
        <w:rPr>
          <w:bCs/>
          <w:color w:val="000000"/>
        </w:rPr>
        <w:t>Final copy of printed or internet advertisements</w:t>
      </w:r>
    </w:p>
    <w:p w14:paraId="0F4C9D19" w14:textId="77777777" w:rsidR="005B32D0" w:rsidRPr="005B32D0" w:rsidRDefault="005B32D0" w:rsidP="00A07209">
      <w:pPr>
        <w:numPr>
          <w:ilvl w:val="2"/>
          <w:numId w:val="188"/>
        </w:numPr>
        <w:tabs>
          <w:tab w:val="num" w:pos="1440"/>
        </w:tabs>
        <w:autoSpaceDE w:val="0"/>
        <w:autoSpaceDN w:val="0"/>
        <w:adjustRightInd w:val="0"/>
        <w:spacing w:after="0" w:line="240" w:lineRule="auto"/>
        <w:ind w:left="1440"/>
        <w:rPr>
          <w:bCs/>
          <w:color w:val="000000"/>
        </w:rPr>
      </w:pPr>
      <w:r>
        <w:rPr>
          <w:bCs/>
          <w:color w:val="000000"/>
        </w:rPr>
        <w:t>Script and final audio/video recording of recorded advertisements (see below)</w:t>
      </w:r>
    </w:p>
    <w:p w14:paraId="0933727F" w14:textId="77777777" w:rsidR="005B32D0" w:rsidRPr="005B32D0" w:rsidRDefault="005B32D0" w:rsidP="005B32D0">
      <w:pPr>
        <w:autoSpaceDE w:val="0"/>
        <w:autoSpaceDN w:val="0"/>
        <w:adjustRightInd w:val="0"/>
        <w:spacing w:after="0" w:line="240" w:lineRule="auto"/>
        <w:ind w:left="360"/>
        <w:rPr>
          <w:bCs/>
          <w:color w:val="000000"/>
        </w:rPr>
      </w:pPr>
    </w:p>
    <w:p w14:paraId="15BC1E46"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The “final” version of recruitment materials, along with a description of how, where, and by whom these materials will be distributed should be submitted to the IRB at the time of initial protocol submission, when possible. Recruitment materials developed or revised after IRB approval must be submitted to the IRB as an amendment and approved prior to use.</w:t>
      </w:r>
    </w:p>
    <w:p w14:paraId="6CE21661" w14:textId="77777777" w:rsidR="005B32D0" w:rsidRPr="005B32D0" w:rsidRDefault="005B32D0" w:rsidP="005B32D0">
      <w:pPr>
        <w:autoSpaceDE w:val="0"/>
        <w:autoSpaceDN w:val="0"/>
        <w:adjustRightInd w:val="0"/>
        <w:spacing w:after="60" w:line="240" w:lineRule="auto"/>
        <w:ind w:left="360"/>
        <w:rPr>
          <w:bCs/>
          <w:color w:val="000000"/>
        </w:rPr>
      </w:pPr>
    </w:p>
    <w:p w14:paraId="388174DC"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 xml:space="preserve">The following types of </w:t>
      </w:r>
      <w:r>
        <w:rPr>
          <w:color w:val="000000"/>
        </w:rPr>
        <w:t xml:space="preserve">recruitment materials do </w:t>
      </w:r>
      <w:r>
        <w:rPr>
          <w:b/>
          <w:color w:val="000000"/>
        </w:rPr>
        <w:t xml:space="preserve">NOT </w:t>
      </w:r>
      <w:r>
        <w:rPr>
          <w:color w:val="000000"/>
        </w:rPr>
        <w:t>require IRB review:</w:t>
      </w:r>
    </w:p>
    <w:p w14:paraId="596CEBDE" w14:textId="77777777" w:rsidR="005B32D0" w:rsidRPr="005B32D0" w:rsidRDefault="005B32D0" w:rsidP="007E3864">
      <w:pPr>
        <w:autoSpaceDE w:val="0"/>
        <w:autoSpaceDN w:val="0"/>
        <w:adjustRightInd w:val="0"/>
        <w:spacing w:after="0" w:line="240" w:lineRule="auto"/>
        <w:ind w:left="720"/>
        <w:rPr>
          <w:bCs/>
          <w:color w:val="000000"/>
        </w:rPr>
      </w:pPr>
      <w:r>
        <w:rPr>
          <w:color w:val="000000"/>
        </w:rPr>
        <w:t xml:space="preserve">Listings of IRB-approved studies, including Internet registries, </w:t>
      </w:r>
      <w:r>
        <w:rPr>
          <w:bCs/>
          <w:color w:val="000000"/>
        </w:rPr>
        <w:t>when the information provided in the listing is limited to basic information, such as the title of the study, basic eligibility criteria, study site location(s), and information on how to contact the site for further information.</w:t>
      </w:r>
    </w:p>
    <w:p w14:paraId="42A19C95" w14:textId="77777777" w:rsidR="005B32D0" w:rsidRPr="005B32D0" w:rsidRDefault="005B32D0" w:rsidP="005B32D0">
      <w:pPr>
        <w:spacing w:after="0" w:line="240" w:lineRule="auto"/>
        <w:rPr>
          <w:color w:val="000000"/>
        </w:rPr>
      </w:pPr>
    </w:p>
    <w:p w14:paraId="4D00E069" w14:textId="77777777" w:rsidR="005B32D0" w:rsidRPr="005B32D0" w:rsidRDefault="005B32D0" w:rsidP="00A07209">
      <w:pPr>
        <w:numPr>
          <w:ilvl w:val="0"/>
          <w:numId w:val="190"/>
        </w:numPr>
        <w:tabs>
          <w:tab w:val="num" w:pos="360"/>
        </w:tabs>
        <w:spacing w:after="0" w:line="240" w:lineRule="auto"/>
        <w:rPr>
          <w:color w:val="000000"/>
        </w:rPr>
      </w:pPr>
      <w:r>
        <w:rPr>
          <w:b/>
        </w:rPr>
        <w:t>Participant Compensation</w:t>
      </w:r>
    </w:p>
    <w:p w14:paraId="35AE05A5" w14:textId="77777777" w:rsidR="005B32D0" w:rsidRPr="005B32D0" w:rsidRDefault="005B32D0" w:rsidP="005B32D0">
      <w:pPr>
        <w:autoSpaceDE w:val="0"/>
        <w:autoSpaceDN w:val="0"/>
        <w:adjustRightInd w:val="0"/>
        <w:spacing w:after="0" w:line="240" w:lineRule="auto"/>
        <w:rPr>
          <w:i/>
          <w:color w:val="000000"/>
        </w:rPr>
      </w:pPr>
    </w:p>
    <w:p w14:paraId="701B5B30"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Participants or their legally authorized representatives may be reimbursed for out-of-pocket expenses such as parking or travel costs and/or compensated for time, effort, or other commitment associated with research participation. Compensation may be in the form of p</w:t>
      </w:r>
      <w:r>
        <w:rPr>
          <w:color w:val="000000"/>
        </w:rPr>
        <w:t>ayment, merchandise, class credit, or other offering that is intended to encourage or reward research participation.</w:t>
      </w:r>
    </w:p>
    <w:p w14:paraId="64862EE1" w14:textId="77777777" w:rsidR="005B32D0" w:rsidRPr="005B32D0" w:rsidRDefault="005B32D0" w:rsidP="005B32D0">
      <w:pPr>
        <w:autoSpaceDE w:val="0"/>
        <w:autoSpaceDN w:val="0"/>
        <w:adjustRightInd w:val="0"/>
        <w:spacing w:after="0" w:line="240" w:lineRule="auto"/>
        <w:ind w:left="360"/>
        <w:rPr>
          <w:bCs/>
          <w:color w:val="000000"/>
        </w:rPr>
      </w:pPr>
    </w:p>
    <w:p w14:paraId="0AC1640E"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t>Investigators may compensate participants using any (one or combination) of the following models: “reimbursement,” “hourly wage,” “market” (higher pay for high risk/low benefit studies), “fair share” (fixed proportion of the per-subject reimbursement to investigators), or other method, provided undue inducements and inequitable selection are avoided.</w:t>
      </w:r>
    </w:p>
    <w:p w14:paraId="3828194B" w14:textId="77777777" w:rsidR="005B32D0" w:rsidRPr="005B32D0" w:rsidRDefault="005B32D0" w:rsidP="005B32D0">
      <w:pPr>
        <w:autoSpaceDE w:val="0"/>
        <w:autoSpaceDN w:val="0"/>
        <w:adjustRightInd w:val="0"/>
        <w:spacing w:after="0" w:line="240" w:lineRule="auto"/>
        <w:ind w:left="360"/>
        <w:rPr>
          <w:bCs/>
          <w:color w:val="000000"/>
        </w:rPr>
      </w:pPr>
    </w:p>
    <w:p w14:paraId="755F3287"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lastRenderedPageBreak/>
        <w:t>Compensation for research participation is to be considered by investigators and the IRBs as a recruitment incentive rather than a benefit.</w:t>
      </w:r>
    </w:p>
    <w:p w14:paraId="60224E8A" w14:textId="77777777" w:rsidR="005B32D0" w:rsidRPr="005B32D0" w:rsidRDefault="005B32D0" w:rsidP="005B32D0">
      <w:pPr>
        <w:autoSpaceDE w:val="0"/>
        <w:autoSpaceDN w:val="0"/>
        <w:adjustRightInd w:val="0"/>
        <w:spacing w:after="0" w:line="240" w:lineRule="auto"/>
        <w:rPr>
          <w:bCs/>
          <w:color w:val="000000"/>
        </w:rPr>
      </w:pPr>
    </w:p>
    <w:p w14:paraId="1F2BFABF" w14:textId="77777777" w:rsidR="005B32D0" w:rsidRPr="005B32D0" w:rsidRDefault="005B32D0" w:rsidP="00A07209">
      <w:pPr>
        <w:numPr>
          <w:ilvl w:val="1"/>
          <w:numId w:val="190"/>
        </w:numPr>
        <w:spacing w:after="0" w:line="240" w:lineRule="auto"/>
        <w:ind w:left="720"/>
        <w:rPr>
          <w:bCs/>
          <w:color w:val="000000"/>
        </w:rPr>
      </w:pPr>
      <w:r>
        <w:rPr>
          <w:bCs/>
          <w:color w:val="000000"/>
        </w:rPr>
        <w:t>The IRBs will consider the cultural, financial, and educational status of participants when determining whether proposed compensation plans are appropriate. When payments are offered, the IRBs will review the amount of payment and proposed method and timing of disbursement to ensure that each is not coercive and does not present undue influence.</w:t>
      </w:r>
    </w:p>
    <w:p w14:paraId="753F3977" w14:textId="77777777" w:rsidR="005B32D0" w:rsidRPr="005B32D0" w:rsidRDefault="005B32D0" w:rsidP="005B32D0">
      <w:pPr>
        <w:autoSpaceDE w:val="0"/>
        <w:autoSpaceDN w:val="0"/>
        <w:adjustRightInd w:val="0"/>
        <w:spacing w:after="0" w:line="240" w:lineRule="auto"/>
        <w:ind w:left="360"/>
        <w:rPr>
          <w:bCs/>
          <w:color w:val="000000"/>
        </w:rPr>
      </w:pPr>
    </w:p>
    <w:p w14:paraId="158C8065"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In reviewing proposed payments, the IRBs will determine that compensation for research participation meets the following criteria:</w:t>
      </w:r>
    </w:p>
    <w:p w14:paraId="4A266766"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The amount of reimbursement is comparable to other research projects involving similar time, effort, and inconvenience.</w:t>
      </w:r>
    </w:p>
    <w:p w14:paraId="3E59A38C"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Payments are not so large as to induce participants to accept risks that they would not otherwise undertake, i.e., consent to participate “against their better judgment”.</w:t>
      </w:r>
    </w:p>
    <w:p w14:paraId="0FE4167E"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As appropriate, credit for payment accrues as the study progresses and is not contingent upon the participant completing the entire study.</w:t>
      </w:r>
    </w:p>
    <w:p w14:paraId="3C3F9114" w14:textId="77777777" w:rsidR="005B32D0" w:rsidRPr="005B32D0" w:rsidRDefault="005B32D0" w:rsidP="00A07209">
      <w:pPr>
        <w:numPr>
          <w:ilvl w:val="2"/>
          <w:numId w:val="185"/>
        </w:numPr>
        <w:tabs>
          <w:tab w:val="num" w:pos="1440"/>
        </w:tabs>
        <w:autoSpaceDE w:val="0"/>
        <w:autoSpaceDN w:val="0"/>
        <w:adjustRightInd w:val="0"/>
        <w:spacing w:after="60" w:line="240" w:lineRule="auto"/>
        <w:ind w:left="1440"/>
        <w:rPr>
          <w:bCs/>
          <w:color w:val="000000"/>
        </w:rPr>
      </w:pPr>
      <w:r>
        <w:rPr>
          <w:bCs/>
          <w:color w:val="000000"/>
        </w:rPr>
        <w:t>Any amount paid as a bonus for completion is reasonable and not so large as to unduly induce participants to stay in a study when they would otherwise have withdrawn.</w:t>
      </w:r>
    </w:p>
    <w:p w14:paraId="6DAD73AB" w14:textId="77777777" w:rsidR="005B32D0" w:rsidRPr="005B32D0" w:rsidRDefault="005B32D0" w:rsidP="00A07209">
      <w:pPr>
        <w:numPr>
          <w:ilvl w:val="2"/>
          <w:numId w:val="185"/>
        </w:numPr>
        <w:tabs>
          <w:tab w:val="num" w:pos="1440"/>
        </w:tabs>
        <w:autoSpaceDE w:val="0"/>
        <w:autoSpaceDN w:val="0"/>
        <w:adjustRightInd w:val="0"/>
        <w:spacing w:after="0" w:line="240" w:lineRule="auto"/>
        <w:ind w:left="1440"/>
        <w:rPr>
          <w:bCs/>
          <w:color w:val="000000"/>
        </w:rPr>
      </w:pPr>
      <w:r>
        <w:rPr>
          <w:bCs/>
          <w:color w:val="000000"/>
        </w:rPr>
        <w:t>All information concerning payment, including the amount, method, and schedule of payments, is described in the informed consent process.</w:t>
      </w:r>
    </w:p>
    <w:p w14:paraId="323B6B4C" w14:textId="77777777" w:rsidR="005B32D0" w:rsidRPr="005B32D0" w:rsidRDefault="005B32D0" w:rsidP="005B32D0">
      <w:pPr>
        <w:autoSpaceDE w:val="0"/>
        <w:autoSpaceDN w:val="0"/>
        <w:adjustRightInd w:val="0"/>
        <w:spacing w:after="0" w:line="240" w:lineRule="auto"/>
        <w:ind w:left="360"/>
        <w:rPr>
          <w:bCs/>
          <w:color w:val="000000"/>
        </w:rPr>
      </w:pPr>
    </w:p>
    <w:p w14:paraId="2C9005F9"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Gift certificates, gift cards, and merchandise are acceptable forms of compensation if the certificate, card, or merchandise meets the criteria above. Investigators should not provide participants with products containing a corporate sponsor’s name, slogan, logo, or other marketing materials as a form of payment.</w:t>
      </w:r>
    </w:p>
    <w:p w14:paraId="2C41E040" w14:textId="77777777" w:rsidR="005B32D0" w:rsidRPr="005B32D0" w:rsidRDefault="005B32D0" w:rsidP="005B32D0">
      <w:pPr>
        <w:autoSpaceDE w:val="0"/>
        <w:autoSpaceDN w:val="0"/>
        <w:adjustRightInd w:val="0"/>
        <w:spacing w:after="0" w:line="240" w:lineRule="auto"/>
        <w:ind w:left="360"/>
        <w:rPr>
          <w:bCs/>
          <w:color w:val="000000"/>
        </w:rPr>
      </w:pPr>
    </w:p>
    <w:p w14:paraId="7644B2F7" w14:textId="77777777" w:rsidR="005B32D0" w:rsidRPr="005B32D0" w:rsidRDefault="005B32D0" w:rsidP="00A07209">
      <w:pPr>
        <w:numPr>
          <w:ilvl w:val="1"/>
          <w:numId w:val="190"/>
        </w:numPr>
        <w:autoSpaceDE w:val="0"/>
        <w:autoSpaceDN w:val="0"/>
        <w:adjustRightInd w:val="0"/>
        <w:spacing w:after="60" w:line="240" w:lineRule="auto"/>
        <w:ind w:left="720"/>
        <w:rPr>
          <w:bCs/>
          <w:color w:val="000000"/>
        </w:rPr>
      </w:pPr>
      <w:r>
        <w:rPr>
          <w:bCs/>
          <w:color w:val="000000"/>
        </w:rPr>
        <w:t>Payments to research participants will be provided and documented (including appropriate use/storage of social security numbers) as described in university policy [</w:t>
      </w:r>
      <w:hyperlink r:id="rId200" w:history="1">
        <w:r>
          <w:rPr>
            <w:bCs/>
            <w:color w:val="0000FF"/>
            <w:u w:val="single"/>
          </w:rPr>
          <w:t>Policy on Payments to Research Subjects</w:t>
        </w:r>
      </w:hyperlink>
      <w:r>
        <w:rPr>
          <w:bCs/>
          <w:color w:val="0000FF"/>
          <w:u w:val="single"/>
        </w:rPr>
        <w:t>]</w:t>
      </w:r>
      <w:r>
        <w:rPr>
          <w:bCs/>
          <w:color w:val="000000"/>
        </w:rPr>
        <w:t xml:space="preserve"> and guidance on </w:t>
      </w:r>
      <w:hyperlink r:id="rId201" w:history="1">
        <w:r>
          <w:rPr>
            <w:bCs/>
            <w:color w:val="0000FF"/>
            <w:u w:val="single"/>
          </w:rPr>
          <w:t>managing research subject payments</w:t>
        </w:r>
      </w:hyperlink>
      <w:r>
        <w:rPr>
          <w:bCs/>
          <w:color w:val="000000"/>
        </w:rPr>
        <w:t>. When participants who do not complete the entire study are to be paid, payments may be made as follows:</w:t>
      </w:r>
    </w:p>
    <w:p w14:paraId="4492A504" w14:textId="77777777" w:rsidR="005B32D0" w:rsidRPr="005B32D0" w:rsidRDefault="005B32D0" w:rsidP="00A07209">
      <w:pPr>
        <w:numPr>
          <w:ilvl w:val="2"/>
          <w:numId w:val="186"/>
        </w:numPr>
        <w:tabs>
          <w:tab w:val="num" w:pos="1440"/>
        </w:tabs>
        <w:autoSpaceDE w:val="0"/>
        <w:autoSpaceDN w:val="0"/>
        <w:adjustRightInd w:val="0"/>
        <w:spacing w:after="60" w:line="240" w:lineRule="auto"/>
        <w:ind w:left="1440"/>
        <w:rPr>
          <w:color w:val="000000"/>
        </w:rPr>
      </w:pPr>
      <w:r>
        <w:rPr>
          <w:bCs/>
          <w:color w:val="000000"/>
        </w:rPr>
        <w:t>Payment to a participant who withdraws from a study may be made at the time that the participant would have completed the research (or a phase of the research) had he/she not withdrawn.</w:t>
      </w:r>
    </w:p>
    <w:p w14:paraId="48D16AE3" w14:textId="77777777" w:rsidR="005B32D0" w:rsidRPr="005B32D0" w:rsidRDefault="005B32D0" w:rsidP="00A07209">
      <w:pPr>
        <w:numPr>
          <w:ilvl w:val="2"/>
          <w:numId w:val="186"/>
        </w:numPr>
        <w:tabs>
          <w:tab w:val="num" w:pos="1440"/>
        </w:tabs>
        <w:autoSpaceDE w:val="0"/>
        <w:autoSpaceDN w:val="0"/>
        <w:adjustRightInd w:val="0"/>
        <w:spacing w:after="0" w:line="240" w:lineRule="auto"/>
        <w:ind w:left="1440"/>
        <w:rPr>
          <w:b/>
        </w:rPr>
      </w:pPr>
      <w:r>
        <w:rPr>
          <w:bCs/>
          <w:color w:val="000000"/>
        </w:rPr>
        <w:t>For short-term studies (e.g., lasting only a few days or weeks), a single payment at the end of the study is acceptable, even for participants who have withdrawn before then.</w:t>
      </w:r>
    </w:p>
    <w:p w14:paraId="24FE578A" w14:textId="77777777" w:rsidR="005B32D0" w:rsidRPr="005B32D0" w:rsidRDefault="005B32D0" w:rsidP="005B32D0">
      <w:pPr>
        <w:autoSpaceDE w:val="0"/>
        <w:autoSpaceDN w:val="0"/>
        <w:adjustRightInd w:val="0"/>
        <w:spacing w:after="0" w:line="240" w:lineRule="auto"/>
        <w:rPr>
          <w:bCs/>
          <w:color w:val="000000"/>
        </w:rPr>
      </w:pPr>
    </w:p>
    <w:p w14:paraId="4C711123"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For research involving children, investigators will specify to whom payment will be provided (i.e., participants, their parent(s) or legal guardian, or both). Proposed incentives should generally be offered to participants, if appropriate, based on age and circumstances, with reimbursement for time and expenses provided to a parent or legal guardian.</w:t>
      </w:r>
    </w:p>
    <w:p w14:paraId="28AB5AE9" w14:textId="77777777" w:rsidR="005B32D0" w:rsidRPr="005B32D0" w:rsidRDefault="005B32D0" w:rsidP="005B32D0">
      <w:pPr>
        <w:autoSpaceDE w:val="0"/>
        <w:autoSpaceDN w:val="0"/>
        <w:adjustRightInd w:val="0"/>
        <w:spacing w:after="0" w:line="240" w:lineRule="auto"/>
        <w:rPr>
          <w:bCs/>
          <w:color w:val="000000"/>
        </w:rPr>
      </w:pPr>
    </w:p>
    <w:p w14:paraId="50CB6566" w14:textId="77777777" w:rsidR="005B32D0" w:rsidRPr="005B32D0" w:rsidRDefault="005B32D0" w:rsidP="00A07209">
      <w:pPr>
        <w:numPr>
          <w:ilvl w:val="1"/>
          <w:numId w:val="190"/>
        </w:numPr>
        <w:autoSpaceDE w:val="0"/>
        <w:autoSpaceDN w:val="0"/>
        <w:adjustRightInd w:val="0"/>
        <w:spacing w:after="0" w:line="240" w:lineRule="auto"/>
        <w:ind w:left="720"/>
        <w:rPr>
          <w:bCs/>
          <w:color w:val="000000"/>
        </w:rPr>
      </w:pPr>
      <w:r>
        <w:rPr>
          <w:bCs/>
          <w:color w:val="000000"/>
        </w:rPr>
        <w:t>Opportunities to participate in drawings or other games of chance are acceptable forms of compensation in accordance with Ohio law (ORC Sections 2915.04 and 3763.01), provided that all participants are eligible, including those who withdraw from the study.</w:t>
      </w:r>
    </w:p>
    <w:p w14:paraId="25FDE235" w14:textId="77777777" w:rsidR="005B32D0" w:rsidRPr="005B32D0" w:rsidRDefault="005B32D0" w:rsidP="005B32D0">
      <w:pPr>
        <w:autoSpaceDE w:val="0"/>
        <w:autoSpaceDN w:val="0"/>
        <w:adjustRightInd w:val="0"/>
        <w:spacing w:after="0" w:line="240" w:lineRule="auto"/>
        <w:rPr>
          <w:bCs/>
          <w:color w:val="000000"/>
        </w:rPr>
      </w:pPr>
    </w:p>
    <w:p w14:paraId="17DBD12A" w14:textId="77777777" w:rsidR="005B32D0" w:rsidRPr="005B32D0" w:rsidRDefault="005B32D0" w:rsidP="00A07209">
      <w:pPr>
        <w:numPr>
          <w:ilvl w:val="1"/>
          <w:numId w:val="190"/>
        </w:numPr>
        <w:autoSpaceDE w:val="0"/>
        <w:autoSpaceDN w:val="0"/>
        <w:adjustRightInd w:val="0"/>
        <w:spacing w:after="0" w:line="240" w:lineRule="auto"/>
        <w:ind w:left="720"/>
        <w:rPr>
          <w:color w:val="000000"/>
        </w:rPr>
      </w:pPr>
      <w:r>
        <w:rPr>
          <w:bCs/>
          <w:color w:val="000000"/>
        </w:rPr>
        <w:t>Coupons good for a discount on the purchase price of an investigational drug or device once the drug or device has been approved for marketing may not be used.</w:t>
      </w:r>
    </w:p>
    <w:p w14:paraId="66F3FDCA" w14:textId="77777777" w:rsidR="005B32D0" w:rsidRPr="005B32D0" w:rsidRDefault="005B32D0" w:rsidP="005B32D0">
      <w:pPr>
        <w:autoSpaceDE w:val="0"/>
        <w:autoSpaceDN w:val="0"/>
        <w:adjustRightInd w:val="0"/>
        <w:spacing w:after="0" w:line="240" w:lineRule="auto"/>
        <w:rPr>
          <w:color w:val="000000"/>
        </w:rPr>
      </w:pPr>
    </w:p>
    <w:p w14:paraId="395C1DCD" w14:textId="77777777" w:rsidR="005B32D0" w:rsidRPr="005B32D0" w:rsidRDefault="005B32D0" w:rsidP="00A07209">
      <w:pPr>
        <w:numPr>
          <w:ilvl w:val="1"/>
          <w:numId w:val="190"/>
        </w:numPr>
        <w:autoSpaceDE w:val="0"/>
        <w:autoSpaceDN w:val="0"/>
        <w:adjustRightInd w:val="0"/>
        <w:spacing w:after="0" w:line="240" w:lineRule="auto"/>
        <w:ind w:left="720"/>
        <w:rPr>
          <w:bCs/>
          <w:color w:val="000000"/>
          <w:u w:val="single"/>
        </w:rPr>
      </w:pPr>
      <w:r>
        <w:rPr>
          <w:bCs/>
          <w:color w:val="000000"/>
        </w:rPr>
        <w:t>Information describing when and how payments will be made to participants should be described in the protocol and informed consent process and submitted to the IRB for review and approval at the time of initial review, when possible. Compensation plans proposed or revised after IRB approval must be submitted to the IRB as an amendment and approved prior to use.</w:t>
      </w:r>
    </w:p>
    <w:p w14:paraId="1DF01F23" w14:textId="77777777" w:rsidR="005B32D0" w:rsidRPr="005B32D0" w:rsidRDefault="005B32D0" w:rsidP="005B32D0">
      <w:pPr>
        <w:spacing w:after="0" w:line="240" w:lineRule="auto"/>
        <w:rPr>
          <w:bCs/>
          <w:color w:val="000000"/>
        </w:rPr>
      </w:pPr>
    </w:p>
    <w:p w14:paraId="1FE73724" w14:textId="77777777" w:rsidR="005B32D0" w:rsidRPr="005B32D0" w:rsidRDefault="005B32D0" w:rsidP="00A07209">
      <w:pPr>
        <w:numPr>
          <w:ilvl w:val="0"/>
          <w:numId w:val="190"/>
        </w:numPr>
        <w:tabs>
          <w:tab w:val="num" w:pos="360"/>
        </w:tabs>
        <w:spacing w:after="0" w:line="240" w:lineRule="auto"/>
      </w:pPr>
      <w:r>
        <w:rPr>
          <w:b/>
        </w:rPr>
        <w:t>Applicable Regulations/Guidance</w:t>
      </w:r>
    </w:p>
    <w:p w14:paraId="043B271D" w14:textId="77777777" w:rsidR="005B32D0" w:rsidRPr="005B32D0" w:rsidRDefault="005B32D0" w:rsidP="005B32D0">
      <w:pPr>
        <w:spacing w:after="0" w:line="240" w:lineRule="auto"/>
      </w:pPr>
    </w:p>
    <w:p w14:paraId="6C583E80" w14:textId="77777777" w:rsidR="005B32D0" w:rsidRPr="005B32D0" w:rsidRDefault="005B32D0" w:rsidP="005B32D0">
      <w:pPr>
        <w:autoSpaceDE w:val="0"/>
        <w:autoSpaceDN w:val="0"/>
        <w:adjustRightInd w:val="0"/>
        <w:spacing w:after="0" w:line="240" w:lineRule="auto"/>
        <w:ind w:left="360"/>
      </w:pPr>
      <w:r>
        <w:t xml:space="preserve">21 CFR 50.20, 21 CFR 56.111, 34 CFR 99, 45 CFR 46.111, 45 CFR 46.116, 45 CFR 160, 45 CFR 164, </w:t>
      </w:r>
      <w:r>
        <w:rPr>
          <w:bCs/>
          <w:color w:val="000000"/>
        </w:rPr>
        <w:t xml:space="preserve">ORC 2915.04, ORC 3763.01, </w:t>
      </w:r>
      <w:r>
        <w:t>FDA Information Sheets: “Recruiting Study Subjects” and “Payment to Research Subjects,” The Ohio State University “Policy on Institutional Data” (08/15/14), The Ohio State University “Policy on Responsible Use of University Computing and Network Resources” (02/01/13),</w:t>
      </w:r>
      <w:r>
        <w:rPr>
          <w:bCs/>
          <w:color w:val="000000"/>
        </w:rPr>
        <w:t xml:space="preserve"> The Ohio State University “Policy on Payments to Research Subjects” (07/21/08), The Ohio State University “Protected Health Information and HIPAA” policy (06/02/21), University Hospital Policy 09-11: “Use of Patient Information by Hospitals and Medical Staff</w:t>
      </w:r>
      <w:r>
        <w:t>” (04/07/08)</w:t>
      </w:r>
    </w:p>
    <w:p w14:paraId="1062B2D5" w14:textId="77777777" w:rsidR="005B32D0" w:rsidRPr="005B32D0" w:rsidRDefault="005B32D0" w:rsidP="005B32D0">
      <w:pPr>
        <w:autoSpaceDE w:val="0"/>
        <w:autoSpaceDN w:val="0"/>
        <w:adjustRightInd w:val="0"/>
        <w:spacing w:after="0" w:line="240" w:lineRule="auto"/>
        <w:ind w:left="360"/>
      </w:pPr>
    </w:p>
    <w:p w14:paraId="35735272" w14:textId="77777777" w:rsidR="005B32D0" w:rsidRPr="005B32D0" w:rsidRDefault="005B32D0" w:rsidP="00A07209">
      <w:pPr>
        <w:numPr>
          <w:ilvl w:val="0"/>
          <w:numId w:val="190"/>
        </w:numPr>
        <w:autoSpaceDE w:val="0"/>
        <w:autoSpaceDN w:val="0"/>
        <w:adjustRightInd w:val="0"/>
        <w:spacing w:after="0" w:line="240" w:lineRule="auto"/>
        <w:rPr>
          <w:b/>
        </w:rPr>
      </w:pPr>
      <w:r>
        <w:rPr>
          <w:b/>
        </w:rPr>
        <w:t>History</w:t>
      </w:r>
    </w:p>
    <w:p w14:paraId="242EBAAE" w14:textId="77777777" w:rsidR="005B32D0" w:rsidRPr="005B32D0" w:rsidRDefault="005B32D0" w:rsidP="005B32D0">
      <w:pPr>
        <w:autoSpaceDE w:val="0"/>
        <w:autoSpaceDN w:val="0"/>
        <w:adjustRightInd w:val="0"/>
        <w:spacing w:after="0" w:line="240" w:lineRule="auto"/>
        <w:rPr>
          <w:b/>
        </w:rPr>
      </w:pPr>
    </w:p>
    <w:p w14:paraId="2FBC61D4" w14:textId="77777777" w:rsidR="005B32D0" w:rsidRPr="005B32D0" w:rsidRDefault="005B32D0" w:rsidP="005B32D0">
      <w:pPr>
        <w:autoSpaceDE w:val="0"/>
        <w:autoSpaceDN w:val="0"/>
        <w:adjustRightInd w:val="0"/>
        <w:spacing w:after="0" w:line="240" w:lineRule="auto"/>
        <w:ind w:left="360"/>
      </w:pPr>
      <w:r>
        <w:t>Issued: 05/19/2008</w:t>
      </w:r>
    </w:p>
    <w:p w14:paraId="6901D9D4" w14:textId="77777777" w:rsidR="005B32D0" w:rsidRPr="005B32D0" w:rsidRDefault="005B32D0" w:rsidP="005B32D0">
      <w:pPr>
        <w:autoSpaceDE w:val="0"/>
        <w:autoSpaceDN w:val="0"/>
        <w:adjustRightInd w:val="0"/>
        <w:spacing w:after="0" w:line="240" w:lineRule="auto"/>
        <w:ind w:left="360"/>
      </w:pPr>
      <w:r>
        <w:t>Revised: 04/28/2009, 05/25/2012, 08/08/2014, 09/19/2016, 12/17/2018</w:t>
      </w:r>
    </w:p>
    <w:p w14:paraId="070E95BA" w14:textId="77777777" w:rsidR="005B32D0" w:rsidRPr="005B32D0" w:rsidRDefault="005B32D0" w:rsidP="005B32D0">
      <w:pPr>
        <w:autoSpaceDE w:val="0"/>
        <w:autoSpaceDN w:val="0"/>
        <w:adjustRightInd w:val="0"/>
        <w:spacing w:after="0" w:line="240" w:lineRule="auto"/>
        <w:ind w:left="360"/>
      </w:pPr>
      <w:r>
        <w:t>Edited: 01/21/2022, 04/20/2022</w:t>
      </w:r>
    </w:p>
    <w:p w14:paraId="5592AFC6" w14:textId="77777777" w:rsidR="005B32D0" w:rsidRPr="005B32D0" w:rsidRDefault="005B32D0" w:rsidP="005B32D0">
      <w:pPr>
        <w:autoSpaceDE w:val="0"/>
        <w:autoSpaceDN w:val="0"/>
        <w:adjustRightInd w:val="0"/>
        <w:spacing w:after="0" w:line="240" w:lineRule="auto"/>
        <w:ind w:left="360"/>
      </w:pPr>
    </w:p>
    <w:p w14:paraId="776E2966" w14:textId="77777777" w:rsidR="005B32D0" w:rsidRPr="005B32D0" w:rsidRDefault="005B32D0" w:rsidP="005B32D0">
      <w:pPr>
        <w:autoSpaceDE w:val="0"/>
        <w:autoSpaceDN w:val="0"/>
        <w:adjustRightInd w:val="0"/>
        <w:spacing w:after="0" w:line="240" w:lineRule="auto"/>
        <w:ind w:left="360"/>
      </w:pPr>
    </w:p>
    <w:p w14:paraId="58373287" w14:textId="77777777" w:rsidR="27E9E714" w:rsidRDefault="27E9E714" w:rsidP="27E9E714">
      <w:pPr>
        <w:spacing w:after="0"/>
        <w:ind w:left="360"/>
      </w:pPr>
    </w:p>
    <w:p w14:paraId="589A4447" w14:textId="77777777" w:rsidR="27E9E714" w:rsidRDefault="27E9E714" w:rsidP="27E9E714">
      <w:pPr>
        <w:spacing w:after="0"/>
        <w:ind w:left="360"/>
      </w:pPr>
    </w:p>
    <w:p w14:paraId="313A2C77" w14:textId="77777777" w:rsidR="00331664" w:rsidRDefault="00331664">
      <w:pPr>
        <w:rPr>
          <w:rStyle w:val="Heading2Char"/>
        </w:rPr>
      </w:pPr>
      <w:bookmarkStart w:id="279" w:name="_Toc1519249111"/>
      <w:r>
        <w:rPr>
          <w:rStyle w:val="Heading2Char"/>
        </w:rPr>
        <w:br w:type="page"/>
      </w:r>
    </w:p>
    <w:p w14:paraId="1FC88E73" w14:textId="77777777" w:rsidR="00C91EBD" w:rsidRPr="00A03AD6" w:rsidRDefault="52D0EBA7" w:rsidP="00471B9E">
      <w:pPr>
        <w:pStyle w:val="Heading2"/>
      </w:pPr>
      <w:bookmarkStart w:id="280" w:name="B13"/>
      <w:bookmarkStart w:id="281" w:name="_Toc212142210"/>
      <w:bookmarkStart w:id="282" w:name="_Toc225507750"/>
      <w:r>
        <w:lastRenderedPageBreak/>
        <w:t>Appendix B-13</w:t>
      </w:r>
      <w:bookmarkEnd w:id="279"/>
      <w:r>
        <w:t xml:space="preserve">  </w:t>
      </w:r>
      <w:bookmarkEnd w:id="280"/>
      <w:r>
        <w:tab/>
        <w:t>Privacy and Confidentiality</w:t>
      </w:r>
      <w:bookmarkEnd w:id="281"/>
      <w:bookmarkEnd w:id="282"/>
    </w:p>
    <w:p w14:paraId="6C0D949C" w14:textId="77777777" w:rsidR="00C91EBD" w:rsidRPr="00A03AD6" w:rsidRDefault="00C91EBD" w:rsidP="00C91EBD">
      <w:pPr>
        <w:rPr>
          <w:b/>
          <w:smallCaps/>
        </w:rPr>
      </w:pPr>
    </w:p>
    <w:p w14:paraId="600B25C6" w14:textId="77777777" w:rsidR="00C91EBD" w:rsidRDefault="00C91EBD" w:rsidP="00A07209">
      <w:pPr>
        <w:numPr>
          <w:ilvl w:val="0"/>
          <w:numId w:val="198"/>
        </w:numPr>
        <w:spacing w:after="0" w:line="240" w:lineRule="auto"/>
        <w:rPr>
          <w:b/>
          <w:smallCaps/>
        </w:rPr>
      </w:pPr>
      <w:r>
        <w:rPr>
          <w:b/>
        </w:rPr>
        <w:t>Overview</w:t>
      </w:r>
    </w:p>
    <w:p w14:paraId="26B4F592" w14:textId="77777777" w:rsidR="007E3864" w:rsidRPr="007E3864" w:rsidRDefault="007E3864" w:rsidP="007E3864">
      <w:pPr>
        <w:spacing w:after="0" w:line="240" w:lineRule="auto"/>
        <w:ind w:left="1224"/>
        <w:rPr>
          <w:b/>
          <w:smallCaps/>
        </w:rPr>
      </w:pPr>
    </w:p>
    <w:p w14:paraId="073DB750" w14:textId="77777777" w:rsidR="00C91EBD" w:rsidRPr="00A03AD6" w:rsidRDefault="00C91EBD" w:rsidP="007E3864">
      <w:pPr>
        <w:ind w:left="360"/>
      </w:pPr>
      <w:r>
        <w:t>Federal regulations require that research involving human subjects includes adequate provisions to protect the privacy interests of participants and to maintain the confidentiality of data. This policy describes requirements for protecting privacy and confidentiality in research involving human subjects, including the use of National Institutes of Health (NIH) Certificates of Confidentiality.</w:t>
      </w:r>
    </w:p>
    <w:p w14:paraId="65AE204C" w14:textId="77777777" w:rsidR="00C91EBD" w:rsidRDefault="00C91EBD" w:rsidP="00A07209">
      <w:pPr>
        <w:numPr>
          <w:ilvl w:val="0"/>
          <w:numId w:val="198"/>
        </w:numPr>
        <w:spacing w:after="0" w:line="240" w:lineRule="auto"/>
        <w:ind w:left="360" w:hanging="360"/>
        <w:rPr>
          <w:b/>
        </w:rPr>
      </w:pPr>
      <w:r>
        <w:rPr>
          <w:b/>
        </w:rPr>
        <w:t>Definitions</w:t>
      </w:r>
    </w:p>
    <w:p w14:paraId="6419F234" w14:textId="77777777" w:rsidR="007E3864" w:rsidRPr="007E3864" w:rsidRDefault="007E3864" w:rsidP="007E3864">
      <w:pPr>
        <w:spacing w:after="0" w:line="240" w:lineRule="auto"/>
        <w:ind w:left="360"/>
        <w:rPr>
          <w:b/>
        </w:rPr>
      </w:pPr>
    </w:p>
    <w:p w14:paraId="526D92A0" w14:textId="77777777" w:rsidR="00C91EBD" w:rsidRDefault="00C91EBD" w:rsidP="007E3864">
      <w:pPr>
        <w:ind w:left="360"/>
        <w:rPr>
          <w:b/>
        </w:rPr>
      </w:pPr>
      <w:r>
        <w:rPr>
          <w:b/>
        </w:rPr>
        <w:t>Identifiable, sensitive information (As defined by NIH for the purposes of Certificates of Confidentiality):</w:t>
      </w:r>
      <w:r>
        <w:t xml:space="preserve"> Information about an individual, gathered or used during the course of biomedical, behavioral, clinical, or other research, through which the individual is identified, or there is at least a very small risk that some combination of the information, a request for the information, and other available data sources could be used to determine the identity of an individual. NIH policy defines this as “covered information.” Examples of identifiable, sensitive information include name, address, social security or other identifying number; and fingerprints, voiceprints, photographs, genetic information, tissue samples, or data fields that, when used in combination with other information, may lead to identification of an individual.</w:t>
      </w:r>
      <w:r>
        <w:rPr>
          <w:b/>
        </w:rPr>
        <w:t xml:space="preserve"> </w:t>
      </w:r>
    </w:p>
    <w:p w14:paraId="509EE6E1" w14:textId="77777777" w:rsidR="00C91EBD" w:rsidRPr="00A03AD6" w:rsidRDefault="00C91EBD" w:rsidP="007E3864">
      <w:pPr>
        <w:ind w:left="360"/>
      </w:pPr>
      <w:r>
        <w:rPr>
          <w:b/>
        </w:rPr>
        <w:t xml:space="preserve">Privacy: </w:t>
      </w:r>
      <w:r>
        <w:t>The state of being free from the observation, intrusion, or attention of others.</w:t>
      </w:r>
    </w:p>
    <w:p w14:paraId="7B0C2F02" w14:textId="77777777" w:rsidR="00C91EBD" w:rsidRPr="007E3864" w:rsidRDefault="00C91EBD" w:rsidP="007E3864">
      <w:pPr>
        <w:ind w:left="360"/>
      </w:pPr>
      <w:r>
        <w:rPr>
          <w:b/>
        </w:rPr>
        <w:t xml:space="preserve">Confidentiality: </w:t>
      </w:r>
      <w:r>
        <w:t>In the context of human subjects research, the condition that results when data are maintained in a way that prevents inadvertent or inappropriate disclosure of participants’ identifiable information.</w:t>
      </w:r>
    </w:p>
    <w:p w14:paraId="1D7467CC" w14:textId="77777777" w:rsidR="00C91EBD" w:rsidRDefault="00C91EBD" w:rsidP="00A07209">
      <w:pPr>
        <w:numPr>
          <w:ilvl w:val="0"/>
          <w:numId w:val="198"/>
        </w:numPr>
        <w:spacing w:after="0" w:line="240" w:lineRule="auto"/>
        <w:ind w:left="360" w:hanging="360"/>
        <w:rPr>
          <w:b/>
        </w:rPr>
      </w:pPr>
      <w:r>
        <w:rPr>
          <w:b/>
        </w:rPr>
        <w:t>General Information</w:t>
      </w:r>
    </w:p>
    <w:p w14:paraId="15BED18E" w14:textId="77777777" w:rsidR="007E3864" w:rsidRPr="007E3864" w:rsidRDefault="007E3864" w:rsidP="007E3864">
      <w:pPr>
        <w:spacing w:after="0" w:line="240" w:lineRule="auto"/>
        <w:ind w:left="360"/>
        <w:rPr>
          <w:b/>
        </w:rPr>
      </w:pPr>
    </w:p>
    <w:p w14:paraId="547A0342" w14:textId="77777777" w:rsidR="00C91EBD" w:rsidRPr="00A03AD6" w:rsidRDefault="00C91EBD" w:rsidP="00A07209">
      <w:pPr>
        <w:numPr>
          <w:ilvl w:val="1"/>
          <w:numId w:val="198"/>
        </w:numPr>
        <w:spacing w:after="0" w:line="240" w:lineRule="auto"/>
        <w:ind w:left="720" w:hanging="360"/>
      </w:pPr>
      <w:r>
        <w:t xml:space="preserve">It is important to note the distinction between “privacy” and “confidentiality” in human subjects research. In general, </w:t>
      </w:r>
      <w:r>
        <w:rPr>
          <w:b/>
        </w:rPr>
        <w:t>privacy</w:t>
      </w:r>
      <w:r>
        <w:t xml:space="preserve"> concerns are about the </w:t>
      </w:r>
      <w:r>
        <w:rPr>
          <w:i/>
        </w:rPr>
        <w:t>people</w:t>
      </w:r>
      <w:r>
        <w:t xml:space="preserve"> involved in the research, whereas </w:t>
      </w:r>
      <w:r>
        <w:rPr>
          <w:b/>
        </w:rPr>
        <w:t>confidentiality</w:t>
      </w:r>
      <w:r>
        <w:t xml:space="preserve"> issues are those associated with the</w:t>
      </w:r>
      <w:r>
        <w:rPr>
          <w:i/>
        </w:rPr>
        <w:t xml:space="preserve"> data </w:t>
      </w:r>
      <w:r>
        <w:t>obtained for research purposes</w:t>
      </w:r>
      <w:r>
        <w:rPr>
          <w:i/>
        </w:rPr>
        <w:t>.</w:t>
      </w:r>
    </w:p>
    <w:p w14:paraId="67DBF089" w14:textId="77777777" w:rsidR="00C91EBD" w:rsidRPr="00A03AD6" w:rsidRDefault="00C91EBD" w:rsidP="00C91EBD"/>
    <w:p w14:paraId="7BA7B7BE" w14:textId="77777777" w:rsidR="00C91EBD" w:rsidRPr="00A03AD6" w:rsidRDefault="00C91EBD" w:rsidP="00A07209">
      <w:pPr>
        <w:numPr>
          <w:ilvl w:val="1"/>
          <w:numId w:val="198"/>
        </w:numPr>
        <w:spacing w:after="0" w:line="240" w:lineRule="auto"/>
        <w:ind w:left="720" w:hanging="360"/>
      </w:pPr>
      <w:r>
        <w:t>Provisions for protecting privacy and/or confidentiality are relevant at all stages of research, including subject identification and recruitment, research participation, and analysis of individually identifiable data. For additional information on protecting participant privacy during recruitment, see HRPP policy [</w:t>
      </w:r>
      <w:hyperlink r:id="rId202" w:history="1">
        <w:r>
          <w:rPr>
            <w:rStyle w:val="Hyperlink"/>
          </w:rPr>
          <w:t>Recruiting Methods, Recruitment Materials, and Participant Compensation</w:t>
        </w:r>
      </w:hyperlink>
      <w:r>
        <w:t>].</w:t>
      </w:r>
    </w:p>
    <w:p w14:paraId="6C40FD84" w14:textId="77777777" w:rsidR="00C91EBD" w:rsidRPr="00A03AD6" w:rsidRDefault="00C91EBD" w:rsidP="00C91EBD">
      <w:pPr>
        <w:rPr>
          <w:b/>
        </w:rPr>
      </w:pPr>
    </w:p>
    <w:p w14:paraId="144A96C9" w14:textId="77777777" w:rsidR="00C91EBD" w:rsidRPr="00A03AD6" w:rsidRDefault="00C91EBD" w:rsidP="00A07209">
      <w:pPr>
        <w:numPr>
          <w:ilvl w:val="0"/>
          <w:numId w:val="198"/>
        </w:numPr>
        <w:spacing w:after="0" w:line="240" w:lineRule="auto"/>
        <w:ind w:left="360" w:hanging="360"/>
        <w:rPr>
          <w:b/>
        </w:rPr>
      </w:pPr>
      <w:r>
        <w:rPr>
          <w:b/>
        </w:rPr>
        <w:t>Protecting Privacy Interests</w:t>
      </w:r>
    </w:p>
    <w:p w14:paraId="0C874ACE" w14:textId="77777777" w:rsidR="00C91EBD" w:rsidRPr="00A03AD6" w:rsidRDefault="00C91EBD" w:rsidP="00C91EBD">
      <w:pPr>
        <w:rPr>
          <w:b/>
        </w:rPr>
      </w:pPr>
    </w:p>
    <w:p w14:paraId="3D4D73A3" w14:textId="77777777" w:rsidR="00C91EBD" w:rsidRPr="00A03AD6" w:rsidRDefault="00C91EBD" w:rsidP="00A07209">
      <w:pPr>
        <w:numPr>
          <w:ilvl w:val="1"/>
          <w:numId w:val="198"/>
        </w:numPr>
        <w:spacing w:after="0" w:line="240" w:lineRule="auto"/>
        <w:ind w:left="720" w:hanging="360"/>
      </w:pPr>
      <w:r>
        <w:t>Research involving human subjects must include adequate provisions to protect subjects’ privacy interests. Respect for potential participants’ right to privacy requires consideration of their interests in having control over the extent, timing, and circumstances of sharing themselves (physically, behaviorally, or intellectually) with others. For example, individuals might not want to participate in a study that involves their being seen entering a building that might stigmatize them, such as a substance abuse counseling center, or to provide personal information during an interview conducted in a crowded place (e.g., clinic waiting room).</w:t>
      </w:r>
    </w:p>
    <w:p w14:paraId="5F5A13E6" w14:textId="77777777" w:rsidR="00C91EBD" w:rsidRPr="00A03AD6" w:rsidRDefault="00C91EBD" w:rsidP="00C91EBD">
      <w:pPr>
        <w:ind w:left="720"/>
      </w:pPr>
    </w:p>
    <w:p w14:paraId="1DBA36AC" w14:textId="77777777" w:rsidR="00C91EBD" w:rsidRPr="00A03AD6" w:rsidRDefault="00C91EBD" w:rsidP="00A07209">
      <w:pPr>
        <w:numPr>
          <w:ilvl w:val="1"/>
          <w:numId w:val="198"/>
        </w:numPr>
        <w:spacing w:after="0" w:line="240" w:lineRule="auto"/>
        <w:ind w:left="720" w:hanging="360"/>
      </w:pPr>
      <w:r>
        <w:t xml:space="preserve">What is considered to be “private” depends on the individual and may vary based on age, gender, ethnicity, socioeconomic class, education level, verbal skills, health, legal status, personality, and the individual’s </w:t>
      </w:r>
      <w:r>
        <w:lastRenderedPageBreak/>
        <w:t>relationship with the investigator. For example, protecting the privacy interests of a young child might mean having a parent present at a session with an investigator, while protecting the privacy interests of a teenager might mean having the parent absent. Knowledge of the characteristics of the potential participant population is important in considering research methods that respect privacy.</w:t>
      </w:r>
    </w:p>
    <w:p w14:paraId="0BD02F57" w14:textId="77777777" w:rsidR="00C91EBD" w:rsidRPr="00A03AD6" w:rsidRDefault="00C91EBD" w:rsidP="00C91EBD"/>
    <w:p w14:paraId="4CB4E1B0" w14:textId="77777777" w:rsidR="00C91EBD" w:rsidRPr="00A03AD6" w:rsidRDefault="00C91EBD" w:rsidP="00A07209">
      <w:pPr>
        <w:numPr>
          <w:ilvl w:val="1"/>
          <w:numId w:val="198"/>
        </w:numPr>
        <w:spacing w:after="60" w:line="240" w:lineRule="auto"/>
        <w:ind w:left="720" w:hanging="360"/>
      </w:pPr>
      <w:r>
        <w:t>In the context of research, concerns about possible “invasions of privacy” are primarily associated with methods used to obtain information about participants, such as by review of personally identifiable records. When evaluating potential privacy concerns raised by the use of identifiable private records, the following factors should be considered:</w:t>
      </w:r>
    </w:p>
    <w:p w14:paraId="524308E9" w14:textId="77777777" w:rsidR="00C91EBD" w:rsidRPr="00A03AD6" w:rsidRDefault="00C91EBD" w:rsidP="00A07209">
      <w:pPr>
        <w:numPr>
          <w:ilvl w:val="0"/>
          <w:numId w:val="193"/>
        </w:numPr>
        <w:tabs>
          <w:tab w:val="clear" w:pos="3240"/>
          <w:tab w:val="num" w:pos="1440"/>
        </w:tabs>
        <w:spacing w:after="60" w:line="240" w:lineRule="auto"/>
        <w:ind w:left="1440"/>
      </w:pPr>
      <w:r>
        <w:t>The original purpose of the records</w:t>
      </w:r>
    </w:p>
    <w:p w14:paraId="70B9A2AA" w14:textId="77777777" w:rsidR="00C91EBD" w:rsidRPr="00A03AD6" w:rsidRDefault="00C91EBD" w:rsidP="00A07209">
      <w:pPr>
        <w:numPr>
          <w:ilvl w:val="0"/>
          <w:numId w:val="193"/>
        </w:numPr>
        <w:tabs>
          <w:tab w:val="clear" w:pos="3240"/>
          <w:tab w:val="num" w:pos="1440"/>
        </w:tabs>
        <w:spacing w:after="60" w:line="240" w:lineRule="auto"/>
        <w:ind w:left="1440"/>
      </w:pPr>
      <w:r>
        <w:t>Sensitivity of the information involved (e.g., medical vs. attendance records)</w:t>
      </w:r>
    </w:p>
    <w:p w14:paraId="1CA253AA" w14:textId="77777777" w:rsidR="00C91EBD" w:rsidRPr="00A03AD6" w:rsidRDefault="00C91EBD" w:rsidP="00A07209">
      <w:pPr>
        <w:numPr>
          <w:ilvl w:val="0"/>
          <w:numId w:val="193"/>
        </w:numPr>
        <w:tabs>
          <w:tab w:val="clear" w:pos="3240"/>
          <w:tab w:val="num" w:pos="1440"/>
        </w:tabs>
        <w:spacing w:after="60" w:line="240" w:lineRule="auto"/>
        <w:ind w:left="1440"/>
      </w:pPr>
      <w:r>
        <w:t>Potential risk of harm from unintended disclosure of the information</w:t>
      </w:r>
    </w:p>
    <w:p w14:paraId="1A7056A2" w14:textId="77777777" w:rsidR="00C91EBD" w:rsidRPr="00A03AD6" w:rsidRDefault="00C91EBD" w:rsidP="00A07209">
      <w:pPr>
        <w:numPr>
          <w:ilvl w:val="0"/>
          <w:numId w:val="193"/>
        </w:numPr>
        <w:tabs>
          <w:tab w:val="clear" w:pos="3240"/>
          <w:tab w:val="num" w:pos="1440"/>
        </w:tabs>
        <w:spacing w:after="0" w:line="240" w:lineRule="auto"/>
        <w:ind w:left="1440"/>
      </w:pPr>
      <w:r>
        <w:t>Whether the research requires access to the identifiable private information</w:t>
      </w:r>
    </w:p>
    <w:p w14:paraId="62B84F54" w14:textId="77777777" w:rsidR="00C91EBD" w:rsidRPr="00A03AD6" w:rsidRDefault="00C91EBD" w:rsidP="00C91EBD"/>
    <w:p w14:paraId="53C8387C" w14:textId="77777777" w:rsidR="00C91EBD" w:rsidRPr="00A03AD6" w:rsidRDefault="00C91EBD" w:rsidP="00A07209">
      <w:pPr>
        <w:numPr>
          <w:ilvl w:val="0"/>
          <w:numId w:val="194"/>
        </w:numPr>
        <w:spacing w:after="0" w:line="240" w:lineRule="auto"/>
        <w:ind w:left="720"/>
      </w:pPr>
      <w:r>
        <w:t>In considering the sensitivity of identifiable private information, investigators and IRBs should evaluate whether disclosure of the information could be embarrassing or damaging to the participants’ reputation, financial standing, employability or insurability, or place participants at risk of criminal or civil liability.</w:t>
      </w:r>
    </w:p>
    <w:p w14:paraId="432BC743" w14:textId="77777777" w:rsidR="00C91EBD" w:rsidRPr="00A03AD6" w:rsidRDefault="00C91EBD" w:rsidP="00C91EBD">
      <w:pPr>
        <w:ind w:left="720"/>
      </w:pPr>
    </w:p>
    <w:p w14:paraId="0188237F" w14:textId="77777777" w:rsidR="00C91EBD" w:rsidRPr="00A03AD6" w:rsidRDefault="00C91EBD" w:rsidP="00A07209">
      <w:pPr>
        <w:numPr>
          <w:ilvl w:val="0"/>
          <w:numId w:val="194"/>
        </w:numPr>
        <w:spacing w:after="0" w:line="240" w:lineRule="auto"/>
        <w:ind w:left="720"/>
      </w:pPr>
      <w:r>
        <w:t xml:space="preserve">Access to and/or use of identifiable patient information from medical records or clinical databases for research purposes must comply with </w:t>
      </w:r>
      <w:r>
        <w:rPr>
          <w:bCs/>
          <w:color w:val="000000"/>
        </w:rPr>
        <w:t xml:space="preserve">the requirements of the </w:t>
      </w:r>
      <w:r>
        <w:rPr>
          <w:rStyle w:val="Strong"/>
          <w:b w:val="0"/>
        </w:rPr>
        <w:t>HIPAA Privacy and Security Rules</w:t>
      </w:r>
      <w:r>
        <w:rPr>
          <w:bCs/>
          <w:color w:val="000000"/>
        </w:rPr>
        <w:t xml:space="preserve"> and university policy (e.g., [University Hospital Policy 09-11: Use of Patient Information by Hospitals and Medical Staff</w:t>
      </w:r>
      <w:r>
        <w:t xml:space="preserve">] and the university </w:t>
      </w:r>
      <w:hyperlink r:id="rId203" w:history="1">
        <w:r>
          <w:rPr>
            <w:rStyle w:val="Hyperlink"/>
          </w:rPr>
          <w:t>Protected Health Information and HIPAA</w:t>
        </w:r>
      </w:hyperlink>
      <w:r>
        <w:t xml:space="preserve"> policy])</w:t>
      </w:r>
      <w:r>
        <w:rPr>
          <w:bCs/>
          <w:color w:val="000000"/>
        </w:rPr>
        <w:t>.</w:t>
      </w:r>
    </w:p>
    <w:p w14:paraId="5EC65D8E" w14:textId="77777777" w:rsidR="00C91EBD" w:rsidRPr="00A03AD6" w:rsidRDefault="00C91EBD" w:rsidP="00C91EBD">
      <w:pPr>
        <w:rPr>
          <w:bCs/>
          <w:color w:val="000000"/>
        </w:rPr>
      </w:pPr>
    </w:p>
    <w:p w14:paraId="7B00070C" w14:textId="77777777" w:rsidR="00C91EBD" w:rsidRPr="00A03AD6" w:rsidRDefault="00C91EBD" w:rsidP="00A07209">
      <w:pPr>
        <w:numPr>
          <w:ilvl w:val="0"/>
          <w:numId w:val="194"/>
        </w:numPr>
        <w:spacing w:after="0" w:line="240" w:lineRule="auto"/>
        <w:ind w:left="720"/>
      </w:pPr>
      <w:r>
        <w:rPr>
          <w:bCs/>
          <w:color w:val="000000"/>
        </w:rPr>
        <w:t xml:space="preserve">The proposed use of student education records in research must comply with the requirements of the </w:t>
      </w:r>
      <w:hyperlink r:id="rId204" w:history="1">
        <w:r>
          <w:rPr>
            <w:rStyle w:val="Hyperlink"/>
            <w:bCs/>
          </w:rPr>
          <w:t>Family Educational and Rights Privacy Act (FERPA)</w:t>
        </w:r>
      </w:hyperlink>
      <w:r>
        <w:rPr>
          <w:bCs/>
          <w:color w:val="000000"/>
        </w:rPr>
        <w:t>.</w:t>
      </w:r>
    </w:p>
    <w:p w14:paraId="4B1B4355" w14:textId="77777777" w:rsidR="00C91EBD" w:rsidRPr="00A03AD6" w:rsidRDefault="00C91EBD" w:rsidP="00C91EBD"/>
    <w:p w14:paraId="6FF2E3FA" w14:textId="77777777" w:rsidR="007E3864" w:rsidRPr="007E3864" w:rsidRDefault="00C91EBD" w:rsidP="00A07209">
      <w:pPr>
        <w:numPr>
          <w:ilvl w:val="0"/>
          <w:numId w:val="194"/>
        </w:numPr>
        <w:spacing w:after="0" w:line="240" w:lineRule="auto"/>
        <w:ind w:left="720"/>
      </w:pPr>
      <w:r>
        <w:t>Information collected by observation of individuals can also raise concerns about possible invasions of privacy, particularly when the individuals are unaware that they are being observed, and/or the behaviors are observed in “quasi-public” places where individuals have a reasonable expectation of privacy (e.g., a physician’s waiting room). To minimize potential risks, observations should be recorded whenever possible in a manner that does not allow participants to be identified, either directly or through identifiers linked to them. When identifiers are necessary for the research, adequate provisions for maintaining the confidentiality of the data are required.</w:t>
      </w:r>
    </w:p>
    <w:p w14:paraId="5420CE54" w14:textId="77777777" w:rsidR="007E3864" w:rsidRPr="007E3864" w:rsidRDefault="007E3864" w:rsidP="007E3864">
      <w:pPr>
        <w:spacing w:after="0" w:line="240" w:lineRule="auto"/>
        <w:ind w:left="720"/>
      </w:pPr>
    </w:p>
    <w:p w14:paraId="0998448F" w14:textId="77777777" w:rsidR="00C91EBD" w:rsidRDefault="00C91EBD" w:rsidP="00A07209">
      <w:pPr>
        <w:numPr>
          <w:ilvl w:val="0"/>
          <w:numId w:val="195"/>
        </w:numPr>
        <w:tabs>
          <w:tab w:val="clear" w:pos="720"/>
          <w:tab w:val="num" w:pos="360"/>
        </w:tabs>
        <w:spacing w:after="0" w:line="240" w:lineRule="auto"/>
        <w:ind w:left="360"/>
        <w:rPr>
          <w:b/>
        </w:rPr>
      </w:pPr>
      <w:r>
        <w:rPr>
          <w:b/>
        </w:rPr>
        <w:t>Maintaining Confidentiality</w:t>
      </w:r>
    </w:p>
    <w:p w14:paraId="318AE5D6" w14:textId="77777777" w:rsidR="007E3864" w:rsidRPr="007E3864" w:rsidRDefault="007E3864" w:rsidP="007E3864">
      <w:pPr>
        <w:spacing w:after="0" w:line="240" w:lineRule="auto"/>
        <w:ind w:left="360"/>
        <w:rPr>
          <w:b/>
        </w:rPr>
      </w:pPr>
    </w:p>
    <w:p w14:paraId="38A00BF3" w14:textId="77777777" w:rsidR="00C91EBD" w:rsidRPr="00A03AD6" w:rsidRDefault="00C91EBD" w:rsidP="00A07209">
      <w:pPr>
        <w:numPr>
          <w:ilvl w:val="0"/>
          <w:numId w:val="196"/>
        </w:numPr>
        <w:spacing w:after="0" w:line="240" w:lineRule="auto"/>
        <w:ind w:left="720"/>
      </w:pPr>
      <w:r>
        <w:t>Research involving human subjects must include adequate provisions to maintain the confidentiality of research data. Maintaining confidentiality requires safeguarding the information that an individual has disclosed in a relationship of trust and with the expectation that it will not be disclosed to others without permission, except in ways that are consistent with the original disclosure. Confidentiality in the context of human subjects research also refers to the investigator’s agreement with participants, when applicable (i.e., through participants’ informed consent), about how their identifiable private information will be handled, managed, and disseminated.</w:t>
      </w:r>
    </w:p>
    <w:p w14:paraId="6EF72E82" w14:textId="77777777" w:rsidR="00C91EBD" w:rsidRPr="00A03AD6" w:rsidRDefault="00C91EBD" w:rsidP="00C91EBD">
      <w:pPr>
        <w:ind w:left="720"/>
      </w:pPr>
    </w:p>
    <w:p w14:paraId="1BC02B23" w14:textId="77777777" w:rsidR="007E3864" w:rsidRPr="007E3864" w:rsidRDefault="00C91EBD" w:rsidP="00A07209">
      <w:pPr>
        <w:numPr>
          <w:ilvl w:val="0"/>
          <w:numId w:val="196"/>
        </w:numPr>
        <w:spacing w:after="0" w:line="240" w:lineRule="auto"/>
        <w:ind w:left="720"/>
        <w:rPr>
          <w:color w:val="000000"/>
        </w:rPr>
      </w:pPr>
      <w:r>
        <w:t xml:space="preserve">Provisions for maintaining the confidentiality of data are necessary for most research studies. However, in some types of research, such as in oral history or ethnographic research, individuals may wish to be acknowledged for </w:t>
      </w:r>
      <w:r>
        <w:lastRenderedPageBreak/>
        <w:t>their research participation. In determining the extent to which confidentiality will be maintained, the nature of the information collected and expectations of potential research participants should be considered.</w:t>
      </w:r>
    </w:p>
    <w:p w14:paraId="3643A592" w14:textId="77777777" w:rsidR="007E3864" w:rsidRDefault="007E3864" w:rsidP="007E3864">
      <w:pPr>
        <w:pStyle w:val="ListParagraph"/>
      </w:pPr>
    </w:p>
    <w:p w14:paraId="5C33B34B" w14:textId="77777777" w:rsidR="00C91EBD" w:rsidRPr="007E3864" w:rsidRDefault="00C91EBD" w:rsidP="00A07209">
      <w:pPr>
        <w:numPr>
          <w:ilvl w:val="0"/>
          <w:numId w:val="196"/>
        </w:numPr>
        <w:spacing w:after="0" w:line="240" w:lineRule="auto"/>
        <w:ind w:left="720"/>
        <w:rPr>
          <w:color w:val="000000"/>
        </w:rPr>
      </w:pPr>
      <w:r>
        <w:t xml:space="preserve">Methods for keeping data confidential range from using routine precautions, such as substituting codes for participant identifiers and storing data in locked cabinets, to more elaborate procedures involving statistical methods (e.g., error inoculation), data encryption, or use of honest brokers. The method(s) selected depends on the nature of the information collected and potential risk to participants from a breach of confidentiality. Consideration should be given to requirements for data security and retention throughout and following completion of the study. Methods for handling and storing data (including the use of personal computers and portable storage devices) must comply with </w:t>
      </w:r>
      <w:r>
        <w:rPr>
          <w:color w:val="000000"/>
        </w:rPr>
        <w:t xml:space="preserve">university policies. </w:t>
      </w:r>
      <w:r>
        <w:t>Restricted data, including protected health information, must be encrypted if stored or used on portable devices, if removed from a secure university location, or if electronically transmitted. For more information, see</w:t>
      </w:r>
      <w:r>
        <w:rPr>
          <w:color w:val="000000"/>
        </w:rPr>
        <w:t xml:space="preserve"> [</w:t>
      </w:r>
      <w:hyperlink r:id="rId205" w:history="1">
        <w:r>
          <w:rPr>
            <w:rStyle w:val="Hyperlink"/>
          </w:rPr>
          <w:t>Institutional Data Policy</w:t>
        </w:r>
      </w:hyperlink>
      <w:r>
        <w:rPr>
          <w:color w:val="000000"/>
        </w:rPr>
        <w:t xml:space="preserve">] </w:t>
      </w:r>
      <w:r>
        <w:t>and [</w:t>
      </w:r>
      <w:hyperlink r:id="rId206" w:history="1">
        <w:r>
          <w:rPr>
            <w:rStyle w:val="Hyperlink"/>
          </w:rPr>
          <w:t>Research Data Policy</w:t>
        </w:r>
      </w:hyperlink>
      <w:r>
        <w:t>].</w:t>
      </w:r>
    </w:p>
    <w:p w14:paraId="46723B9B" w14:textId="77777777" w:rsidR="00C91EBD" w:rsidRPr="00A03AD6" w:rsidRDefault="00C91EBD" w:rsidP="00C91EBD"/>
    <w:p w14:paraId="276590B6" w14:textId="77777777" w:rsidR="00C91EBD" w:rsidRPr="00A03AD6" w:rsidRDefault="00C91EBD" w:rsidP="00A07209">
      <w:pPr>
        <w:numPr>
          <w:ilvl w:val="0"/>
          <w:numId w:val="196"/>
        </w:numPr>
        <w:spacing w:after="0" w:line="240" w:lineRule="auto"/>
        <w:ind w:left="720"/>
        <w:rPr>
          <w:color w:val="000000"/>
        </w:rPr>
      </w:pPr>
      <w:r>
        <w:t>Individuals are to be informed about the extent to which confidentiality of their data will be maintained during all phases of the study, including who will have access to the data, what security measures will be used, and where data will be stored. Extensive security procedures may be needed in some studies, either to give individuals the confidence they need to participate and answer questions honestly, or to enable researchers to offer strong assurances of confidentiality. Complete confidentiality should not be promised, however, unless personal identifiers have not been obtained or recorded.</w:t>
      </w:r>
    </w:p>
    <w:p w14:paraId="7E6D6311" w14:textId="77777777" w:rsidR="00C91EBD" w:rsidRPr="00A03AD6" w:rsidRDefault="00C91EBD" w:rsidP="00C91EBD"/>
    <w:p w14:paraId="457E71EB" w14:textId="77777777" w:rsidR="00C91EBD" w:rsidRPr="00A03AD6" w:rsidRDefault="00C91EBD" w:rsidP="00A07209">
      <w:pPr>
        <w:numPr>
          <w:ilvl w:val="0"/>
          <w:numId w:val="196"/>
        </w:numPr>
        <w:spacing w:after="0" w:line="240" w:lineRule="auto"/>
        <w:ind w:left="720"/>
        <w:rPr>
          <w:color w:val="000000"/>
        </w:rPr>
      </w:pPr>
      <w:r>
        <w:t>Keeping the identities of participants confidential may be as important (or more important) than keeping the data obtained from/about them confidential, especially in studies where individuals are selected because of a sensitive, stigmatizing, or illegal characteristic (</w:t>
      </w:r>
      <w:r>
        <w:rPr>
          <w:iCs/>
        </w:rPr>
        <w:t>e.g.</w:t>
      </w:r>
      <w:r>
        <w:t>, persons who have sought treatment in a drug abuse program, tested positive for HIV, or have engaged in underage alcohol use). Additional measures to safeguard confidentiality may be considered in such cases, such as a waiver of documentation of consent (i.e., to minimize the risk of breach of confidentiality from having a signed form linking the participant with the research). For more information on waiver of the requirement for documenting informed consent, see HRPP policy [</w:t>
      </w:r>
      <w:hyperlink r:id="rId207" w:history="1">
        <w:r>
          <w:rPr>
            <w:rStyle w:val="Hyperlink"/>
          </w:rPr>
          <w:t>Documentation of the Informed Consent Process</w:t>
        </w:r>
      </w:hyperlink>
      <w:r>
        <w:t xml:space="preserve">]. NIH Certificates of Confidentiality may also be used in certain situations to provide additional protections (see below). </w:t>
      </w:r>
    </w:p>
    <w:p w14:paraId="1EE53032" w14:textId="77777777" w:rsidR="00C91EBD" w:rsidRPr="00A03AD6" w:rsidRDefault="00C91EBD" w:rsidP="00C91EBD">
      <w:pPr>
        <w:rPr>
          <w:rStyle w:val="Strong"/>
          <w:b w:val="0"/>
          <w:bCs/>
          <w:color w:val="000000"/>
        </w:rPr>
      </w:pPr>
    </w:p>
    <w:p w14:paraId="5976B040" w14:textId="77777777" w:rsidR="00C91EBD" w:rsidRDefault="00C91EBD" w:rsidP="00A07209">
      <w:pPr>
        <w:numPr>
          <w:ilvl w:val="0"/>
          <w:numId w:val="197"/>
        </w:numPr>
        <w:spacing w:after="0" w:line="240" w:lineRule="auto"/>
        <w:rPr>
          <w:rStyle w:val="Strong"/>
          <w:b w:val="0"/>
        </w:rPr>
      </w:pPr>
      <w:r>
        <w:rPr>
          <w:rStyle w:val="Strong"/>
        </w:rPr>
        <w:t>NIH Certificates of Confidentiality</w:t>
      </w:r>
      <w:bookmarkStart w:id="283" w:name="top"/>
      <w:bookmarkStart w:id="284" w:name="coc"/>
      <w:bookmarkEnd w:id="283"/>
    </w:p>
    <w:p w14:paraId="39546908" w14:textId="77777777" w:rsidR="007E3864" w:rsidRPr="007E3864" w:rsidRDefault="007E3864" w:rsidP="007E3864">
      <w:pPr>
        <w:spacing w:after="0" w:line="240" w:lineRule="auto"/>
        <w:ind w:left="360"/>
      </w:pPr>
    </w:p>
    <w:p w14:paraId="764E3351" w14:textId="77777777" w:rsidR="00C91EBD" w:rsidRDefault="00C91EBD" w:rsidP="00A07209">
      <w:pPr>
        <w:numPr>
          <w:ilvl w:val="0"/>
          <w:numId w:val="192"/>
        </w:numPr>
        <w:spacing w:after="0" w:line="240" w:lineRule="auto"/>
        <w:ind w:left="720"/>
      </w:pPr>
      <w:r>
        <w:t>Certificates of Confidentiality are issued by NIH to protect the privacy of research participants and the confidentiality of research data. These certificates are used to resist attempts to force disclosure (e.g., by subpoena) of identifiable, sensitive information (covered information), allowing investigators and others who have access to research records to refuse to disclose the identifiable information of research participants in any civil, criminal, administrative, legislative, or other proceeding at the federal, state, or local level. The Certificate also prevents disclosure to any other person not connected with the research, research participants’ names or any information, document or biospecimens that contain covered information and was created or compiled for the purposes of the research without the participant’s consent. Certificates of Confidentiality, however, do not eliminate the need for investigators and IRBs to assure that appropriate data security measures are in place to protect research participants' identifiable information.</w:t>
      </w:r>
    </w:p>
    <w:p w14:paraId="31139B58" w14:textId="77777777" w:rsidR="007E3864" w:rsidRPr="007E3864" w:rsidRDefault="007E3864" w:rsidP="007E3864">
      <w:pPr>
        <w:spacing w:after="0" w:line="240" w:lineRule="auto"/>
        <w:ind w:left="720"/>
      </w:pPr>
    </w:p>
    <w:p w14:paraId="583B4E9E" w14:textId="77777777" w:rsidR="007E3864" w:rsidRDefault="00C91EBD" w:rsidP="00A07209">
      <w:pPr>
        <w:numPr>
          <w:ilvl w:val="0"/>
          <w:numId w:val="192"/>
        </w:numPr>
        <w:spacing w:after="60" w:line="240" w:lineRule="auto"/>
        <w:ind w:left="720"/>
      </w:pPr>
      <w:r>
        <w:t xml:space="preserve">All ongoing or new research funded wholly or in part by NIH as of December 13, 2016, that is collecting or using identifiable, sensitive information is automatically issued a Certificate of Confidentiality. Funding may be provided through a grant, cooperative agreement, R&amp;D contract, or other transaction award. The certificate applies to data collected or used during the funding period; if data collection will continue beyond the NIH </w:t>
      </w:r>
      <w:r>
        <w:lastRenderedPageBreak/>
        <w:t xml:space="preserve">funding period, an extension should be requested to assure continuity of protections. An extension is not needed if data collection is complete by the end of the funding period as the covered information is protected in perpetuity. </w:t>
      </w:r>
    </w:p>
    <w:p w14:paraId="7643E075" w14:textId="77777777" w:rsidR="007E3864" w:rsidRPr="007E3864" w:rsidRDefault="007E3864" w:rsidP="007E3864">
      <w:pPr>
        <w:spacing w:after="60" w:line="240" w:lineRule="auto"/>
      </w:pPr>
    </w:p>
    <w:p w14:paraId="2506D946" w14:textId="77777777" w:rsidR="00C91EBD" w:rsidRPr="00057385" w:rsidRDefault="00C91EBD" w:rsidP="00A07209">
      <w:pPr>
        <w:numPr>
          <w:ilvl w:val="0"/>
          <w:numId w:val="192"/>
        </w:numPr>
        <w:spacing w:after="60" w:line="240" w:lineRule="auto"/>
        <w:ind w:left="720"/>
      </w:pPr>
      <w:r>
        <w:t xml:space="preserve">Certificates of Confidentiality are not limited to federally funded research. They may be requested for any biomedical, behavioral, or other type of research, provided that the research project is: </w:t>
      </w:r>
    </w:p>
    <w:p w14:paraId="12CA1425" w14:textId="77777777" w:rsidR="00C91EBD" w:rsidRDefault="00C91EBD" w:rsidP="00A07209">
      <w:pPr>
        <w:numPr>
          <w:ilvl w:val="1"/>
          <w:numId w:val="192"/>
        </w:numPr>
        <w:spacing w:after="60" w:line="240" w:lineRule="auto"/>
      </w:pPr>
      <w:r>
        <w:t>Collecting or using identifiable, sensitive information as defined above</w:t>
      </w:r>
    </w:p>
    <w:p w14:paraId="6D738E61" w14:textId="77777777" w:rsidR="00C91EBD" w:rsidRDefault="00C91EBD" w:rsidP="00A07209">
      <w:pPr>
        <w:numPr>
          <w:ilvl w:val="1"/>
          <w:numId w:val="192"/>
        </w:numPr>
        <w:spacing w:after="60" w:line="240" w:lineRule="auto"/>
      </w:pPr>
      <w:r>
        <w:t>A topic that is within the HHS health-related research mission</w:t>
      </w:r>
    </w:p>
    <w:p w14:paraId="052A0F43" w14:textId="77777777" w:rsidR="00C91EBD" w:rsidRDefault="00C91EBD" w:rsidP="00A07209">
      <w:pPr>
        <w:numPr>
          <w:ilvl w:val="1"/>
          <w:numId w:val="192"/>
        </w:numPr>
        <w:spacing w:after="60" w:line="240" w:lineRule="auto"/>
      </w:pPr>
      <w:r>
        <w:t>Storing the research information collected or used in the United States</w:t>
      </w:r>
    </w:p>
    <w:p w14:paraId="39981FBC" w14:textId="77777777" w:rsidR="007E3864" w:rsidRPr="007E3864" w:rsidRDefault="007E3864" w:rsidP="007E3864">
      <w:pPr>
        <w:spacing w:after="60" w:line="240" w:lineRule="auto"/>
        <w:ind w:left="1440"/>
      </w:pPr>
    </w:p>
    <w:p w14:paraId="1C063116" w14:textId="77777777" w:rsidR="00C91EBD" w:rsidRPr="00A03AD6" w:rsidRDefault="00C91EBD" w:rsidP="00A07209">
      <w:pPr>
        <w:numPr>
          <w:ilvl w:val="0"/>
          <w:numId w:val="192"/>
        </w:numPr>
        <w:spacing w:after="0" w:line="240" w:lineRule="auto"/>
        <w:ind w:left="720"/>
      </w:pPr>
      <w:r>
        <w:t xml:space="preserve">Participants must be informed about the protections provided by a Certificate of Confidentiality and any exceptions to these protections. Informed consent documents should describe the protections and any limitations of a certificate, including voluntary disclosures by research participants (e.g., to physicians), releases of information authorized in writing by participants (e.g., to insurers), and voluntary disclosures made by investigators (described below). For template language describing Certificates of Confidentiality, see </w:t>
      </w:r>
      <w:hyperlink r:id="rId208" w:history="1">
        <w:r>
          <w:rPr>
            <w:rStyle w:val="Hyperlink"/>
          </w:rPr>
          <w:t>Consent Template Language by Topic</w:t>
        </w:r>
      </w:hyperlink>
      <w:r>
        <w:t>.</w:t>
      </w:r>
    </w:p>
    <w:p w14:paraId="3495DEE7" w14:textId="77777777" w:rsidR="00C91EBD" w:rsidRPr="00A03AD6" w:rsidRDefault="00C91EBD" w:rsidP="00C91EBD"/>
    <w:p w14:paraId="74950973" w14:textId="77777777" w:rsidR="00C91EBD" w:rsidRDefault="00C91EBD" w:rsidP="00A07209">
      <w:pPr>
        <w:numPr>
          <w:ilvl w:val="0"/>
          <w:numId w:val="192"/>
        </w:numPr>
        <w:spacing w:after="0" w:line="240" w:lineRule="auto"/>
        <w:ind w:left="720"/>
      </w:pPr>
      <w:r>
        <w:t>A Certificate of Confidentiality does not prevent an investigator from disclosing covered information when required by Federal, State, or local laws. For example, Certificates of Confidentiality cannot be used to protect research participants from disclosures of their sensitive, identifiable information, such as evidence of child abuse, threats of violence to self or others, reasonable knowledge that a felony has been (or is being) committed, or reportable communicable diseases, by investigators who are subject to mandatory reporting requirements under Ohio law. An investigator’s intention to report such (or other) information must be specified in the consent form.</w:t>
      </w:r>
    </w:p>
    <w:p w14:paraId="14987033" w14:textId="77777777" w:rsidR="007E3864" w:rsidRPr="007E3864" w:rsidRDefault="007E3864" w:rsidP="007E3864">
      <w:pPr>
        <w:spacing w:after="0" w:line="240" w:lineRule="auto"/>
      </w:pPr>
    </w:p>
    <w:p w14:paraId="37150BE6" w14:textId="77777777" w:rsidR="00C91EBD" w:rsidRPr="00A03AD6" w:rsidRDefault="00C91EBD" w:rsidP="007E3864">
      <w:pPr>
        <w:ind w:left="720"/>
      </w:pPr>
      <w:r>
        <w:t>Researchers with a certificate may disclose covered information for the purposes of scientific research that is compliant with human subjects’ regulations. Any investigator or institution who receives a copy of covered information to carry out part of the research is also subject to the certificate’s requirements.</w:t>
      </w:r>
    </w:p>
    <w:p w14:paraId="3D765950" w14:textId="77777777" w:rsidR="00C91EBD" w:rsidRPr="00A03AD6" w:rsidRDefault="00C91EBD" w:rsidP="00A07209">
      <w:pPr>
        <w:numPr>
          <w:ilvl w:val="0"/>
          <w:numId w:val="192"/>
        </w:numPr>
        <w:spacing w:after="0" w:line="240" w:lineRule="auto"/>
        <w:ind w:left="720"/>
      </w:pPr>
      <w:r>
        <w:t>For more information on Certificates of Confidentiality see the National Institutes of Health “</w:t>
      </w:r>
      <w:hyperlink r:id="rId209" w:history="1">
        <w:r>
          <w:rPr>
            <w:rStyle w:val="Hyperlink"/>
          </w:rPr>
          <w:t>Certificates of Confidentiality – Human Subjects</w:t>
        </w:r>
      </w:hyperlink>
      <w:r>
        <w:t xml:space="preserve">.” </w:t>
      </w:r>
    </w:p>
    <w:bookmarkEnd w:id="284"/>
    <w:p w14:paraId="004D14FA" w14:textId="77777777" w:rsidR="00C91EBD" w:rsidRPr="00A03AD6" w:rsidRDefault="00C91EBD" w:rsidP="00C91EBD">
      <w:pPr>
        <w:rPr>
          <w:rStyle w:val="Strong"/>
          <w:b w:val="0"/>
        </w:rPr>
      </w:pPr>
    </w:p>
    <w:p w14:paraId="282A762A" w14:textId="77777777" w:rsidR="00C91EBD" w:rsidRPr="00A03AD6" w:rsidRDefault="00C91EBD" w:rsidP="00A07209">
      <w:pPr>
        <w:numPr>
          <w:ilvl w:val="0"/>
          <w:numId w:val="197"/>
        </w:numPr>
        <w:spacing w:after="0" w:line="240" w:lineRule="auto"/>
        <w:rPr>
          <w:rStyle w:val="Strong"/>
          <w:b w:val="0"/>
        </w:rPr>
      </w:pPr>
      <w:r>
        <w:rPr>
          <w:rStyle w:val="Strong"/>
        </w:rPr>
        <w:t>Applicable Regulations/Guidance</w:t>
      </w:r>
    </w:p>
    <w:p w14:paraId="0003FDB5" w14:textId="77777777" w:rsidR="00C91EBD" w:rsidRPr="00A03AD6" w:rsidRDefault="00C91EBD" w:rsidP="00C91EBD">
      <w:pPr>
        <w:rPr>
          <w:rStyle w:val="Strong"/>
          <w:b w:val="0"/>
        </w:rPr>
      </w:pPr>
    </w:p>
    <w:p w14:paraId="3428BF74" w14:textId="77777777" w:rsidR="00C91EBD" w:rsidRDefault="00C91EBD" w:rsidP="00A07209">
      <w:pPr>
        <w:numPr>
          <w:ilvl w:val="0"/>
          <w:numId w:val="191"/>
        </w:numPr>
        <w:spacing w:after="0" w:line="240" w:lineRule="auto"/>
        <w:ind w:left="360" w:firstLine="0"/>
      </w:pPr>
      <w:r>
        <w:rPr>
          <w:rStyle w:val="Strong"/>
          <w:b w:val="0"/>
        </w:rPr>
        <w:t xml:space="preserve">CFR 56.111, 45 CFR 46.111, OHRP Institutional Review Board Guidebook: “Privacy and Confidentiality” (1993), </w:t>
      </w:r>
      <w:r>
        <w:t>The Ohio State University “</w:t>
      </w:r>
      <w:r>
        <w:rPr>
          <w:rStyle w:val="Strong"/>
          <w:b w:val="0"/>
        </w:rPr>
        <w:t>Policy on Institutional Data” (08/15/14),</w:t>
      </w:r>
      <w:r>
        <w:t xml:space="preserve"> The Ohio State University “Research Data Policy” (09/18/09, edited 03/24/2017), The Ohio State University “Protected Health Information and HIPAA” policy (06/02/21), </w:t>
      </w:r>
      <w:r>
        <w:rPr>
          <w:rStyle w:val="Strong"/>
          <w:b w:val="0"/>
        </w:rPr>
        <w:t xml:space="preserve">NIH Certificates of Confidentiality Kiosk, </w:t>
      </w:r>
      <w:hyperlink r:id="rId210" w:history="1">
        <w:r>
          <w:rPr>
            <w:rStyle w:val="Hyperlink"/>
          </w:rPr>
          <w:t>2017 NIH Certificates of Confidentiality Policy</w:t>
        </w:r>
      </w:hyperlink>
      <w:r>
        <w:rPr>
          <w:rStyle w:val="Strong"/>
          <w:b w:val="0"/>
        </w:rPr>
        <w:t xml:space="preserve"> (10/01/2017), </w:t>
      </w:r>
      <w:r>
        <w:rPr>
          <w:bCs/>
          <w:color w:val="000000"/>
        </w:rPr>
        <w:t>University Hospital Policy 09-11: “Use of Patient Information by Hospitals and Medical Staff</w:t>
      </w:r>
      <w:r>
        <w:t>” (04/07/08)</w:t>
      </w:r>
    </w:p>
    <w:p w14:paraId="1A458F8C" w14:textId="77777777" w:rsidR="00C91EBD" w:rsidRDefault="00C91EBD" w:rsidP="00C91EBD"/>
    <w:p w14:paraId="79A0BD51" w14:textId="77777777" w:rsidR="00C91EBD" w:rsidRDefault="00C91EBD" w:rsidP="00A07209">
      <w:pPr>
        <w:numPr>
          <w:ilvl w:val="0"/>
          <w:numId w:val="197"/>
        </w:numPr>
        <w:spacing w:after="0" w:line="240" w:lineRule="auto"/>
        <w:rPr>
          <w:b/>
        </w:rPr>
      </w:pPr>
      <w:r>
        <w:rPr>
          <w:b/>
        </w:rPr>
        <w:t>History</w:t>
      </w:r>
    </w:p>
    <w:p w14:paraId="268BD19D" w14:textId="77777777" w:rsidR="007E3864" w:rsidRPr="007E3864" w:rsidRDefault="007E3864" w:rsidP="007E3864">
      <w:pPr>
        <w:spacing w:after="0" w:line="240" w:lineRule="auto"/>
        <w:ind w:left="360"/>
        <w:rPr>
          <w:b/>
        </w:rPr>
      </w:pPr>
    </w:p>
    <w:p w14:paraId="5CF53599" w14:textId="77777777" w:rsidR="00C91EBD" w:rsidRDefault="00C91EBD" w:rsidP="007E3864">
      <w:pPr>
        <w:spacing w:after="0"/>
        <w:ind w:left="360"/>
      </w:pPr>
      <w:r>
        <w:t>Issued: 09/15/2008</w:t>
      </w:r>
    </w:p>
    <w:p w14:paraId="461605F3" w14:textId="77777777" w:rsidR="00C91EBD" w:rsidRDefault="00C91EBD" w:rsidP="007E3864">
      <w:pPr>
        <w:spacing w:after="0"/>
        <w:ind w:left="360"/>
      </w:pPr>
      <w:r>
        <w:t>Revised: 04/28/2009, 05/25/2012, 02/13/2013, 09/19/2016, 02/18/2019</w:t>
      </w:r>
    </w:p>
    <w:p w14:paraId="55EF0D2C" w14:textId="77777777" w:rsidR="00C91EBD" w:rsidRDefault="00C91EBD" w:rsidP="007E3864">
      <w:pPr>
        <w:spacing w:after="0"/>
        <w:ind w:left="360"/>
      </w:pPr>
      <w:r>
        <w:t>Edited: 01/07/2010, 01/21/2022, 04/20/2022</w:t>
      </w:r>
    </w:p>
    <w:p w14:paraId="4ED93F47" w14:textId="77777777" w:rsidR="00471B9E" w:rsidRDefault="00471B9E">
      <w:r>
        <w:br w:type="page"/>
      </w:r>
    </w:p>
    <w:p w14:paraId="7F5D6F04" w14:textId="77777777" w:rsidR="005E7CDB" w:rsidRDefault="257B198D" w:rsidP="00471B9E">
      <w:pPr>
        <w:pStyle w:val="Heading2"/>
      </w:pPr>
      <w:bookmarkStart w:id="285" w:name="_Appendix_B-14_"/>
      <w:bookmarkStart w:id="286" w:name="_Toc538784231"/>
      <w:bookmarkStart w:id="287" w:name="B14"/>
      <w:bookmarkStart w:id="288" w:name="_Toc212142211"/>
      <w:bookmarkStart w:id="289" w:name="_Toc225507751"/>
      <w:bookmarkEnd w:id="285"/>
      <w:r>
        <w:lastRenderedPageBreak/>
        <w:t>Appendix B-14</w:t>
      </w:r>
      <w:bookmarkEnd w:id="286"/>
      <w:r>
        <w:t xml:space="preserve">  </w:t>
      </w:r>
      <w:bookmarkEnd w:id="287"/>
      <w:r>
        <w:tab/>
        <w:t>Informed Consent Process and the Elements of Informed Consent</w:t>
      </w:r>
      <w:bookmarkEnd w:id="288"/>
      <w:bookmarkEnd w:id="289"/>
    </w:p>
    <w:p w14:paraId="3E78DFB1" w14:textId="77777777" w:rsidR="005E7CDB" w:rsidRPr="003E367D" w:rsidRDefault="005E7CDB" w:rsidP="005E7CDB">
      <w:pPr>
        <w:jc w:val="center"/>
        <w:rPr>
          <w:b/>
          <w:smallCaps/>
          <w:sz w:val="32"/>
          <w:szCs w:val="32"/>
        </w:rPr>
      </w:pPr>
    </w:p>
    <w:p w14:paraId="3E2A713A" w14:textId="77777777" w:rsidR="005E7CDB" w:rsidRPr="0013482F" w:rsidRDefault="005E7CDB" w:rsidP="005E7CDB">
      <w:pPr>
        <w:pBdr>
          <w:top w:val="single" w:sz="4" w:space="3" w:color="auto"/>
          <w:left w:val="single" w:sz="4" w:space="4" w:color="auto"/>
          <w:bottom w:val="single" w:sz="4" w:space="4" w:color="auto"/>
          <w:right w:val="single" w:sz="4" w:space="4" w:color="auto"/>
        </w:pBdr>
        <w:shd w:val="clear" w:color="auto" w:fill="D0CECE"/>
        <w:spacing w:after="240"/>
        <w:rPr>
          <w:b/>
          <w:smallCaps/>
          <w:sz w:val="20"/>
        </w:rPr>
      </w:pPr>
      <w:r>
        <w:rPr>
          <w:b/>
          <w:smallCaps/>
          <w:sz w:val="20"/>
        </w:rPr>
        <w:t xml:space="preserve">        Language in gray boxes is only applicable to studies approved on/after January 21, 2019</w:t>
      </w:r>
    </w:p>
    <w:p w14:paraId="7D46956F" w14:textId="77777777" w:rsidR="005E7CDB" w:rsidRDefault="005E7CDB" w:rsidP="00A07209">
      <w:pPr>
        <w:numPr>
          <w:ilvl w:val="0"/>
          <w:numId w:val="210"/>
        </w:numPr>
        <w:spacing w:after="0" w:line="240" w:lineRule="auto"/>
        <w:rPr>
          <w:b/>
          <w:smallCaps/>
        </w:rPr>
      </w:pPr>
      <w:r>
        <w:rPr>
          <w:b/>
        </w:rPr>
        <w:t>Overview</w:t>
      </w:r>
    </w:p>
    <w:p w14:paraId="17DFBB96" w14:textId="77777777" w:rsidR="007E3864" w:rsidRPr="007E3864" w:rsidRDefault="007E3864" w:rsidP="007E3864">
      <w:pPr>
        <w:spacing w:after="0" w:line="240" w:lineRule="auto"/>
        <w:ind w:left="450"/>
        <w:rPr>
          <w:b/>
          <w:smallCaps/>
        </w:rPr>
      </w:pPr>
    </w:p>
    <w:p w14:paraId="7D2C317F" w14:textId="77777777" w:rsidR="005E7CDB" w:rsidRPr="003E367D" w:rsidRDefault="005E7CDB" w:rsidP="007E3864">
      <w:pPr>
        <w:pStyle w:val="BodyTextIndent"/>
      </w:pPr>
      <w:r>
        <w:t>Informed consent is an essential part of ethical human subjects research. Institutional Review Boards and investigators are responsible for ensuring that research subjects provide informed consent prior to participating in research unless the requirement for informed consent is waived or altered (in non-exempt research) by the IRB.</w:t>
      </w:r>
    </w:p>
    <w:p w14:paraId="2373C455" w14:textId="77777777" w:rsidR="005E7CDB" w:rsidRDefault="005E7CDB" w:rsidP="007E3864">
      <w:pPr>
        <w:pStyle w:val="BodyTextIndent"/>
      </w:pPr>
      <w:r>
        <w:t>This policy describes the requirements for valid informed consent processes, required and additional elements of consent disclosure, and the criteria for waiver or alteration of these requirements.</w:t>
      </w:r>
    </w:p>
    <w:p w14:paraId="2B3FB9A3" w14:textId="77777777" w:rsidR="007E3864" w:rsidRPr="007E3864" w:rsidRDefault="007E3864" w:rsidP="007E3864">
      <w:pPr>
        <w:pStyle w:val="BodyTextIndent"/>
      </w:pPr>
    </w:p>
    <w:p w14:paraId="46C16400" w14:textId="77777777" w:rsidR="005E7CDB" w:rsidRDefault="005E7CDB" w:rsidP="00A07209">
      <w:pPr>
        <w:numPr>
          <w:ilvl w:val="0"/>
          <w:numId w:val="210"/>
        </w:numPr>
        <w:spacing w:after="0" w:line="240" w:lineRule="auto"/>
        <w:ind w:left="360" w:hanging="360"/>
        <w:rPr>
          <w:b/>
          <w:smallCaps/>
        </w:rPr>
      </w:pPr>
      <w:r>
        <w:t xml:space="preserve"> </w:t>
      </w:r>
      <w:r>
        <w:rPr>
          <w:b/>
        </w:rPr>
        <w:t>Definitions</w:t>
      </w:r>
    </w:p>
    <w:p w14:paraId="04264046" w14:textId="77777777" w:rsidR="007E3864" w:rsidRPr="007E3864" w:rsidRDefault="007E3864" w:rsidP="007E3864">
      <w:pPr>
        <w:spacing w:after="0" w:line="240" w:lineRule="auto"/>
        <w:ind w:left="360"/>
        <w:rPr>
          <w:b/>
          <w:smallCaps/>
        </w:rPr>
      </w:pPr>
    </w:p>
    <w:p w14:paraId="4A7C82F6" w14:textId="77777777" w:rsidR="005E7CDB" w:rsidRPr="00116DB8" w:rsidRDefault="005E7CDB" w:rsidP="00116DB8">
      <w:pPr>
        <w:pStyle w:val="ListParagraph"/>
        <w:rPr>
          <w:i/>
        </w:rPr>
      </w:pPr>
      <w:r>
        <w:rPr>
          <w:b/>
        </w:rPr>
        <w:t xml:space="preserve">Informed Consent: </w:t>
      </w:r>
      <w:r>
        <w:t xml:space="preserve">Agreement to participate in research expressed by an individual (or his/her legally authorized representative) authorized under applicable law to make such decisions, based on sufficient information (e.g., regarding possible risks and benefits of the research) and adequate opportunity to consider voluntary participation. </w:t>
      </w:r>
      <w:r>
        <w:rPr>
          <w:i/>
        </w:rPr>
        <w:t>Also: legally effective informed consent.</w:t>
      </w:r>
    </w:p>
    <w:p w14:paraId="25B906CA" w14:textId="77777777" w:rsidR="005E7CDB" w:rsidRPr="00116DB8" w:rsidRDefault="005E7CDB" w:rsidP="00116DB8">
      <w:pPr>
        <w:pStyle w:val="ListParagraph"/>
        <w:rPr>
          <w:b/>
          <w:u w:val="single"/>
        </w:rPr>
      </w:pPr>
    </w:p>
    <w:p w14:paraId="46462AAE" w14:textId="77777777" w:rsidR="005E7CDB" w:rsidRPr="00116DB8" w:rsidRDefault="005E7CDB" w:rsidP="00116DB8">
      <w:pPr>
        <w:pStyle w:val="ListParagraph"/>
      </w:pPr>
      <w:r>
        <w:rPr>
          <w:b/>
        </w:rPr>
        <w:t xml:space="preserve">Legally Authorized Representative: </w:t>
      </w:r>
      <w:r>
        <w:t>An individual, judicial, or other body authorized under applicable law to consent on behalf of a prospective subject to the subject’s participation in the procedure(s) involved in the research. For purposes of HRPP policy, the following are recognized in Ohio as legally authorized representatives:</w:t>
      </w:r>
    </w:p>
    <w:p w14:paraId="0CE03100" w14:textId="77777777" w:rsidR="005E7CDB" w:rsidRPr="00116DB8" w:rsidRDefault="005E7CDB" w:rsidP="00116DB8">
      <w:pPr>
        <w:pStyle w:val="ListParagraph"/>
      </w:pPr>
      <w:r>
        <w:t>Persons appointed as health care agents under an Ohio durable power of attorney for health care</w:t>
      </w:r>
    </w:p>
    <w:p w14:paraId="0FC49409" w14:textId="77777777" w:rsidR="005E7CDB" w:rsidRPr="00116DB8" w:rsidRDefault="005E7CDB" w:rsidP="00116DB8">
      <w:pPr>
        <w:pStyle w:val="ListParagraph"/>
      </w:pPr>
      <w:r>
        <w:t>Court-appointed guardians</w:t>
      </w:r>
    </w:p>
    <w:p w14:paraId="036FD83E" w14:textId="77777777" w:rsidR="005E7CDB" w:rsidRPr="00116DB8" w:rsidRDefault="005E7CDB" w:rsidP="00116DB8">
      <w:pPr>
        <w:pStyle w:val="ListParagraph"/>
      </w:pPr>
      <w:r>
        <w:t>Next of kin in the following order: spouse, adult child, parent, and adult sibling</w:t>
      </w:r>
    </w:p>
    <w:p w14:paraId="74C77420" w14:textId="77777777" w:rsidR="005E7CDB" w:rsidRPr="00116DB8" w:rsidRDefault="005E7CDB" w:rsidP="00116DB8">
      <w:pPr>
        <w:pStyle w:val="ListParagraph"/>
      </w:pPr>
    </w:p>
    <w:p w14:paraId="22BED2E8" w14:textId="77777777" w:rsidR="005E7CDB" w:rsidRPr="00116DB8" w:rsidRDefault="005E7CDB" w:rsidP="00116DB8">
      <w:pPr>
        <w:pStyle w:val="ListParagraph"/>
        <w:rPr>
          <w:b/>
          <w:bCs/>
          <w:i/>
          <w:iCs/>
        </w:rPr>
      </w:pPr>
      <w:r>
        <w:rPr>
          <w:b/>
          <w:bCs/>
        </w:rPr>
        <w:t>Coercion:</w:t>
      </w:r>
      <w:r>
        <w:t xml:space="preserve"> Persuasion (i.e., of an unwilling person) to do or agree to something by using obvious or implied force or threats.</w:t>
      </w:r>
    </w:p>
    <w:p w14:paraId="0DADDBB0" w14:textId="77777777" w:rsidR="005E7CDB" w:rsidRPr="00116DB8" w:rsidRDefault="005E7CDB" w:rsidP="00116DB8">
      <w:pPr>
        <w:pStyle w:val="ListParagraph"/>
      </w:pPr>
    </w:p>
    <w:p w14:paraId="61D19466" w14:textId="77777777" w:rsidR="005E7CDB" w:rsidRPr="00116DB8" w:rsidRDefault="005E7CDB" w:rsidP="00116DB8">
      <w:pPr>
        <w:pStyle w:val="ListParagraph"/>
        <w:rPr>
          <w:b/>
          <w:bCs/>
          <w:i/>
          <w:iCs/>
        </w:rPr>
      </w:pPr>
      <w:r>
        <w:rPr>
          <w:b/>
          <w:bCs/>
        </w:rPr>
        <w:t>Exculpatory Language:</w:t>
      </w:r>
      <w:r>
        <w:t xml:space="preserve"> As it applies to informed consent, any written or verbal communication through which a research participant (or his/her legally authorized representative) is asked to waive or appear to waive any of the participant’s legal rights or to release (or appear to release) the investigator, sponsor, or institution or its agents from liability for negligence.</w:t>
      </w:r>
    </w:p>
    <w:p w14:paraId="4037065D" w14:textId="77777777" w:rsidR="005E7CDB" w:rsidRPr="00116DB8" w:rsidRDefault="005E7CDB" w:rsidP="00116DB8">
      <w:pPr>
        <w:pStyle w:val="ListParagraph"/>
        <w:rPr>
          <w:b/>
          <w:bCs/>
          <w:i/>
          <w:iCs/>
          <w:u w:val="single"/>
        </w:rPr>
      </w:pPr>
    </w:p>
    <w:p w14:paraId="19FBFA8D" w14:textId="77777777" w:rsidR="005E7CDB" w:rsidRPr="00116DB8" w:rsidRDefault="005E7CDB" w:rsidP="00116DB8">
      <w:pPr>
        <w:pStyle w:val="ListParagraph"/>
        <w:rPr>
          <w:b/>
          <w:bCs/>
          <w:i/>
          <w:iCs/>
        </w:rPr>
      </w:pPr>
      <w:r>
        <w:rPr>
          <w:b/>
          <w:bCs/>
        </w:rPr>
        <w:t>Undue Influence:</w:t>
      </w:r>
      <w:r>
        <w:t xml:space="preserve"> Excessive or inappropriate reward or other incentive in which a person is induced to act otherwise than by his/her own free will or without adequate consideration of the consequences.</w:t>
      </w:r>
    </w:p>
    <w:p w14:paraId="72C7A1C0" w14:textId="77777777" w:rsidR="005E7CDB" w:rsidRPr="00116DB8" w:rsidRDefault="005E7CDB" w:rsidP="00116DB8">
      <w:pPr>
        <w:pStyle w:val="ListParagraph"/>
      </w:pPr>
    </w:p>
    <w:p w14:paraId="6F953B3B" w14:textId="77777777" w:rsidR="005E7CDB" w:rsidRPr="00116DB8" w:rsidRDefault="005E7CDB" w:rsidP="00116DB8">
      <w:pPr>
        <w:pStyle w:val="ListParagraph"/>
        <w:rPr>
          <w:b/>
          <w:bCs/>
          <w:i/>
          <w:iCs/>
        </w:rPr>
      </w:pPr>
      <w:r>
        <w:rPr>
          <w:b/>
          <w:bCs/>
        </w:rPr>
        <w:t>Clinical Trial:</w:t>
      </w:r>
      <w:r>
        <w:t xml:space="preserve"> A research study in which one or more human subjects are prospectively assigned to one or more interventions (which may include placebo or other control) to evaluate the effects of the interventions on biomedical or behavioral health-related outcomes.</w:t>
      </w:r>
    </w:p>
    <w:p w14:paraId="4B0E49A2" w14:textId="77777777" w:rsidR="005E7CDB" w:rsidRPr="003E367D" w:rsidRDefault="005E7CDB" w:rsidP="005E7CDB"/>
    <w:p w14:paraId="7E2BA7C9" w14:textId="77777777" w:rsidR="005E7CDB" w:rsidRPr="00584322" w:rsidRDefault="005E7CDB" w:rsidP="00A07209">
      <w:pPr>
        <w:numPr>
          <w:ilvl w:val="0"/>
          <w:numId w:val="210"/>
        </w:numPr>
        <w:spacing w:after="0" w:line="240" w:lineRule="auto"/>
        <w:ind w:left="360" w:hanging="360"/>
        <w:rPr>
          <w:u w:val="single"/>
        </w:rPr>
      </w:pPr>
      <w:r>
        <w:rPr>
          <w:b/>
        </w:rPr>
        <w:lastRenderedPageBreak/>
        <w:t>General Information</w:t>
      </w:r>
    </w:p>
    <w:p w14:paraId="6BD0C559" w14:textId="77777777" w:rsidR="005E7CDB" w:rsidRPr="003E367D" w:rsidRDefault="005E7CDB" w:rsidP="005E7CDB">
      <w:pPr>
        <w:ind w:left="360"/>
        <w:rPr>
          <w:rStyle w:val="Strong"/>
          <w:b w:val="0"/>
          <w:u w:val="single"/>
        </w:rPr>
      </w:pPr>
    </w:p>
    <w:p w14:paraId="432FE6EF" w14:textId="77777777" w:rsidR="005E7CDB" w:rsidRPr="003E367D" w:rsidRDefault="005E7CDB" w:rsidP="00A07209">
      <w:pPr>
        <w:numPr>
          <w:ilvl w:val="1"/>
          <w:numId w:val="210"/>
        </w:numPr>
        <w:spacing w:after="0" w:line="240" w:lineRule="auto"/>
        <w:rPr>
          <w:color w:val="000000"/>
        </w:rPr>
      </w:pPr>
      <w:r>
        <w:t>Informed consent is an essential part of ethical human subjects research. The requirement to obtain the informed consent of individuals before involving them in research is founded on the principle of respect for persons, one of the three ethical principles governing human subjects research described in the Belmont Report. “Respect for persons” requires that individuals are treated as autonomous agents, the rights and welfare of persons with diminished autonomy are appropriately protected, and potential research participants are “given the opportunity to choose what shall or shall not happen to them.”</w:t>
      </w:r>
    </w:p>
    <w:p w14:paraId="1FBB458E" w14:textId="77777777" w:rsidR="005E7CDB" w:rsidRPr="003E367D" w:rsidRDefault="005E7CDB" w:rsidP="005E7CDB">
      <w:pPr>
        <w:ind w:left="720"/>
        <w:rPr>
          <w:color w:val="000000"/>
        </w:rPr>
      </w:pPr>
    </w:p>
    <w:p w14:paraId="6E680D2F" w14:textId="77777777" w:rsidR="005E7CDB" w:rsidRPr="003E367D" w:rsidRDefault="005E7CDB" w:rsidP="00A07209">
      <w:pPr>
        <w:numPr>
          <w:ilvl w:val="1"/>
          <w:numId w:val="210"/>
        </w:numPr>
        <w:spacing w:after="0" w:line="240" w:lineRule="auto"/>
        <w:rPr>
          <w:color w:val="000000"/>
        </w:rPr>
      </w:pPr>
      <w:r>
        <w:t>The consent process involves more than a consent form. Informed consent has been described as an</w:t>
      </w:r>
      <w:r>
        <w:rPr>
          <w:color w:val="000000"/>
        </w:rPr>
        <w:t xml:space="preserve"> “interactive process that involves the researcher informing potential participants of the purposes and procedures of the research, the risks and benefits associated with the study, and how the data provided by the participant will be protected and stored” (</w:t>
      </w:r>
      <w:r>
        <w:t xml:space="preserve">AAA Statement on Ethnography and Institutional Review Boards). </w:t>
      </w:r>
      <w:r>
        <w:rPr>
          <w:color w:val="000000"/>
        </w:rPr>
        <w:t xml:space="preserve">This </w:t>
      </w:r>
      <w:r>
        <w:t>discussion must be culturally and linguistically appropriate for the population under study.</w:t>
      </w:r>
    </w:p>
    <w:p w14:paraId="28CEB18C" w14:textId="77777777" w:rsidR="005E7CDB" w:rsidRPr="003E367D" w:rsidRDefault="005E7CDB" w:rsidP="005E7CDB">
      <w:pPr>
        <w:ind w:left="720"/>
        <w:rPr>
          <w:color w:val="000000"/>
        </w:rPr>
      </w:pPr>
    </w:p>
    <w:p w14:paraId="1C7E09E0" w14:textId="77777777" w:rsidR="005E7CDB" w:rsidRPr="003E367D" w:rsidRDefault="005E7CDB" w:rsidP="00A07209">
      <w:pPr>
        <w:numPr>
          <w:ilvl w:val="1"/>
          <w:numId w:val="210"/>
        </w:numPr>
        <w:spacing w:after="0" w:line="240" w:lineRule="auto"/>
        <w:rPr>
          <w:color w:val="000000"/>
        </w:rPr>
      </w:pPr>
      <w:r>
        <w:rPr>
          <w:color w:val="000000"/>
        </w:rPr>
        <w:t xml:space="preserve">In addition to the language and content of the consent process, the nature and circumstances of the process are also important aspects of informed consent. Circumstances such as, who </w:t>
      </w:r>
      <w:r>
        <w:t>will conduct the consent discussion, who will provide consent, and the timing of obtaining consent (including any waiting period between informing the participant and obtaining consent), are critical to facilitating the participant’s understanding of what has been disclosed and promoting the voluntariness of the participant’s decision about whether or not to participate in the research.</w:t>
      </w:r>
    </w:p>
    <w:p w14:paraId="2A4D8AD4" w14:textId="77777777" w:rsidR="005E7CDB" w:rsidRPr="003E367D" w:rsidRDefault="005E7CDB" w:rsidP="005E7CDB">
      <w:pPr>
        <w:rPr>
          <w:color w:val="000000"/>
        </w:rPr>
      </w:pPr>
    </w:p>
    <w:p w14:paraId="7BD3A02F" w14:textId="77777777" w:rsidR="005E7CDB" w:rsidRPr="00D03499" w:rsidRDefault="005E7CDB" w:rsidP="00A07209">
      <w:pPr>
        <w:numPr>
          <w:ilvl w:val="1"/>
          <w:numId w:val="210"/>
        </w:numPr>
        <w:spacing w:after="0" w:line="240" w:lineRule="auto"/>
        <w:rPr>
          <w:color w:val="000000"/>
        </w:rPr>
      </w:pPr>
      <w:r>
        <w:t>Informed consent is an ongoing process. Even in the absence of new information or changes to research procedures, periodic review or confirmation of a participant’s consent is often desirable, e.g., in studies that take place over a long period of time, particularly complex studies, or longitudinal studies involving progressive disorders or aging populations. Participants must be in a position to freely decide whether to withdraw or to continue participating in the research.</w:t>
      </w:r>
    </w:p>
    <w:p w14:paraId="00B51B9F" w14:textId="77777777" w:rsidR="005E7CDB" w:rsidRDefault="005E7CDB" w:rsidP="005E7CDB">
      <w:pPr>
        <w:pStyle w:val="ListParagraph"/>
        <w:rPr>
          <w:color w:val="000000"/>
        </w:rPr>
      </w:pPr>
    </w:p>
    <w:p w14:paraId="3EF14FA5" w14:textId="77777777" w:rsidR="005E7CDB" w:rsidRPr="00D03499" w:rsidRDefault="005E7CDB" w:rsidP="00A07209">
      <w:pPr>
        <w:numPr>
          <w:ilvl w:val="1"/>
          <w:numId w:val="210"/>
        </w:numPr>
        <w:spacing w:after="0" w:line="240" w:lineRule="auto"/>
      </w:pPr>
      <w:r>
        <w:t>Projects involving deception or incomplete disclosure of material aspects of the research must meet the criteria for a waiver or alteration of informed consent. When appropriate, participants should be given additional pertinent information (debriefed) after they have participated in such a study. Debriefing procedures and materials must be submitted for IRB review. If investigators believe debriefing is not an appropriate procedure for the proposed study, or that the debriefing could cause more harm than the deception/incomplete disclosure itself, appropriate justification must be provided to the IRB. The IRB will make a final determination about whether debriefing is necessary and whether the proposed process is sufficient.</w:t>
      </w:r>
    </w:p>
    <w:p w14:paraId="4A893F37" w14:textId="77777777" w:rsidR="005E7CDB" w:rsidRPr="003E367D" w:rsidRDefault="005E7CDB" w:rsidP="005E7CDB"/>
    <w:p w14:paraId="0E4AF0DB" w14:textId="77777777" w:rsidR="005E7CDB" w:rsidRPr="003E367D" w:rsidRDefault="005E7CDB" w:rsidP="00A07209">
      <w:pPr>
        <w:numPr>
          <w:ilvl w:val="0"/>
          <w:numId w:val="210"/>
        </w:numPr>
        <w:spacing w:after="0" w:line="240" w:lineRule="auto"/>
        <w:ind w:left="360" w:hanging="360"/>
        <w:rPr>
          <w:b/>
        </w:rPr>
      </w:pPr>
      <w:r>
        <w:rPr>
          <w:b/>
        </w:rPr>
        <w:t>Attributes of the Consent Process</w:t>
      </w:r>
    </w:p>
    <w:p w14:paraId="6C06CD29" w14:textId="77777777" w:rsidR="005E7CDB" w:rsidRPr="003E367D" w:rsidRDefault="005E7CDB" w:rsidP="005E7CDB">
      <w:pPr>
        <w:ind w:left="1224"/>
        <w:rPr>
          <w:b/>
        </w:rPr>
      </w:pPr>
    </w:p>
    <w:p w14:paraId="5BF9824C" w14:textId="77777777" w:rsidR="005E7CDB" w:rsidRPr="003E367D" w:rsidRDefault="005E7CDB" w:rsidP="005E7CDB">
      <w:pPr>
        <w:spacing w:after="60"/>
        <w:ind w:left="360"/>
        <w:rPr>
          <w:color w:val="000000"/>
        </w:rPr>
      </w:pPr>
      <w:r>
        <w:t>To meet the federal requirements for informed consent, the consent process must have all of the following attributes:</w:t>
      </w:r>
    </w:p>
    <w:p w14:paraId="0E0886BD" w14:textId="77777777" w:rsidR="005E7CDB" w:rsidRPr="003E367D" w:rsidRDefault="005E7CDB" w:rsidP="00A07209">
      <w:pPr>
        <w:numPr>
          <w:ilvl w:val="2"/>
          <w:numId w:val="199"/>
        </w:numPr>
        <w:tabs>
          <w:tab w:val="clear" w:pos="2160"/>
          <w:tab w:val="num" w:pos="1080"/>
        </w:tabs>
        <w:spacing w:after="60" w:line="240" w:lineRule="auto"/>
        <w:ind w:left="1080"/>
      </w:pPr>
      <w:r>
        <w:t xml:space="preserve">An investigator (or approved designee) will obtain the informed consent of the potential subject or the subject's legally authorized representative, unless the requirement for consent has been waived or altered by the IRB. </w:t>
      </w:r>
    </w:p>
    <w:p w14:paraId="7825AE10" w14:textId="77777777" w:rsidR="005E7CDB" w:rsidRPr="003E367D" w:rsidRDefault="005E7CDB" w:rsidP="00A07209">
      <w:pPr>
        <w:numPr>
          <w:ilvl w:val="2"/>
          <w:numId w:val="199"/>
        </w:numPr>
        <w:tabs>
          <w:tab w:val="clear" w:pos="2160"/>
          <w:tab w:val="num" w:pos="1080"/>
        </w:tabs>
        <w:spacing w:after="60" w:line="240" w:lineRule="auto"/>
        <w:ind w:left="1080"/>
      </w:pPr>
      <w:r>
        <w:t>The circumstances of the consent process will provide the subject or legally authorized representative sufficient opportunity to consider whether to participate.</w:t>
      </w:r>
    </w:p>
    <w:p w14:paraId="58939EDC" w14:textId="77777777" w:rsidR="005E7CDB" w:rsidRPr="003E367D" w:rsidRDefault="005E7CDB" w:rsidP="00A07209">
      <w:pPr>
        <w:numPr>
          <w:ilvl w:val="2"/>
          <w:numId w:val="199"/>
        </w:numPr>
        <w:tabs>
          <w:tab w:val="clear" w:pos="2160"/>
          <w:tab w:val="num" w:pos="1080"/>
        </w:tabs>
        <w:spacing w:after="60" w:line="240" w:lineRule="auto"/>
        <w:ind w:left="1080"/>
      </w:pPr>
      <w:r>
        <w:lastRenderedPageBreak/>
        <w:t xml:space="preserve">The circumstances of the consent process will minimize the possibility of coercion or undue influence. </w:t>
      </w:r>
    </w:p>
    <w:p w14:paraId="32425249" w14:textId="77777777" w:rsidR="005E7CDB" w:rsidRPr="003E367D" w:rsidRDefault="005E7CDB" w:rsidP="00A07209">
      <w:pPr>
        <w:numPr>
          <w:ilvl w:val="2"/>
          <w:numId w:val="199"/>
        </w:numPr>
        <w:tabs>
          <w:tab w:val="clear" w:pos="2160"/>
          <w:tab w:val="num" w:pos="1080"/>
        </w:tabs>
        <w:spacing w:after="60" w:line="240" w:lineRule="auto"/>
        <w:ind w:left="1080"/>
      </w:pPr>
      <w:r>
        <w:t xml:space="preserve">The information provided during the consent process will be presented in language understandable to the subject or the subject’s legally authorized representative. </w:t>
      </w:r>
    </w:p>
    <w:p w14:paraId="355B97BB" w14:textId="77777777" w:rsidR="005E7CDB" w:rsidRPr="003E367D" w:rsidRDefault="005E7CDB" w:rsidP="00A07209">
      <w:pPr>
        <w:numPr>
          <w:ilvl w:val="2"/>
          <w:numId w:val="199"/>
        </w:numPr>
        <w:tabs>
          <w:tab w:val="clear" w:pos="2160"/>
          <w:tab w:val="num" w:pos="1080"/>
        </w:tabs>
        <w:spacing w:after="0" w:line="240" w:lineRule="auto"/>
        <w:ind w:left="1080"/>
      </w:pPr>
      <w:r>
        <w:t>The information being communicated during the consent process is free of exculpatory language through which the subject or legally authorized representative is made to waive or appear to waive any of the subject’s legal rights or to release (or appear to release) the investigator, sponsor, or the university (or its agents) from liability for negligence.</w:t>
      </w:r>
    </w:p>
    <w:p w14:paraId="15D8B947" w14:textId="77777777" w:rsidR="005E7CDB" w:rsidRPr="003E367D" w:rsidRDefault="005E7CDB" w:rsidP="005E7CDB"/>
    <w:p w14:paraId="36489230" w14:textId="77777777" w:rsidR="007E3864" w:rsidRDefault="005E7CDB" w:rsidP="00A07209">
      <w:pPr>
        <w:numPr>
          <w:ilvl w:val="0"/>
          <w:numId w:val="210"/>
        </w:numPr>
        <w:spacing w:after="0" w:line="240" w:lineRule="auto"/>
        <w:ind w:left="360" w:hanging="360"/>
        <w:rPr>
          <w:b/>
        </w:rPr>
      </w:pPr>
      <w:r>
        <w:rPr>
          <w:b/>
        </w:rPr>
        <w:t xml:space="preserve"> Informed Consent Components</w:t>
      </w:r>
    </w:p>
    <w:p w14:paraId="191D1A86" w14:textId="1D37E196" w:rsidR="005E7CDB" w:rsidRPr="007E3864" w:rsidRDefault="00370D45" w:rsidP="007E3864">
      <w:pPr>
        <w:spacing w:after="0" w:line="240" w:lineRule="auto"/>
        <w:ind w:left="360"/>
        <w:rPr>
          <w:b/>
        </w:rPr>
      </w:pPr>
      <w:r>
        <w:rPr>
          <w:noProof/>
        </w:rPr>
        <mc:AlternateContent>
          <mc:Choice Requires="wps">
            <w:drawing>
              <wp:anchor distT="0" distB="0" distL="114300" distR="114300" simplePos="0" relativeHeight="251670528" behindDoc="1" locked="0" layoutInCell="1" allowOverlap="1" wp14:anchorId="760F14A4" wp14:editId="50C88BCF">
                <wp:simplePos x="0" y="0"/>
                <wp:positionH relativeFrom="column">
                  <wp:posOffset>104775</wp:posOffset>
                </wp:positionH>
                <wp:positionV relativeFrom="paragraph">
                  <wp:posOffset>84456</wp:posOffset>
                </wp:positionV>
                <wp:extent cx="6886575" cy="2133600"/>
                <wp:effectExtent l="0" t="0" r="28575" b="19050"/>
                <wp:wrapNone/>
                <wp:docPr id="257532837" name="Rectangl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6575" cy="213360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486038" id="Rectangle 8" o:spid="_x0000_s1026" alt="&quot;&quot;" style="position:absolute;margin-left:8.25pt;margin-top:6.65pt;width:542.25pt;height:16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" fillcolor="#cfcdcd"/>
            </w:pict>
          </mc:Fallback>
        </mc:AlternateContent>
      </w:r>
    </w:p>
    <w:p w14:paraId="0C8F4D6A" w14:textId="317CD659" w:rsidR="005E7CDB" w:rsidRDefault="007E3864" w:rsidP="00A07209">
      <w:pPr>
        <w:numPr>
          <w:ilvl w:val="0"/>
          <w:numId w:val="201"/>
        </w:numPr>
        <w:spacing w:after="120" w:line="240" w:lineRule="auto"/>
        <w:ind w:left="720"/>
      </w:pPr>
      <w:r>
        <w:t>Concise Summary</w:t>
      </w:r>
    </w:p>
    <w:p w14:paraId="7099A0F7" w14:textId="77777777" w:rsidR="005E7CDB" w:rsidRDefault="005E7CDB" w:rsidP="005E7CDB">
      <w:pPr>
        <w:spacing w:after="120"/>
        <w:ind w:left="720"/>
      </w:pPr>
      <w:r>
        <w:t xml:space="preserve">Lengthy and/or complex consent documents must begin with a concise and focused   summary of the key information that is most likely to assist a prospective subject or legally authorized representative in understanding the reasons why one might or might not want to participate in the research, and to encourage discussion about the pros and cons of research participation. The following items may be addressed in this summary: the purpose of the research, the expected duration, and the research procedures to be followed; the most important risks or discomforts (i.e., highest frequency or greatest severity); the reasonably expected benefits; and appropriate alternative procedures or courses of treatment. Other additional information may be needed based on the study design and the intended subject population. Information listed in the concise summary need not be repeated later in the consent form unless that information is necessary to help ensure the consent remains understandable to the subject. </w:t>
      </w:r>
    </w:p>
    <w:p w14:paraId="50C10C2E" w14:textId="77777777" w:rsidR="005E7CDB" w:rsidRPr="003E367D" w:rsidRDefault="005E7CDB" w:rsidP="00A07209">
      <w:pPr>
        <w:numPr>
          <w:ilvl w:val="0"/>
          <w:numId w:val="201"/>
        </w:numPr>
        <w:spacing w:after="120" w:line="240" w:lineRule="auto"/>
        <w:ind w:left="720"/>
      </w:pPr>
      <w:bookmarkStart w:id="290" w:name="elements"/>
      <w:bookmarkEnd w:id="290"/>
      <w:r>
        <w:t>Required Elements</w:t>
      </w:r>
    </w:p>
    <w:p w14:paraId="18FD22A5" w14:textId="77777777" w:rsidR="005E7CDB" w:rsidRPr="003E367D" w:rsidRDefault="005E7CDB" w:rsidP="005E7CDB">
      <w:pPr>
        <w:spacing w:after="60"/>
        <w:ind w:left="720"/>
      </w:pPr>
      <w:r>
        <w:t>The information provided during the consent process must be consistent with the federal requirements. Unless informed consent is waived or altered by the IRB (see “</w:t>
      </w:r>
      <w:hyperlink w:anchor="waiver" w:history="1">
        <w:r>
          <w:rPr>
            <w:rStyle w:val="Hyperlink"/>
          </w:rPr>
          <w:t>Waiver or Alteration of Informed Consent</w:t>
        </w:r>
      </w:hyperlink>
      <w:r>
        <w:t xml:space="preserve">” below), the consent process must include the following basic elements: </w:t>
      </w:r>
    </w:p>
    <w:p w14:paraId="4226D6ED" w14:textId="77777777" w:rsidR="005E7CDB" w:rsidRPr="003E367D" w:rsidRDefault="005E7CDB" w:rsidP="00A07209">
      <w:pPr>
        <w:numPr>
          <w:ilvl w:val="3"/>
          <w:numId w:val="200"/>
        </w:numPr>
        <w:tabs>
          <w:tab w:val="clear" w:pos="2160"/>
          <w:tab w:val="num" w:pos="1440"/>
        </w:tabs>
        <w:spacing w:after="60" w:line="240" w:lineRule="auto"/>
        <w:ind w:left="1440"/>
      </w:pPr>
      <w:r>
        <w:t>A statement that the study involves research, explanation of the purposes of the research, expected duration of participation, description of the procedures to be followed, and identification of any procedures that are experimental</w:t>
      </w:r>
    </w:p>
    <w:p w14:paraId="67102AC5" w14:textId="77777777" w:rsidR="005E7CDB" w:rsidRPr="003E367D" w:rsidRDefault="005E7CDB" w:rsidP="00A07209">
      <w:pPr>
        <w:numPr>
          <w:ilvl w:val="3"/>
          <w:numId w:val="200"/>
        </w:numPr>
        <w:tabs>
          <w:tab w:val="clear" w:pos="2160"/>
          <w:tab w:val="num" w:pos="1440"/>
        </w:tabs>
        <w:spacing w:after="60" w:line="240" w:lineRule="auto"/>
        <w:ind w:left="1440"/>
      </w:pPr>
      <w:r>
        <w:t>A description of any reasonably foreseeable risks or discomforts to the subject</w:t>
      </w:r>
    </w:p>
    <w:p w14:paraId="7245BE40" w14:textId="77777777" w:rsidR="005E7CDB" w:rsidRPr="003E367D" w:rsidRDefault="005E7CDB" w:rsidP="00A07209">
      <w:pPr>
        <w:numPr>
          <w:ilvl w:val="3"/>
          <w:numId w:val="200"/>
        </w:numPr>
        <w:tabs>
          <w:tab w:val="clear" w:pos="2160"/>
          <w:tab w:val="num" w:pos="1440"/>
        </w:tabs>
        <w:spacing w:after="60" w:line="240" w:lineRule="auto"/>
        <w:ind w:left="1440"/>
      </w:pPr>
      <w:r>
        <w:t>A description of any benefits to the subject or to others that may reasonably be expected from the research</w:t>
      </w:r>
    </w:p>
    <w:p w14:paraId="78A092A9" w14:textId="77777777" w:rsidR="005E7CDB" w:rsidRPr="003E367D" w:rsidRDefault="005E7CDB" w:rsidP="00A07209">
      <w:pPr>
        <w:numPr>
          <w:ilvl w:val="3"/>
          <w:numId w:val="200"/>
        </w:numPr>
        <w:tabs>
          <w:tab w:val="clear" w:pos="2160"/>
          <w:tab w:val="num" w:pos="1440"/>
        </w:tabs>
        <w:spacing w:after="60" w:line="240" w:lineRule="auto"/>
        <w:ind w:left="1440"/>
      </w:pPr>
      <w:r>
        <w:t>Disclosure of appropriate alternative procedures or courses of treatment, if any, that might be advantageous to the subject</w:t>
      </w:r>
    </w:p>
    <w:p w14:paraId="43274F83" w14:textId="77777777" w:rsidR="005E7CDB" w:rsidRPr="003E367D" w:rsidRDefault="005E7CDB" w:rsidP="00A07209">
      <w:pPr>
        <w:numPr>
          <w:ilvl w:val="3"/>
          <w:numId w:val="200"/>
        </w:numPr>
        <w:tabs>
          <w:tab w:val="clear" w:pos="2160"/>
          <w:tab w:val="num" w:pos="1440"/>
        </w:tabs>
        <w:spacing w:after="60" w:line="240" w:lineRule="auto"/>
        <w:ind w:left="1440"/>
      </w:pPr>
      <w:r>
        <w:t xml:space="preserve">A statement </w:t>
      </w:r>
      <w:r>
        <w:rPr>
          <w:bCs/>
        </w:rPr>
        <w:t>describing the extent, if any, to which confidentiality of records identifying the subject will be maintained</w:t>
      </w:r>
    </w:p>
    <w:p w14:paraId="562220A4" w14:textId="77777777" w:rsidR="005E7CDB" w:rsidRPr="003E367D" w:rsidRDefault="005E7CDB" w:rsidP="00A07209">
      <w:pPr>
        <w:numPr>
          <w:ilvl w:val="3"/>
          <w:numId w:val="200"/>
        </w:numPr>
        <w:tabs>
          <w:tab w:val="clear" w:pos="2160"/>
          <w:tab w:val="num" w:pos="1440"/>
        </w:tabs>
        <w:spacing w:after="60" w:line="240" w:lineRule="auto"/>
        <w:ind w:left="1440"/>
      </w:pPr>
      <w:r>
        <w:rPr>
          <w:bCs/>
        </w:rPr>
        <w:t>Explanation of whom to contact for answers to pertinent questions about the research and the subject’s rights and whom to contact in the event of a research-related injury to the subject</w:t>
      </w:r>
    </w:p>
    <w:p w14:paraId="764B1B6D" w14:textId="410C462E" w:rsidR="005E7CDB" w:rsidRDefault="00370D45" w:rsidP="00A07209">
      <w:pPr>
        <w:numPr>
          <w:ilvl w:val="3"/>
          <w:numId w:val="200"/>
        </w:numPr>
        <w:tabs>
          <w:tab w:val="clear" w:pos="2160"/>
          <w:tab w:val="num" w:pos="1440"/>
        </w:tabs>
        <w:spacing w:after="120" w:line="240" w:lineRule="auto"/>
        <w:ind w:left="1440"/>
      </w:pPr>
      <w:r>
        <w:rPr>
          <w:noProof/>
        </w:rPr>
        <mc:AlternateContent>
          <mc:Choice Requires="wps">
            <w:drawing>
              <wp:anchor distT="0" distB="0" distL="114300" distR="114300" simplePos="0" relativeHeight="251669504" behindDoc="1" locked="0" layoutInCell="1" allowOverlap="1" wp14:anchorId="3B97D7EE" wp14:editId="52C1424D">
                <wp:simplePos x="0" y="0"/>
                <wp:positionH relativeFrom="margin">
                  <wp:posOffset>581025</wp:posOffset>
                </wp:positionH>
                <wp:positionV relativeFrom="paragraph">
                  <wp:posOffset>511175</wp:posOffset>
                </wp:positionV>
                <wp:extent cx="6344920" cy="1343025"/>
                <wp:effectExtent l="0" t="0" r="17780" b="28575"/>
                <wp:wrapNone/>
                <wp:docPr id="11546868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44920" cy="13430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7C75BA" id="Rectangle 7" o:spid="_x0000_s1026" alt="&quot;&quot;" style="position:absolute;margin-left:45.75pt;margin-top:40.25pt;width:499.6pt;height:105.75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" fillcolor="#cfcdcd">
                <w10:wrap anchorx="margin"/>
              </v:rect>
            </w:pict>
          </mc:Fallback>
        </mc:AlternateContent>
      </w:r>
      <w:r w:rsidR="005E7CDB">
        <w:t>A statement that participation is voluntary, refusal to participate will involve no penalty or loss of benefits to which the subject is otherwise entitled, and that the subject may discontinue participation at any time without penalty or loss of benefits to which the subject is otherwise entitled</w:t>
      </w:r>
    </w:p>
    <w:p w14:paraId="3A681B5C" w14:textId="68D1508E" w:rsidR="005E7CDB" w:rsidRPr="00C24933" w:rsidRDefault="005E7CDB" w:rsidP="00A07209">
      <w:pPr>
        <w:numPr>
          <w:ilvl w:val="0"/>
          <w:numId w:val="200"/>
        </w:numPr>
        <w:tabs>
          <w:tab w:val="clear" w:pos="1368"/>
          <w:tab w:val="num" w:pos="1440"/>
        </w:tabs>
        <w:spacing w:after="60" w:line="240" w:lineRule="auto"/>
        <w:ind w:left="1440"/>
      </w:pPr>
      <w:r>
        <w:t xml:space="preserve">One of the following statements about any research that involves the collection </w:t>
      </w:r>
      <w:r>
        <w:br/>
        <w:t>of identifiable private information or identifiable biospecimens:</w:t>
      </w:r>
    </w:p>
    <w:p w14:paraId="46EE6E84" w14:textId="492FC1E5" w:rsidR="005E7CDB" w:rsidRPr="00C24933" w:rsidRDefault="005E7CDB" w:rsidP="00A07209">
      <w:pPr>
        <w:numPr>
          <w:ilvl w:val="0"/>
          <w:numId w:val="441"/>
        </w:numPr>
        <w:spacing w:after="60" w:line="240" w:lineRule="auto"/>
      </w:pPr>
      <w:r>
        <w:t xml:space="preserve">A statement that identifiers might be removed from the identifiable private information or identifiable biospecimens and that, after such removal, the information or biospecimens could be used for future research studies or distributed to another investigator for future research </w:t>
      </w:r>
      <w:r w:rsidR="00370D45">
        <w:rPr>
          <w:noProof/>
        </w:rPr>
        <w:lastRenderedPageBreak/>
        <mc:AlternateContent>
          <mc:Choice Requires="wps">
            <w:drawing>
              <wp:anchor distT="0" distB="0" distL="114300" distR="114300" simplePos="0" relativeHeight="251688960" behindDoc="1" locked="0" layoutInCell="1" allowOverlap="1" wp14:anchorId="482E4F39" wp14:editId="671D1C59">
                <wp:simplePos x="0" y="0"/>
                <wp:positionH relativeFrom="margin">
                  <wp:align>left</wp:align>
                </wp:positionH>
                <wp:positionV relativeFrom="paragraph">
                  <wp:posOffset>635</wp:posOffset>
                </wp:positionV>
                <wp:extent cx="7134225" cy="790575"/>
                <wp:effectExtent l="0" t="0" r="28575" b="28575"/>
                <wp:wrapNone/>
                <wp:docPr id="1037729006" name="Rectangl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34225" cy="7905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1B3AF5" id="Rectangle 7" o:spid="_x0000_s1026" alt="&quot;&quot;" style="position:absolute;margin-left:0;margin-top:.05pt;width:561.75pt;height:62.25pt;z-index:-251627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" fillcolor="#cfcdcd">
                <w10:wrap anchorx="margin"/>
              </v:rect>
            </w:pict>
          </mc:Fallback>
        </mc:AlternateContent>
      </w:r>
      <w:r>
        <w:t>studies without additional informed consent from the subject or the legally authorized representative, if this might be a possibility</w:t>
      </w:r>
    </w:p>
    <w:p w14:paraId="44128C7A" w14:textId="77777777" w:rsidR="005E7CDB" w:rsidRPr="003E367D" w:rsidRDefault="005E7CDB" w:rsidP="00A07209">
      <w:pPr>
        <w:numPr>
          <w:ilvl w:val="0"/>
          <w:numId w:val="441"/>
        </w:numPr>
        <w:spacing w:after="120" w:line="240" w:lineRule="auto"/>
      </w:pPr>
      <w:r>
        <w:t>A statement that the subject’s information or biospecimens collected as part of the research, even if identifiers are removed, will not be used or distributed for future research studies</w:t>
      </w:r>
    </w:p>
    <w:p w14:paraId="16A40BF3" w14:textId="77777777" w:rsidR="005E7CDB" w:rsidRPr="003E367D" w:rsidRDefault="005E7CDB" w:rsidP="00A07209">
      <w:pPr>
        <w:numPr>
          <w:ilvl w:val="3"/>
          <w:numId w:val="200"/>
        </w:numPr>
        <w:tabs>
          <w:tab w:val="clear" w:pos="2160"/>
          <w:tab w:val="num" w:pos="1440"/>
        </w:tabs>
        <w:spacing w:after="60" w:line="240" w:lineRule="auto"/>
        <w:ind w:left="1440"/>
      </w:pPr>
      <w:r>
        <w:t>For research involving greater than minimal risk, an explanation about whether:</w:t>
      </w:r>
    </w:p>
    <w:p w14:paraId="2E6B24C6" w14:textId="77777777" w:rsidR="005E7CDB" w:rsidRPr="00D4537C" w:rsidRDefault="005E7CDB" w:rsidP="00A07209">
      <w:pPr>
        <w:numPr>
          <w:ilvl w:val="0"/>
          <w:numId w:val="442"/>
        </w:numPr>
        <w:spacing w:after="0" w:line="240" w:lineRule="auto"/>
      </w:pPr>
      <w:r>
        <w:t>Medical treatments are available if injury occurs and, if so, what they consist of or where further information can be obtained</w:t>
      </w:r>
    </w:p>
    <w:p w14:paraId="5F6E7BF2" w14:textId="77777777" w:rsidR="005E7CDB" w:rsidRPr="003E367D" w:rsidRDefault="005E7CDB" w:rsidP="00A07209">
      <w:pPr>
        <w:numPr>
          <w:ilvl w:val="0"/>
          <w:numId w:val="442"/>
        </w:numPr>
        <w:spacing w:after="60" w:line="240" w:lineRule="auto"/>
      </w:pPr>
      <w:r>
        <w:t>Compensation is available if injury occurs and, if so, an explanation as to what it consists of or where further information can be obtained</w:t>
      </w:r>
    </w:p>
    <w:p w14:paraId="2C95DFB6" w14:textId="77777777" w:rsidR="005E7CDB" w:rsidRPr="003E367D" w:rsidRDefault="005E7CDB" w:rsidP="00A07209">
      <w:pPr>
        <w:numPr>
          <w:ilvl w:val="3"/>
          <w:numId w:val="200"/>
        </w:numPr>
        <w:tabs>
          <w:tab w:val="clear" w:pos="2160"/>
          <w:tab w:val="num" w:pos="1440"/>
        </w:tabs>
        <w:spacing w:after="0" w:line="240" w:lineRule="auto"/>
        <w:ind w:left="1440"/>
      </w:pPr>
      <w:r>
        <w:t xml:space="preserve">For research regulated by FDA: </w:t>
      </w:r>
    </w:p>
    <w:p w14:paraId="0CB41912" w14:textId="77777777" w:rsidR="005E7CDB" w:rsidRPr="003E367D" w:rsidRDefault="005E7CDB" w:rsidP="00A07209">
      <w:pPr>
        <w:numPr>
          <w:ilvl w:val="3"/>
          <w:numId w:val="443"/>
        </w:numPr>
        <w:spacing w:after="0" w:line="240" w:lineRule="auto"/>
      </w:pPr>
      <w:r>
        <w:t>A statement that informs the subject of the possibility that FDA may inspect the records</w:t>
      </w:r>
    </w:p>
    <w:p w14:paraId="743273BE" w14:textId="77777777" w:rsidR="005E7CDB" w:rsidRPr="00972D44" w:rsidRDefault="005E7CDB" w:rsidP="00A07209">
      <w:pPr>
        <w:numPr>
          <w:ilvl w:val="3"/>
          <w:numId w:val="443"/>
        </w:numPr>
        <w:spacing w:after="0" w:line="240" w:lineRule="auto"/>
      </w:pPr>
      <w:r>
        <w:t xml:space="preserve">For applicable clinical trials, the following statement notifying the subject that clinical trial information has been or will be submitted for inclusion in the clinical trial registry databank: “A description of this clinical trial will be available on </w:t>
      </w:r>
      <w:hyperlink r:id="rId211" w:history="1">
        <w:r>
          <w:rPr>
            <w:rStyle w:val="Hyperlink"/>
          </w:rPr>
          <w:t>http://www.ClinicalTrials.gov</w:t>
        </w:r>
      </w:hyperlink>
      <w:r>
        <w:t>, as required by U.S. law. This website will not include information that can identify you. At most, the website will include a summary of the results. You can search this website at any time.”</w:t>
      </w:r>
    </w:p>
    <w:p w14:paraId="4E8F46AB" w14:textId="77777777" w:rsidR="005E7CDB" w:rsidRPr="003E367D" w:rsidRDefault="005E7CDB" w:rsidP="00A07209">
      <w:pPr>
        <w:numPr>
          <w:ilvl w:val="0"/>
          <w:numId w:val="201"/>
        </w:numPr>
        <w:spacing w:after="120" w:line="240" w:lineRule="auto"/>
        <w:ind w:left="720"/>
      </w:pPr>
      <w:r>
        <w:t>Additional Elements</w:t>
      </w:r>
    </w:p>
    <w:p w14:paraId="6996F7B1" w14:textId="77777777" w:rsidR="005E7CDB" w:rsidRPr="003E367D" w:rsidRDefault="005E7CDB" w:rsidP="005E7CDB">
      <w:pPr>
        <w:spacing w:after="60"/>
        <w:ind w:left="720"/>
      </w:pPr>
      <w:r>
        <w:t>One or more of the following elements will also be provided to potential participants during the consent process, when appropriate:</w:t>
      </w:r>
    </w:p>
    <w:p w14:paraId="5FA93EE1" w14:textId="77777777" w:rsidR="005E7CDB" w:rsidRPr="003E367D" w:rsidRDefault="005E7CDB" w:rsidP="00A07209">
      <w:pPr>
        <w:numPr>
          <w:ilvl w:val="3"/>
          <w:numId w:val="202"/>
        </w:numPr>
        <w:tabs>
          <w:tab w:val="clear" w:pos="2880"/>
          <w:tab w:val="num" w:pos="1440"/>
        </w:tabs>
        <w:spacing w:after="60" w:line="240" w:lineRule="auto"/>
        <w:ind w:left="1440"/>
      </w:pPr>
      <w:r>
        <w:t>A statement that the particular treatment or procedure may involve risks to the subject (or to the embryo or fetus, if the subject is or may become pregnant) that are currently unforeseeable</w:t>
      </w:r>
    </w:p>
    <w:p w14:paraId="7ADE280F" w14:textId="77777777" w:rsidR="005E7CDB" w:rsidRPr="003E367D" w:rsidRDefault="005E7CDB" w:rsidP="00A07209">
      <w:pPr>
        <w:numPr>
          <w:ilvl w:val="3"/>
          <w:numId w:val="202"/>
        </w:numPr>
        <w:tabs>
          <w:tab w:val="clear" w:pos="2880"/>
          <w:tab w:val="num" w:pos="1440"/>
        </w:tabs>
        <w:spacing w:after="60" w:line="240" w:lineRule="auto"/>
        <w:ind w:left="1440"/>
      </w:pPr>
      <w:r>
        <w:t>Anticipated circumstances under which participation may be terminated by the investigator without regard to the subject’s consent</w:t>
      </w:r>
    </w:p>
    <w:p w14:paraId="37B3BDFD" w14:textId="77777777" w:rsidR="005E7CDB" w:rsidRPr="003E367D" w:rsidRDefault="005E7CDB" w:rsidP="00A07209">
      <w:pPr>
        <w:numPr>
          <w:ilvl w:val="3"/>
          <w:numId w:val="202"/>
        </w:numPr>
        <w:tabs>
          <w:tab w:val="clear" w:pos="2880"/>
          <w:tab w:val="num" w:pos="1440"/>
        </w:tabs>
        <w:spacing w:after="60" w:line="240" w:lineRule="auto"/>
        <w:ind w:left="1440"/>
      </w:pPr>
      <w:r>
        <w:t>Any additional costs to the subject that may result from participation in the research</w:t>
      </w:r>
    </w:p>
    <w:p w14:paraId="058C542D" w14:textId="77777777" w:rsidR="005E7CDB" w:rsidRPr="003E367D" w:rsidRDefault="005E7CDB" w:rsidP="00A07209">
      <w:pPr>
        <w:numPr>
          <w:ilvl w:val="3"/>
          <w:numId w:val="202"/>
        </w:numPr>
        <w:tabs>
          <w:tab w:val="clear" w:pos="2880"/>
          <w:tab w:val="num" w:pos="1440"/>
        </w:tabs>
        <w:spacing w:after="60" w:line="240" w:lineRule="auto"/>
        <w:ind w:left="1440"/>
      </w:pPr>
      <w:r>
        <w:t>Consequences of a subject’s decision to withdraw from the research and procedures for orderly termination of participation by the subject</w:t>
      </w:r>
    </w:p>
    <w:p w14:paraId="7385FDD7" w14:textId="77777777" w:rsidR="005E7CDB" w:rsidRDefault="005E7CDB" w:rsidP="00A07209">
      <w:pPr>
        <w:numPr>
          <w:ilvl w:val="3"/>
          <w:numId w:val="202"/>
        </w:numPr>
        <w:tabs>
          <w:tab w:val="clear" w:pos="2880"/>
          <w:tab w:val="num" w:pos="1440"/>
        </w:tabs>
        <w:spacing w:after="60" w:line="240" w:lineRule="auto"/>
        <w:ind w:left="1440"/>
      </w:pPr>
      <w:r>
        <w:t>A statement that significant new findings developed during the course of the research that may relate to the subject’s willingness to continue participation will be provided</w:t>
      </w:r>
    </w:p>
    <w:p w14:paraId="7668037C" w14:textId="77777777" w:rsidR="005E7CDB" w:rsidRDefault="005E7CDB" w:rsidP="00A07209">
      <w:pPr>
        <w:numPr>
          <w:ilvl w:val="3"/>
          <w:numId w:val="202"/>
        </w:numPr>
        <w:tabs>
          <w:tab w:val="clear" w:pos="2880"/>
          <w:tab w:val="num" w:pos="1440"/>
        </w:tabs>
        <w:spacing w:after="120" w:line="240" w:lineRule="auto"/>
        <w:ind w:left="1440"/>
      </w:pPr>
      <w:r>
        <w:rPr>
          <w:noProof/>
        </w:rPr>
        <mc:AlternateContent>
          <mc:Choice Requires="wps">
            <w:drawing>
              <wp:anchor distT="0" distB="0" distL="114300" distR="114300" simplePos="0" relativeHeight="251671552" behindDoc="1" locked="0" layoutInCell="1" allowOverlap="1" wp14:anchorId="4B43A525" wp14:editId="4BD873B9">
                <wp:simplePos x="0" y="0"/>
                <wp:positionH relativeFrom="margin">
                  <wp:align>right</wp:align>
                </wp:positionH>
                <wp:positionV relativeFrom="paragraph">
                  <wp:posOffset>193040</wp:posOffset>
                </wp:positionV>
                <wp:extent cx="6686550" cy="1276350"/>
                <wp:effectExtent l="0" t="0" r="19050" b="19050"/>
                <wp:wrapNone/>
                <wp:docPr id="1442343933" name="Rectangl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1276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918EF1" id="Rectangle 6" o:spid="_x0000_s1026" alt="&quot;&quot;" style="position:absolute;margin-left:475.3pt;margin-top:15.2pt;width:526.5pt;height:100.5pt;z-index:-2516449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" fillcolor="#cfcdcd">
                <w10:wrap anchorx="margin"/>
              </v:rect>
            </w:pict>
          </mc:Fallback>
        </mc:AlternateContent>
      </w:r>
      <w:r>
        <w:t>Approximate number of subjects involved in the study</w:t>
      </w:r>
    </w:p>
    <w:p w14:paraId="0F5A98EC" w14:textId="77777777" w:rsidR="005E7CDB" w:rsidRPr="0083359C" w:rsidRDefault="005E7CDB" w:rsidP="00A07209">
      <w:pPr>
        <w:numPr>
          <w:ilvl w:val="3"/>
          <w:numId w:val="202"/>
        </w:numPr>
        <w:tabs>
          <w:tab w:val="clear" w:pos="2880"/>
          <w:tab w:val="num" w:pos="1440"/>
        </w:tabs>
        <w:spacing w:after="120" w:line="240" w:lineRule="auto"/>
        <w:ind w:left="1440"/>
      </w:pPr>
      <w:r>
        <w:t>A statement that the subject’s biospecimens (even if identifiers are removed) may be used for commercial profit and whether or not the subject will share in this commercial profit</w:t>
      </w:r>
    </w:p>
    <w:p w14:paraId="21A9465D" w14:textId="77777777" w:rsidR="007E3864" w:rsidRDefault="005E7CDB" w:rsidP="00A07209">
      <w:pPr>
        <w:numPr>
          <w:ilvl w:val="3"/>
          <w:numId w:val="202"/>
        </w:numPr>
        <w:tabs>
          <w:tab w:val="clear" w:pos="2880"/>
          <w:tab w:val="num" w:pos="1440"/>
        </w:tabs>
        <w:spacing w:after="120" w:line="240" w:lineRule="auto"/>
        <w:ind w:left="1440"/>
      </w:pPr>
      <w:r>
        <w:t>A statement regarding whether clinically relevant research results, including individual research results, will be disclosed to subjects, and if so, under what conditions</w:t>
      </w:r>
    </w:p>
    <w:p w14:paraId="75FD3333" w14:textId="77777777" w:rsidR="005E7CDB" w:rsidRPr="007E3864" w:rsidRDefault="005E7CDB" w:rsidP="00A07209">
      <w:pPr>
        <w:numPr>
          <w:ilvl w:val="3"/>
          <w:numId w:val="202"/>
        </w:numPr>
        <w:tabs>
          <w:tab w:val="clear" w:pos="2880"/>
          <w:tab w:val="num" w:pos="1440"/>
        </w:tabs>
        <w:spacing w:after="120" w:line="240" w:lineRule="auto"/>
        <w:ind w:left="1440"/>
      </w:pPr>
      <w:r>
        <w:t>For research involving biospecimens, whether the research will (if known) or might include whole genome sequencing</w:t>
      </w:r>
    </w:p>
    <w:p w14:paraId="0DA22E6E" w14:textId="77777777" w:rsidR="005E7CDB" w:rsidRPr="003E367D" w:rsidRDefault="005E7CDB" w:rsidP="00845C82">
      <w:pPr>
        <w:ind w:left="720"/>
      </w:pPr>
      <w:r>
        <w:t>Additional information beyond the basic and additional elements of consent (</w:t>
      </w:r>
      <w:hyperlink w:anchor="elements" w:history="1">
        <w:r>
          <w:rPr>
            <w:rStyle w:val="Hyperlink"/>
          </w:rPr>
          <w:t>above</w:t>
        </w:r>
      </w:hyperlink>
      <w:r>
        <w:t>) may also be required when the IRB determines that this information would meaningfully add to the protection of research participants.</w:t>
      </w:r>
    </w:p>
    <w:p w14:paraId="21DBF207" w14:textId="77777777" w:rsidR="005E7CDB" w:rsidRDefault="005E7CDB" w:rsidP="00A07209">
      <w:pPr>
        <w:numPr>
          <w:ilvl w:val="0"/>
          <w:numId w:val="204"/>
        </w:numPr>
        <w:spacing w:after="0" w:line="240" w:lineRule="auto"/>
        <w:rPr>
          <w:b/>
        </w:rPr>
      </w:pPr>
      <w:r>
        <w:rPr>
          <w:b/>
        </w:rPr>
        <w:t>Consent Language</w:t>
      </w:r>
    </w:p>
    <w:p w14:paraId="0DE0B5A3" w14:textId="77777777" w:rsidR="00972D44" w:rsidRPr="00972D44" w:rsidRDefault="00972D44" w:rsidP="00972D44">
      <w:pPr>
        <w:spacing w:after="0" w:line="240" w:lineRule="auto"/>
        <w:ind w:left="360"/>
        <w:rPr>
          <w:b/>
        </w:rPr>
      </w:pPr>
    </w:p>
    <w:p w14:paraId="00A4DF72" w14:textId="77777777" w:rsidR="005E7CDB" w:rsidRPr="003E367D" w:rsidRDefault="005E7CDB" w:rsidP="00A07209">
      <w:pPr>
        <w:numPr>
          <w:ilvl w:val="0"/>
          <w:numId w:val="205"/>
        </w:numPr>
        <w:spacing w:after="120" w:line="240" w:lineRule="auto"/>
      </w:pPr>
      <w:r>
        <w:t>Exculpatory Language</w:t>
      </w:r>
    </w:p>
    <w:p w14:paraId="501CD8DA" w14:textId="77777777" w:rsidR="005E7CDB" w:rsidRPr="003E367D" w:rsidRDefault="005E7CDB" w:rsidP="00845C82">
      <w:pPr>
        <w:ind w:left="720"/>
      </w:pPr>
      <w:r>
        <w:t xml:space="preserve">The informed consent process may not contain any exculpatory language through which the subject is made to waive or appear to waive any of the subject’s legal rights or release (or appear to release) the investigator, sponsor, or the university (or its agents) from liability for negligence. </w:t>
      </w:r>
    </w:p>
    <w:p w14:paraId="7DB80520" w14:textId="77777777" w:rsidR="005E7CDB" w:rsidRPr="003E367D" w:rsidRDefault="005E7CDB" w:rsidP="00A07209">
      <w:pPr>
        <w:numPr>
          <w:ilvl w:val="0"/>
          <w:numId w:val="205"/>
        </w:numPr>
        <w:tabs>
          <w:tab w:val="left" w:pos="720"/>
        </w:tabs>
        <w:spacing w:after="120" w:line="240" w:lineRule="auto"/>
      </w:pPr>
      <w:r>
        <w:t>Complex Language</w:t>
      </w:r>
    </w:p>
    <w:p w14:paraId="17A99171" w14:textId="77777777" w:rsidR="00972D44" w:rsidRPr="003E367D" w:rsidRDefault="005E7CDB" w:rsidP="00972D44">
      <w:pPr>
        <w:ind w:left="720"/>
      </w:pPr>
      <w:r>
        <w:lastRenderedPageBreak/>
        <w:t>The information provided during the consent discussion must be presented in language understandable to the subject or the subject’s legally authorized representative. The consent discussion should not include complex, technical, or highly specialized language or medical jargon that would not be understandable to potential participants.</w:t>
      </w:r>
    </w:p>
    <w:p w14:paraId="5F3D566B" w14:textId="77777777" w:rsidR="005E7CDB" w:rsidRDefault="005E7CDB" w:rsidP="00A07209">
      <w:pPr>
        <w:numPr>
          <w:ilvl w:val="0"/>
          <w:numId w:val="204"/>
        </w:numPr>
        <w:spacing w:after="0" w:line="240" w:lineRule="auto"/>
      </w:pPr>
      <w:r>
        <w:rPr>
          <w:b/>
        </w:rPr>
        <w:t>Special Considerations in Informed Consent</w:t>
      </w:r>
    </w:p>
    <w:p w14:paraId="4F2933D1" w14:textId="77777777" w:rsidR="00972D44" w:rsidRPr="00972D44" w:rsidRDefault="00972D44" w:rsidP="00972D44">
      <w:pPr>
        <w:spacing w:after="0" w:line="240" w:lineRule="auto"/>
        <w:ind w:left="360"/>
      </w:pPr>
    </w:p>
    <w:p w14:paraId="7AB5B6CF" w14:textId="77777777" w:rsidR="005E7CDB" w:rsidRPr="003E367D" w:rsidRDefault="005E7CDB" w:rsidP="00972D44">
      <w:pPr>
        <w:ind w:left="360"/>
      </w:pPr>
      <w:r>
        <w:t>The circumstances of the consent process must provide potential participants or their legally authorized representatives sufficient opportunity to consider whether to participate and minimize the possibility of coercion or undue influence. When some or all of the participants are likely to be vulnerable to coercion or undue influence, prisoners, children, students, employees, or individuals with impaired decision-making capacity, additional safeguards are required to protect the rights and welfare of these participants.</w:t>
      </w:r>
    </w:p>
    <w:p w14:paraId="283313E5" w14:textId="77777777" w:rsidR="005E7CDB" w:rsidRPr="003E367D" w:rsidRDefault="005E7CDB" w:rsidP="005E7CDB">
      <w:pPr>
        <w:spacing w:after="60"/>
        <w:ind w:left="360"/>
      </w:pPr>
      <w:r>
        <w:t>Additional requirements for obtaining informed consent (or assent) in specific populations are described in the following HRPP policies:</w:t>
      </w:r>
    </w:p>
    <w:p w14:paraId="4A8EF2DC" w14:textId="77777777" w:rsidR="005E7CDB" w:rsidRPr="003E367D" w:rsidRDefault="005E7CDB" w:rsidP="00A07209">
      <w:pPr>
        <w:numPr>
          <w:ilvl w:val="0"/>
          <w:numId w:val="203"/>
        </w:numPr>
        <w:tabs>
          <w:tab w:val="clear" w:pos="1440"/>
          <w:tab w:val="num" w:pos="1080"/>
        </w:tabs>
        <w:spacing w:after="60" w:line="240" w:lineRule="auto"/>
        <w:ind w:left="1080"/>
      </w:pPr>
      <w:r>
        <w:t>Pregnant women, fetuses, or neonates [</w:t>
      </w:r>
      <w:hyperlink r:id="rId212" w:history="1">
        <w:r>
          <w:rPr>
            <w:rStyle w:val="Hyperlink"/>
          </w:rPr>
          <w:t>Research Involving Pregnant Women, Human Fetuses, or Neonates</w:t>
        </w:r>
      </w:hyperlink>
      <w:r>
        <w:t>]</w:t>
      </w:r>
    </w:p>
    <w:p w14:paraId="6907C460" w14:textId="77777777" w:rsidR="005E7CDB" w:rsidRPr="003E367D" w:rsidRDefault="005E7CDB" w:rsidP="00A07209">
      <w:pPr>
        <w:numPr>
          <w:ilvl w:val="0"/>
          <w:numId w:val="203"/>
        </w:numPr>
        <w:tabs>
          <w:tab w:val="clear" w:pos="1440"/>
          <w:tab w:val="num" w:pos="1080"/>
        </w:tabs>
        <w:spacing w:after="60" w:line="240" w:lineRule="auto"/>
        <w:ind w:left="1080"/>
      </w:pPr>
      <w:r>
        <w:t>Prisoners [</w:t>
      </w:r>
      <w:hyperlink r:id="rId213" w:history="1">
        <w:r>
          <w:rPr>
            <w:rStyle w:val="Hyperlink"/>
          </w:rPr>
          <w:t>Research Involving Prisoners</w:t>
        </w:r>
      </w:hyperlink>
      <w:r>
        <w:t>]</w:t>
      </w:r>
    </w:p>
    <w:p w14:paraId="6A058AA3" w14:textId="77777777" w:rsidR="005E7CDB" w:rsidRPr="003E367D" w:rsidRDefault="005E7CDB" w:rsidP="00A07209">
      <w:pPr>
        <w:numPr>
          <w:ilvl w:val="0"/>
          <w:numId w:val="203"/>
        </w:numPr>
        <w:tabs>
          <w:tab w:val="clear" w:pos="1440"/>
          <w:tab w:val="num" w:pos="1080"/>
        </w:tabs>
        <w:spacing w:after="60" w:line="240" w:lineRule="auto"/>
        <w:ind w:left="1080"/>
      </w:pPr>
      <w:r>
        <w:t>Children [</w:t>
      </w:r>
      <w:hyperlink r:id="rId214" w:history="1">
        <w:r>
          <w:rPr>
            <w:rStyle w:val="Hyperlink"/>
          </w:rPr>
          <w:t>Research Involving Children</w:t>
        </w:r>
      </w:hyperlink>
      <w:r>
        <w:t>] and [</w:t>
      </w:r>
      <w:hyperlink r:id="rId215" w:history="1">
        <w:r>
          <w:rPr>
            <w:rStyle w:val="Hyperlink"/>
          </w:rPr>
          <w:t>Assent and Parental Permission</w:t>
        </w:r>
      </w:hyperlink>
      <w:r>
        <w:t>]</w:t>
      </w:r>
    </w:p>
    <w:p w14:paraId="71A48167" w14:textId="77777777" w:rsidR="005E7CDB" w:rsidRPr="003E367D" w:rsidRDefault="005E7CDB" w:rsidP="00A07209">
      <w:pPr>
        <w:numPr>
          <w:ilvl w:val="0"/>
          <w:numId w:val="203"/>
        </w:numPr>
        <w:tabs>
          <w:tab w:val="clear" w:pos="1440"/>
          <w:tab w:val="num" w:pos="1080"/>
        </w:tabs>
        <w:spacing w:after="60" w:line="240" w:lineRule="auto"/>
        <w:ind w:left="1080"/>
      </w:pPr>
      <w:r>
        <w:t>Students or employees [</w:t>
      </w:r>
      <w:hyperlink r:id="rId216" w:history="1">
        <w:r>
          <w:rPr>
            <w:rStyle w:val="Hyperlink"/>
          </w:rPr>
          <w:t>Vulnerable Populations: Students, Employees, and Adults with Impaired Decision-Making Capacity</w:t>
        </w:r>
      </w:hyperlink>
      <w:r>
        <w:t>]</w:t>
      </w:r>
    </w:p>
    <w:p w14:paraId="4F0545BA" w14:textId="77777777" w:rsidR="005E7CDB" w:rsidRPr="003E367D" w:rsidRDefault="005E7CDB" w:rsidP="00A07209">
      <w:pPr>
        <w:numPr>
          <w:ilvl w:val="0"/>
          <w:numId w:val="203"/>
        </w:numPr>
        <w:tabs>
          <w:tab w:val="clear" w:pos="1440"/>
          <w:tab w:val="num" w:pos="1080"/>
        </w:tabs>
        <w:spacing w:after="60" w:line="240" w:lineRule="auto"/>
        <w:ind w:left="1080"/>
      </w:pPr>
      <w:r>
        <w:t>Adults unable to provide consent [</w:t>
      </w:r>
      <w:hyperlink r:id="rId217" w:history="1">
        <w:r>
          <w:rPr>
            <w:rStyle w:val="Hyperlink"/>
          </w:rPr>
          <w:t>Vulnerable Populations: Students, Employees, and Adults with Impaired Decision-Making Capacity</w:t>
        </w:r>
      </w:hyperlink>
      <w:r>
        <w:t>]</w:t>
      </w:r>
    </w:p>
    <w:p w14:paraId="1850CD69" w14:textId="77777777" w:rsidR="005E7CDB" w:rsidRDefault="005E7CDB" w:rsidP="00A07209">
      <w:pPr>
        <w:numPr>
          <w:ilvl w:val="0"/>
          <w:numId w:val="203"/>
        </w:numPr>
        <w:tabs>
          <w:tab w:val="clear" w:pos="1440"/>
          <w:tab w:val="num" w:pos="1080"/>
        </w:tabs>
        <w:spacing w:after="0" w:line="240" w:lineRule="auto"/>
        <w:ind w:left="1080"/>
      </w:pPr>
      <w:r>
        <w:t>Non-English-speaking individuals [</w:t>
      </w:r>
      <w:hyperlink r:id="rId218" w:history="1">
        <w:r>
          <w:rPr>
            <w:rStyle w:val="Hyperlink"/>
          </w:rPr>
          <w:t>Short Form Informed Consent</w:t>
        </w:r>
      </w:hyperlink>
      <w:r>
        <w:t>]</w:t>
      </w:r>
    </w:p>
    <w:p w14:paraId="6EE4EAA4" w14:textId="77777777" w:rsidR="00116DB8" w:rsidRPr="003E367D" w:rsidRDefault="00116DB8" w:rsidP="00116DB8">
      <w:pPr>
        <w:spacing w:after="0" w:line="240" w:lineRule="auto"/>
        <w:ind w:left="1080"/>
      </w:pPr>
    </w:p>
    <w:p w14:paraId="5F0A89F1" w14:textId="77777777" w:rsidR="005E7CDB" w:rsidRPr="00116DB8" w:rsidRDefault="005E7CDB" w:rsidP="00A07209">
      <w:pPr>
        <w:pStyle w:val="ListParagraph"/>
        <w:numPr>
          <w:ilvl w:val="0"/>
          <w:numId w:val="204"/>
        </w:numPr>
      </w:pPr>
      <w:r>
        <w:rPr>
          <w:b/>
          <w:bCs/>
        </w:rPr>
        <w:t>Observation of the Consent Process</w:t>
      </w:r>
    </w:p>
    <w:p w14:paraId="325ABFD6" w14:textId="77777777" w:rsidR="00972D44" w:rsidRDefault="005E7CDB" w:rsidP="00D87882">
      <w:pPr>
        <w:ind w:left="360"/>
      </w:pPr>
      <w:r>
        <w:t>According to the federal regulations, the IRB has the authority to observe or have a third party observe the consent process. Observation of the consent process can provide additional protections to research participants, e.g., in studies involving adults with diminished decision-making capacity or studies with complex interventions. Observation can be performed by members of the IRB, ORRP staff, or by other individuals designated by the IRB, investigator, or sponsor.</w:t>
      </w:r>
    </w:p>
    <w:p w14:paraId="5E7E540D" w14:textId="77777777" w:rsidR="00D87882" w:rsidRPr="00116DB8" w:rsidRDefault="00D87882" w:rsidP="00D87882">
      <w:pPr>
        <w:ind w:left="360"/>
      </w:pPr>
    </w:p>
    <w:p w14:paraId="2F6B525C" w14:textId="77777777" w:rsidR="005E7CDB" w:rsidRPr="003E367D" w:rsidRDefault="005E7CDB" w:rsidP="00A07209">
      <w:pPr>
        <w:numPr>
          <w:ilvl w:val="0"/>
          <w:numId w:val="204"/>
        </w:numPr>
        <w:spacing w:after="0" w:line="240" w:lineRule="auto"/>
        <w:rPr>
          <w:b/>
        </w:rPr>
      </w:pPr>
      <w:bookmarkStart w:id="291" w:name="waiver"/>
      <w:bookmarkEnd w:id="291"/>
      <w:r>
        <w:rPr>
          <w:b/>
        </w:rPr>
        <w:t>Waiver or Alteration of Informed Consent</w:t>
      </w:r>
    </w:p>
    <w:p w14:paraId="434372E1" w14:textId="77777777" w:rsidR="005E7CDB" w:rsidRPr="003E367D" w:rsidRDefault="005E7CDB" w:rsidP="005E7CDB"/>
    <w:p w14:paraId="0D9B0B51" w14:textId="77777777" w:rsidR="005E7CDB" w:rsidRPr="003E367D" w:rsidRDefault="005E7CDB" w:rsidP="005E7CDB">
      <w:pPr>
        <w:ind w:left="360"/>
      </w:pPr>
      <w:r>
        <w:t>In the limited circumstances described below, the IRBs can approve a consent process that does not include, or alters, some or all of the elements of informed consent.</w:t>
      </w:r>
    </w:p>
    <w:p w14:paraId="100DD348" w14:textId="77777777" w:rsidR="005E7CDB" w:rsidRPr="003E367D" w:rsidRDefault="005E7CDB" w:rsidP="00A07209">
      <w:pPr>
        <w:numPr>
          <w:ilvl w:val="0"/>
          <w:numId w:val="206"/>
        </w:numPr>
        <w:spacing w:after="120" w:line="240" w:lineRule="auto"/>
        <w:ind w:left="1080"/>
      </w:pPr>
      <w:r>
        <w:t>Research on Public Benefit or Service Programs</w:t>
      </w:r>
    </w:p>
    <w:p w14:paraId="7D6F351D" w14:textId="77777777" w:rsidR="005E7CDB" w:rsidRPr="003E367D" w:rsidRDefault="005E7CDB" w:rsidP="00E07DC0">
      <w:pPr>
        <w:spacing w:after="60"/>
        <w:ind w:left="1080"/>
      </w:pPr>
      <w:r>
        <w:t>The IRB can waive or alter the requirements for informed consent for non-exempt research examining state or local public benefit or service programs or certain features of those programs if all of the following criteria are met:</w:t>
      </w:r>
    </w:p>
    <w:p w14:paraId="2E559013" w14:textId="77777777" w:rsidR="005E7CDB" w:rsidRPr="003E367D" w:rsidRDefault="005E7CDB" w:rsidP="00A07209">
      <w:pPr>
        <w:numPr>
          <w:ilvl w:val="0"/>
          <w:numId w:val="209"/>
        </w:numPr>
        <w:spacing w:after="60" w:line="240" w:lineRule="auto"/>
      </w:pPr>
      <w:r>
        <w:t>The research or demonstration project is to be conducted by or subject to the approval of state or local government officials and is designed to study, evaluate, or otherwise examine public benefit or service programs, procedures for obtaining benefits or services under those programs, possible changes in or alternatives to those programs or procedures, or possible changes in methods or levels of payment for benefits or services under those programs.</w:t>
      </w:r>
    </w:p>
    <w:p w14:paraId="2384EA2B" w14:textId="77777777" w:rsidR="005E7CDB" w:rsidRPr="003E367D" w:rsidRDefault="005E7CDB" w:rsidP="00A07209">
      <w:pPr>
        <w:numPr>
          <w:ilvl w:val="0"/>
          <w:numId w:val="209"/>
        </w:numPr>
        <w:spacing w:after="60" w:line="240" w:lineRule="auto"/>
      </w:pPr>
      <w:r>
        <w:t>The research could not practicably be carried out without the waiver or alteration.</w:t>
      </w:r>
    </w:p>
    <w:p w14:paraId="3D182F1D" w14:textId="77777777" w:rsidR="005E7CDB" w:rsidRPr="003E367D" w:rsidRDefault="005E7CDB" w:rsidP="00A07209">
      <w:pPr>
        <w:numPr>
          <w:ilvl w:val="0"/>
          <w:numId w:val="209"/>
        </w:numPr>
        <w:spacing w:after="120" w:line="240" w:lineRule="auto"/>
      </w:pPr>
      <w:r>
        <w:lastRenderedPageBreak/>
        <w:t>The research is not FDA-regulated.</w:t>
      </w:r>
    </w:p>
    <w:p w14:paraId="63D44DEA" w14:textId="77777777" w:rsidR="005E7CDB" w:rsidRPr="00E07DC0" w:rsidRDefault="005E7CDB" w:rsidP="00E07DC0">
      <w:pPr>
        <w:ind w:left="810"/>
        <w:rPr>
          <w:i/>
          <w:iCs/>
        </w:rPr>
      </w:pPr>
      <w:r>
        <w:rPr>
          <w:i/>
          <w:iCs/>
        </w:rPr>
        <w:t>Note: Similar research conducted under federal authority or research conducted by (or subject to the approval of) a private entity would not qualify for this waiver.</w:t>
      </w:r>
    </w:p>
    <w:p w14:paraId="62BDF6CD" w14:textId="77777777" w:rsidR="005E7CDB" w:rsidRPr="00E07DC0" w:rsidRDefault="005E7CDB" w:rsidP="00A07209">
      <w:pPr>
        <w:pStyle w:val="ListParagraph"/>
        <w:numPr>
          <w:ilvl w:val="0"/>
          <w:numId w:val="206"/>
        </w:numPr>
        <w:spacing w:after="120" w:line="240" w:lineRule="auto"/>
        <w:ind w:left="1080"/>
      </w:pPr>
      <w:r>
        <w:t>Minimal Risk Research</w:t>
      </w:r>
    </w:p>
    <w:p w14:paraId="2CB20CC9" w14:textId="77777777" w:rsidR="005E7CDB" w:rsidRPr="003E367D" w:rsidRDefault="005E7CDB" w:rsidP="00E07DC0">
      <w:pPr>
        <w:spacing w:after="60"/>
        <w:ind w:left="1080"/>
      </w:pPr>
      <w:r>
        <w:t>The IRB can waive or alter the requirements for informed consent for non-exempt research that meets all of the following criteria:</w:t>
      </w:r>
    </w:p>
    <w:p w14:paraId="45A14D97" w14:textId="77777777" w:rsidR="005E7CDB" w:rsidRPr="003E367D" w:rsidRDefault="005E7CDB" w:rsidP="00A07209">
      <w:pPr>
        <w:numPr>
          <w:ilvl w:val="0"/>
          <w:numId w:val="444"/>
        </w:numPr>
        <w:spacing w:after="0" w:line="240" w:lineRule="auto"/>
      </w:pPr>
      <w:r>
        <w:t>The research involves no more than minimal risk to subjects.</w:t>
      </w:r>
    </w:p>
    <w:p w14:paraId="582A7A23" w14:textId="77777777" w:rsidR="005E7CDB" w:rsidRPr="003E367D" w:rsidRDefault="005E7CDB" w:rsidP="00A07209">
      <w:pPr>
        <w:numPr>
          <w:ilvl w:val="0"/>
          <w:numId w:val="444"/>
        </w:numPr>
        <w:spacing w:after="0" w:line="240" w:lineRule="auto"/>
      </w:pPr>
      <w:r>
        <w:t>The waiver or alteration will not adversely affect the rights and welfare of subjects.</w:t>
      </w:r>
    </w:p>
    <w:p w14:paraId="709C7A36" w14:textId="77777777" w:rsidR="005E7CDB" w:rsidRDefault="005E7CDB" w:rsidP="00A07209">
      <w:pPr>
        <w:numPr>
          <w:ilvl w:val="0"/>
          <w:numId w:val="444"/>
        </w:numPr>
        <w:spacing w:after="0" w:line="240" w:lineRule="auto"/>
      </w:pPr>
      <w:r>
        <w:t>The research could not practicably be carried out without the requested waiver or alteration.</w:t>
      </w:r>
    </w:p>
    <w:p w14:paraId="3E09603B" w14:textId="77777777" w:rsidR="005E7CDB" w:rsidRPr="003E367D" w:rsidRDefault="00D87882" w:rsidP="00A07209">
      <w:pPr>
        <w:numPr>
          <w:ilvl w:val="0"/>
          <w:numId w:val="444"/>
        </w:numPr>
        <w:spacing w:after="0" w:line="240" w:lineRule="auto"/>
      </w:pPr>
      <w:r>
        <w:rPr>
          <w:noProof/>
        </w:rPr>
        <mc:AlternateContent>
          <mc:Choice Requires="wps">
            <w:drawing>
              <wp:anchor distT="0" distB="0" distL="114300" distR="114300" simplePos="0" relativeHeight="251667456" behindDoc="1" locked="0" layoutInCell="1" allowOverlap="1" wp14:anchorId="7D23548E" wp14:editId="2D040464">
                <wp:simplePos x="0" y="0"/>
                <wp:positionH relativeFrom="margin">
                  <wp:align>left</wp:align>
                </wp:positionH>
                <wp:positionV relativeFrom="paragraph">
                  <wp:posOffset>21590</wp:posOffset>
                </wp:positionV>
                <wp:extent cx="6981825" cy="514350"/>
                <wp:effectExtent l="0" t="0" r="28575" b="19050"/>
                <wp:wrapNone/>
                <wp:docPr id="733506676" name="Rectangl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1825" cy="514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51AF16" id="Rectangle 5" o:spid="_x0000_s1026" alt="&quot;&quot;" style="position:absolute;margin-left:0;margin-top:1.7pt;width:549.75pt;height:40.5pt;z-index:-2516490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" fillcolor="#cfcdcd">
                <w10:wrap anchorx="margin"/>
              </v:rect>
            </w:pict>
          </mc:Fallback>
        </mc:AlternateContent>
      </w:r>
      <w:r>
        <w:t>If the research involves using identifiable private information or identifiable biospecimens, the research could not practicably be carried out without using such information or biospecimens in an identifiable format.</w:t>
      </w:r>
    </w:p>
    <w:p w14:paraId="08BD7F98" w14:textId="77777777" w:rsidR="005E7CDB" w:rsidRDefault="005E7CDB" w:rsidP="00A07209">
      <w:pPr>
        <w:numPr>
          <w:ilvl w:val="0"/>
          <w:numId w:val="444"/>
        </w:numPr>
        <w:spacing w:after="0" w:line="240" w:lineRule="auto"/>
      </w:pPr>
      <w:r>
        <w:t>Whenever appropriate, subjects or legally authorized representatives will be provided with additional pertinent information after participation.</w:t>
      </w:r>
    </w:p>
    <w:p w14:paraId="68D49A9F" w14:textId="77777777" w:rsidR="00D87882" w:rsidRPr="00D87882" w:rsidRDefault="00D87882" w:rsidP="00D87882">
      <w:pPr>
        <w:spacing w:after="0" w:line="240" w:lineRule="auto"/>
        <w:ind w:left="720"/>
      </w:pPr>
    </w:p>
    <w:p w14:paraId="3F3CACA3" w14:textId="77777777" w:rsidR="005E7CDB" w:rsidRPr="009D1CE0" w:rsidRDefault="005E7CDB" w:rsidP="00A07209">
      <w:pPr>
        <w:pStyle w:val="ListParagraph"/>
        <w:numPr>
          <w:ilvl w:val="0"/>
          <w:numId w:val="206"/>
        </w:numPr>
        <w:ind w:left="1080"/>
      </w:pPr>
      <w:r>
        <w:t>Research Designed to Study Conditions in Children</w:t>
      </w:r>
    </w:p>
    <w:p w14:paraId="15B7D21E" w14:textId="77777777" w:rsidR="005E7CDB" w:rsidRPr="009D1CE0" w:rsidRDefault="005E7CDB" w:rsidP="00D87882">
      <w:pPr>
        <w:ind w:left="1080"/>
      </w:pPr>
      <w:r>
        <w:t>The IRB can waive or alter the requirements for parental or guardian permission for certain non-exempt research involving children. For more information see HRPP policy [</w:t>
      </w:r>
      <w:hyperlink r:id="rId219" w:history="1">
        <w:r>
          <w:rPr>
            <w:rStyle w:val="Hyperlink"/>
          </w:rPr>
          <w:t>Assent and Parental Permission</w:t>
        </w:r>
      </w:hyperlink>
      <w:r>
        <w:t>].</w:t>
      </w:r>
    </w:p>
    <w:p w14:paraId="480487C3" w14:textId="77777777" w:rsidR="005E7CDB" w:rsidRPr="009D1CE0" w:rsidRDefault="005E7CDB" w:rsidP="00A07209">
      <w:pPr>
        <w:pStyle w:val="ListParagraph"/>
        <w:numPr>
          <w:ilvl w:val="0"/>
          <w:numId w:val="206"/>
        </w:numPr>
        <w:ind w:left="1080"/>
      </w:pPr>
      <w:r>
        <w:t>Planned Emergency Research</w:t>
      </w:r>
    </w:p>
    <w:p w14:paraId="70D92CE3" w14:textId="0C5F56D8" w:rsidR="005E7CDB" w:rsidRPr="00D87882" w:rsidRDefault="00D87882" w:rsidP="00D87882">
      <w:pPr>
        <w:ind w:left="1080"/>
      </w:pPr>
      <w:r>
        <w:t>The IRB can approve a waiver of the requirements for informed consent for non-exempt research in life-threatening situations in which it is not possible to obtain informed consent from subjects or their legally authorized representatives. For more information see HRPP policy [</w:t>
      </w:r>
      <w:hyperlink r:id="rId220" w:history="1">
        <w:r>
          <w:rPr>
            <w:rStyle w:val="Hyperlink"/>
          </w:rPr>
          <w:t>Planned Emergency Research</w:t>
        </w:r>
      </w:hyperlink>
      <w:r>
        <w:t>].</w:t>
      </w:r>
    </w:p>
    <w:p w14:paraId="569BF3A1" w14:textId="40935CD5" w:rsidR="005E7CDB" w:rsidRDefault="00370D45" w:rsidP="00A07209">
      <w:pPr>
        <w:numPr>
          <w:ilvl w:val="0"/>
          <w:numId w:val="204"/>
        </w:numPr>
        <w:tabs>
          <w:tab w:val="clear" w:pos="360"/>
          <w:tab w:val="num" w:pos="540"/>
        </w:tabs>
        <w:spacing w:after="0" w:line="240" w:lineRule="auto"/>
        <w:ind w:left="450"/>
        <w:rPr>
          <w:b/>
        </w:rPr>
      </w:pPr>
      <w:bookmarkStart w:id="292" w:name="_Toc212098375"/>
      <w:r>
        <w:rPr>
          <w:noProof/>
        </w:rPr>
        <mc:AlternateContent>
          <mc:Choice Requires="wps">
            <w:drawing>
              <wp:anchor distT="0" distB="0" distL="114300" distR="114300" simplePos="0" relativeHeight="251666432" behindDoc="1" locked="0" layoutInCell="1" allowOverlap="1" wp14:anchorId="4F6FBCCD" wp14:editId="705D3257">
                <wp:simplePos x="0" y="0"/>
                <wp:positionH relativeFrom="margin">
                  <wp:align>right</wp:align>
                </wp:positionH>
                <wp:positionV relativeFrom="paragraph">
                  <wp:posOffset>22860</wp:posOffset>
                </wp:positionV>
                <wp:extent cx="6838950" cy="1114425"/>
                <wp:effectExtent l="0" t="0" r="19050" b="28575"/>
                <wp:wrapNone/>
                <wp:docPr id="1151505193"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8950" cy="11144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44BAE" id="Rectangle 4" o:spid="_x0000_s1026" alt="&quot;&quot;" style="position:absolute;margin-left:487.3pt;margin-top:1.8pt;width:538.5pt;height:87.75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" fillcolor="#cfcdcd">
                <w10:wrap anchorx="margin"/>
              </v:rect>
            </w:pict>
          </mc:Fallback>
        </mc:AlternateContent>
      </w:r>
      <w:bookmarkEnd w:id="292"/>
      <w:r w:rsidR="005E7CDB">
        <w:rPr>
          <w:b/>
        </w:rPr>
        <w:t xml:space="preserve">Exception to the Informed Consent Requirement </w:t>
      </w:r>
    </w:p>
    <w:p w14:paraId="37DE485F" w14:textId="77777777" w:rsidR="005E7CDB" w:rsidRPr="00277917" w:rsidRDefault="005E7CDB" w:rsidP="005E7CDB">
      <w:pPr>
        <w:ind w:left="360"/>
        <w:rPr>
          <w:b/>
        </w:rPr>
      </w:pPr>
    </w:p>
    <w:p w14:paraId="658B3907" w14:textId="72DDE435" w:rsidR="005E7CDB" w:rsidRPr="009D1CE0" w:rsidRDefault="00370D45" w:rsidP="009D1CE0">
      <w:pPr>
        <w:ind w:left="450"/>
      </w:pPr>
      <w:r>
        <w:rPr>
          <w:noProof/>
        </w:rPr>
        <mc:AlternateContent>
          <mc:Choice Requires="wps">
            <w:drawing>
              <wp:anchor distT="0" distB="0" distL="114300" distR="114300" simplePos="0" relativeHeight="251686912" behindDoc="1" locked="0" layoutInCell="1" allowOverlap="1" wp14:anchorId="02DCEB41" wp14:editId="4588B38C">
                <wp:simplePos x="0" y="0"/>
                <wp:positionH relativeFrom="margin">
                  <wp:align>right</wp:align>
                </wp:positionH>
                <wp:positionV relativeFrom="paragraph">
                  <wp:posOffset>595630</wp:posOffset>
                </wp:positionV>
                <wp:extent cx="6829425" cy="933450"/>
                <wp:effectExtent l="0" t="0" r="28575" b="19050"/>
                <wp:wrapNone/>
                <wp:docPr id="180073995"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9425" cy="9334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9297ED" id="Rectangle 4" o:spid="_x0000_s1026" alt="&quot;&quot;" style="position:absolute;margin-left:486.55pt;margin-top:46.9pt;width:537.75pt;height:73.5pt;z-index:-251629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" fillcolor="#cfcdcd">
                <w10:wrap anchorx="margin"/>
              </v:rect>
            </w:pict>
          </mc:Fallback>
        </mc:AlternateContent>
      </w:r>
      <w:r w:rsidR="005E7CDB">
        <w:t>Information or biospecimens can be obtained for the purposes of screening, recruiting, or determining eligibility of prospective subjects without informed consent (and without the need for the IRB to waive informed consent) if either of the following conditions are met:</w:t>
      </w:r>
    </w:p>
    <w:p w14:paraId="2917BD8D" w14:textId="10359691" w:rsidR="005E7CDB" w:rsidRPr="009D1CE0" w:rsidRDefault="00D87882" w:rsidP="00A07209">
      <w:pPr>
        <w:pStyle w:val="ListParagraph"/>
        <w:numPr>
          <w:ilvl w:val="0"/>
          <w:numId w:val="474"/>
        </w:numPr>
      </w:pPr>
      <w:r>
        <w:t>The investigator will obtain information through oral or written communication with the prospective subject or legally authorized representative.</w:t>
      </w:r>
      <w:r>
        <w:rPr>
          <w:noProof/>
        </w:rPr>
        <w:t xml:space="preserve"> </w:t>
      </w:r>
    </w:p>
    <w:p w14:paraId="0ECF954E" w14:textId="77777777" w:rsidR="00D87882" w:rsidRPr="00370D45" w:rsidRDefault="005E7CDB" w:rsidP="00A07209">
      <w:pPr>
        <w:pStyle w:val="ListParagraph"/>
        <w:numPr>
          <w:ilvl w:val="0"/>
          <w:numId w:val="474"/>
        </w:numPr>
        <w:rPr>
          <w:rStyle w:val="Strong"/>
          <w:b w:val="0"/>
        </w:rPr>
      </w:pPr>
      <w:r>
        <w:t>The investigator will obtain identifiable private information or identifiable biospecimens by accessing records or stored (existing) identifiable biospecimens.</w:t>
      </w:r>
      <w:bookmarkStart w:id="293" w:name="_Toc212098376"/>
    </w:p>
    <w:p w14:paraId="4C9F84F6" w14:textId="77777777" w:rsidR="00845C82" w:rsidRPr="00D87882" w:rsidRDefault="009D1CE0" w:rsidP="00D87882">
      <w:pPr>
        <w:ind w:left="450"/>
        <w:rPr>
          <w:rStyle w:val="Strong"/>
          <w:b w:val="0"/>
        </w:rPr>
      </w:pPr>
      <w:r>
        <w:rPr>
          <w:b/>
          <w:noProof/>
        </w:rPr>
        <mc:AlternateContent>
          <mc:Choice Requires="wps">
            <w:drawing>
              <wp:anchor distT="0" distB="0" distL="114300" distR="114300" simplePos="0" relativeHeight="251668480" behindDoc="1" locked="0" layoutInCell="1" allowOverlap="1" wp14:anchorId="0CAAF000" wp14:editId="01D97C5A">
                <wp:simplePos x="0" y="0"/>
                <wp:positionH relativeFrom="margin">
                  <wp:align>left</wp:align>
                </wp:positionH>
                <wp:positionV relativeFrom="paragraph">
                  <wp:posOffset>278130</wp:posOffset>
                </wp:positionV>
                <wp:extent cx="6924675" cy="1485900"/>
                <wp:effectExtent l="0" t="0" r="28575" b="19050"/>
                <wp:wrapNone/>
                <wp:docPr id="457034448" name="Rectangl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1485900"/>
                        </a:xfrm>
                        <a:prstGeom prst="rect">
                          <a:avLst/>
                        </a:prstGeom>
                        <a:solidFill>
                          <a:srgbClr val="CFCDCD"/>
                        </a:solidFill>
                        <a:ln w="9525">
                          <a:solidFill>
                            <a:srgbClr val="000000"/>
                          </a:solidFill>
                          <a:miter lim="800000"/>
                          <a:headEnd/>
                          <a:tailEnd/>
                        </a:ln>
                      </wps:spPr>
                      <wps:txbx>
                        <w:txbxContent>
                          <w:p w14:paraId="654521EA" w14:textId="77777777" w:rsidR="00845C82" w:rsidRDefault="00845C82" w:rsidP="00076836">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AAF000" id="Rectangle 3" o:spid="_x0000_s1026" alt="&quot;&quot;" style="position:absolute;left:0;text-align:left;margin-left:0;margin-top:21.9pt;width:545.25pt;height:117pt;z-index:-2516480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" fillcolor="#cfcdcd">
                <v:textbox>
                  <w:txbxContent>
                    <w:p w14:paraId="654521EA" w14:textId="77777777" w:rsidR="00845C82" w:rsidRDefault="00845C82" w:rsidP="00076836">
                      <w:pPr>
                        <w:jc w:val="center"/>
                      </w:pPr>
                    </w:p>
                  </w:txbxContent>
                </v:textbox>
                <w10:wrap anchorx="margin"/>
              </v:rect>
            </w:pict>
          </mc:Fallback>
        </mc:AlternateContent>
      </w:r>
      <w:bookmarkEnd w:id="293"/>
    </w:p>
    <w:p w14:paraId="1EBCB0FA" w14:textId="77777777" w:rsidR="005E7CDB" w:rsidRDefault="005E7CDB" w:rsidP="00A07209">
      <w:pPr>
        <w:numPr>
          <w:ilvl w:val="0"/>
          <w:numId w:val="204"/>
        </w:numPr>
        <w:tabs>
          <w:tab w:val="left" w:pos="540"/>
        </w:tabs>
        <w:spacing w:after="0" w:line="240" w:lineRule="auto"/>
        <w:ind w:left="90" w:firstLine="0"/>
        <w:rPr>
          <w:rStyle w:val="Strong"/>
        </w:rPr>
      </w:pPr>
      <w:r>
        <w:rPr>
          <w:rStyle w:val="Strong"/>
        </w:rPr>
        <w:t>Posting of Clinical Trial Consent Forms</w:t>
      </w:r>
    </w:p>
    <w:p w14:paraId="47DE37F8" w14:textId="77777777" w:rsidR="00D87882" w:rsidRPr="00D87882" w:rsidRDefault="00D87882" w:rsidP="00D87882">
      <w:pPr>
        <w:tabs>
          <w:tab w:val="left" w:pos="540"/>
        </w:tabs>
        <w:spacing w:after="0" w:line="240" w:lineRule="auto"/>
        <w:ind w:left="90"/>
        <w:rPr>
          <w:rStyle w:val="Strong"/>
        </w:rPr>
      </w:pPr>
    </w:p>
    <w:p w14:paraId="3315F412" w14:textId="77777777" w:rsidR="005E7CDB" w:rsidRPr="00DE566D" w:rsidRDefault="005E7CDB" w:rsidP="009D1CE0">
      <w:pPr>
        <w:ind w:left="360"/>
      </w:pPr>
      <w:r>
        <w:t>For clinical trials conducted or supported by a federal department or agency, the Final Rule requires that a copy of an unsigned, IRB-approved consent form be posted on a publicly available federal website (e.g., ClinicalTrials.gov). The funding awardee or federal department/agency is responsible for posting the form after recruitment is complete, but no later than 60 days after the last study visit. Proprietary or institutionally sensitive information may be redacted. Only one consent form per study must be posted regardless of the number of subject classes or study sites.</w:t>
      </w:r>
    </w:p>
    <w:p w14:paraId="6C411B3F" w14:textId="77777777" w:rsidR="005E7CDB" w:rsidRPr="00E106C2" w:rsidRDefault="005E7CDB" w:rsidP="005E7CDB">
      <w:pPr>
        <w:rPr>
          <w:rStyle w:val="Strong"/>
        </w:rPr>
      </w:pPr>
    </w:p>
    <w:p w14:paraId="18BF2F62" w14:textId="77777777" w:rsidR="005E7CDB" w:rsidRDefault="005E7CDB" w:rsidP="00A07209">
      <w:pPr>
        <w:numPr>
          <w:ilvl w:val="0"/>
          <w:numId w:val="204"/>
        </w:numPr>
        <w:spacing w:after="0" w:line="240" w:lineRule="auto"/>
        <w:ind w:hanging="552"/>
        <w:rPr>
          <w:rStyle w:val="Strong"/>
          <w:b w:val="0"/>
        </w:rPr>
      </w:pPr>
      <w:r>
        <w:rPr>
          <w:rStyle w:val="Strong"/>
        </w:rPr>
        <w:lastRenderedPageBreak/>
        <w:t>Applicable Regulations/Guidance</w:t>
      </w:r>
    </w:p>
    <w:p w14:paraId="798980DD" w14:textId="77777777" w:rsidR="00D87882" w:rsidRPr="00D87882" w:rsidRDefault="00D87882" w:rsidP="00D87882">
      <w:pPr>
        <w:spacing w:after="0" w:line="240" w:lineRule="auto"/>
        <w:ind w:left="360"/>
        <w:rPr>
          <w:rStyle w:val="Strong"/>
          <w:b w:val="0"/>
        </w:rPr>
      </w:pPr>
    </w:p>
    <w:p w14:paraId="2B219C51" w14:textId="77777777" w:rsidR="005E7CDB" w:rsidRDefault="005E7CDB" w:rsidP="005E7CDB">
      <w:pPr>
        <w:ind w:left="360"/>
      </w:pPr>
      <w:r>
        <w:t xml:space="preserve">21 CFR 50.20, 21 CFR 50.25, 21 CFR 56.109, 21 CFR 56.111, pre-2018 and Final Rule (45 CFR 46.111, 45 CFR 46.116), </w:t>
      </w:r>
      <w:hyperlink r:id="rId221" w:history="1">
        <w:r>
          <w:rPr>
            <w:rStyle w:val="Hyperlink"/>
          </w:rPr>
          <w:t>American Anthropological Association Statement on Ethnography and Institutional Review Boards</w:t>
        </w:r>
      </w:hyperlink>
      <w:r>
        <w:t xml:space="preserve"> (Adopted by AAA Executive Board 06/04/04), APA Ethical Principles of Psychologists and Code of Conduct (Section 8.02), Code of Ethics of the American Anthropological Association (Approved 02/09), FDA “Questions and Answers on Informed Consent Elements, 21 CFR 50.25(c)” (02/12), FDA Information Sheets: “A Guide to Informed Consent” and Frequently Asked Questions “Informed Consent Process,” OHRP “Informed Consent Frequently Asked Questions” (revised 07/14/08), OHRP Guidance “Informed Consent – Legally Effective and Prospectively Obtained” (OPRR Reports 93-03, 08/12/93), OHRP Guidance “Tips on Informed Consent” (OPRR, revised 03/16/93), The Ohio State University Policy and Procedure Manuals for University Hospitals and James Cancer Hospital and Solove Research Institute (# 03-27), FDA Guidance “IRB Waiver or Alteration of Informed Consent for Clinical Investigations Involving No More Than Minimal Risk to Human Subjects” (07/17)</w:t>
      </w:r>
    </w:p>
    <w:p w14:paraId="437696FB" w14:textId="77777777" w:rsidR="005E7CDB" w:rsidRDefault="005E7CDB" w:rsidP="005E7CDB">
      <w:pPr>
        <w:ind w:left="360"/>
      </w:pPr>
    </w:p>
    <w:p w14:paraId="378B06EE" w14:textId="77777777" w:rsidR="005E7CDB" w:rsidRPr="00D87882" w:rsidRDefault="005E7CDB" w:rsidP="00A07209">
      <w:pPr>
        <w:numPr>
          <w:ilvl w:val="0"/>
          <w:numId w:val="204"/>
        </w:numPr>
        <w:tabs>
          <w:tab w:val="clear" w:pos="360"/>
          <w:tab w:val="num" w:pos="90"/>
        </w:tabs>
        <w:spacing w:after="0" w:line="240" w:lineRule="auto"/>
        <w:ind w:hanging="540"/>
        <w:rPr>
          <w:b/>
        </w:rPr>
      </w:pPr>
      <w:r>
        <w:rPr>
          <w:b/>
        </w:rPr>
        <w:t>History</w:t>
      </w:r>
    </w:p>
    <w:p w14:paraId="6B95B9F1" w14:textId="77777777" w:rsidR="005E7CDB" w:rsidRDefault="005E7CDB" w:rsidP="00D87882">
      <w:pPr>
        <w:spacing w:after="0"/>
        <w:ind w:left="374"/>
      </w:pPr>
      <w:r>
        <w:t>Issued: 09/08/2008</w:t>
      </w:r>
    </w:p>
    <w:p w14:paraId="6A0B3873" w14:textId="77777777" w:rsidR="005E7CDB" w:rsidRDefault="005E7CDB" w:rsidP="00D87882">
      <w:pPr>
        <w:spacing w:after="0"/>
        <w:ind w:left="374"/>
      </w:pPr>
      <w:r>
        <w:t>Revised: 03/31/2009, 05/12/2012, 06/28/2016, 08/28/2017, 12/17/2018</w:t>
      </w:r>
    </w:p>
    <w:p w14:paraId="4B81952E" w14:textId="77777777" w:rsidR="005E7CDB" w:rsidRPr="003E367D" w:rsidRDefault="005E7CDB" w:rsidP="00D87882">
      <w:pPr>
        <w:spacing w:after="0"/>
        <w:ind w:left="374"/>
      </w:pPr>
      <w:r>
        <w:t>Edited: 01/21/2022, 04/20/2022</w:t>
      </w:r>
    </w:p>
    <w:p w14:paraId="4544D3C9" w14:textId="77777777" w:rsidR="00471B9E" w:rsidRDefault="00471B9E">
      <w:pPr>
        <w:rPr>
          <w:b/>
          <w:bCs/>
          <w:i/>
          <w:iCs/>
          <w:sz w:val="28"/>
          <w:szCs w:val="28"/>
        </w:rPr>
      </w:pPr>
      <w:r>
        <w:br w:type="page"/>
      </w:r>
    </w:p>
    <w:p w14:paraId="7C7DAA32" w14:textId="77777777" w:rsidR="00845C82" w:rsidRPr="004650DB" w:rsidRDefault="7B7E98EB" w:rsidP="00471B9E">
      <w:pPr>
        <w:pStyle w:val="Heading2"/>
      </w:pPr>
      <w:bookmarkStart w:id="294" w:name="_Toc202346414"/>
      <w:bookmarkStart w:id="295" w:name="B15"/>
      <w:bookmarkStart w:id="296" w:name="_Toc212142212"/>
      <w:bookmarkStart w:id="297" w:name="_Toc225507752"/>
      <w:r>
        <w:lastRenderedPageBreak/>
        <w:t>Appendix B-15</w:t>
      </w:r>
      <w:bookmarkEnd w:id="294"/>
      <w:r>
        <w:t xml:space="preserve"> </w:t>
      </w:r>
      <w:bookmarkEnd w:id="295"/>
      <w:r>
        <w:tab/>
        <w:t>Documentation of the Informed Consent Process</w:t>
      </w:r>
      <w:bookmarkEnd w:id="296"/>
      <w:bookmarkEnd w:id="297"/>
    </w:p>
    <w:p w14:paraId="7BF73ABE" w14:textId="77777777" w:rsidR="00845C82" w:rsidRDefault="00845C82" w:rsidP="00845C82">
      <w:pPr>
        <w:rPr>
          <w:b/>
          <w:smallCaps/>
          <w:sz w:val="20"/>
        </w:rPr>
      </w:pPr>
      <w:r>
        <w:rPr>
          <w:b/>
          <w:smallCaps/>
          <w:sz w:val="20"/>
        </w:rPr>
        <w:t xml:space="preserve">          </w:t>
      </w:r>
    </w:p>
    <w:p w14:paraId="56959185" w14:textId="77777777" w:rsidR="00845C82" w:rsidRPr="00F9268B" w:rsidRDefault="00845C82" w:rsidP="00845C82">
      <w:pPr>
        <w:spacing w:after="120"/>
        <w:jc w:val="center"/>
        <w:rPr>
          <w:b/>
          <w:smallCaps/>
          <w:sz w:val="20"/>
        </w:rPr>
      </w:pPr>
      <w:r>
        <w:rPr>
          <w:b/>
          <w:smallCaps/>
          <w:noProof/>
          <w:sz w:val="20"/>
        </w:rPr>
        <mc:AlternateContent>
          <mc:Choice Requires="wps">
            <w:drawing>
              <wp:anchor distT="0" distB="0" distL="114300" distR="114300" simplePos="0" relativeHeight="251675648" behindDoc="1" locked="0" layoutInCell="1" allowOverlap="1" wp14:anchorId="595BC6A9" wp14:editId="68174CF1">
                <wp:simplePos x="0" y="0"/>
                <wp:positionH relativeFrom="column">
                  <wp:posOffset>13183</wp:posOffset>
                </wp:positionH>
                <wp:positionV relativeFrom="paragraph">
                  <wp:posOffset>101067</wp:posOffset>
                </wp:positionV>
                <wp:extent cx="6588785" cy="247650"/>
                <wp:effectExtent l="0" t="0" r="21590" b="19050"/>
                <wp:wrapNone/>
                <wp:docPr id="752593644"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88785" cy="2476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8317A3" id="Rectangle 11" o:spid="_x0000_s1026" style="position:absolute;margin-left:1.05pt;margin-top:7.95pt;width:518.8pt;height:19.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W5ptjDwIAABYEAAAOAAAAZHJzL2Uyb0RvYy54bWysU9uO2jAQfa/Uf7D8XgKIABsRVqtQqkrb i7TtBxjHSaw6HndsCPTrOzYsSy9PVfNgeTLj4zNnjlf3x96wg0KvwZZ8MhpzpqyEWtu25F+/bN8s OfNB2FoYsKrkJ+X5/fr1q9XgCjWFDkytkBGI9cXgSt6F4Ios87JTvfAjcMpSsgHsRaAQ26xGMRB6 b7LpeDzPBsDaIUjlPf3dnJN8nfCbRsnwqWm8CsyUnLiFtGJad3HN1itRtChcp+WFhvgHFr3Qli69 Qm1EEGyP+g+oXksED00YSegzaBotVeqBupmMf+vmqRNOpV5IHO+uMvn/Bys/Hp7cZ4zUvXsE+c0z C1UnbKseEGHolKjpukkUKhucL64HYuDpKNsNH6Cm0Yp9gKTBscE+AlJ37JikPl2lVsfAJP2c58vl YplzJik3nS3meZpFJorn0w59eKegZ3FTcqRRJnRxePQhshHFc0liD0bXW21MCrDdVQbZQdDYq221 qTapAWrytsxYNpT8Lp/mCfmXnL+FGKfvbxC9DuRfo/uSL69FooiyvbV1clcQ2pz3RNnYi45RuuhS X+ygPpGMCGdz0mOiTQf4g7OBjFly/30vUHFm3lsaxd1kNotOTsEsX0wpwNvM7jYjrCSokgfOztsq nN2/d6jbjm6apN4tPND4Gp2UfWF1IUvmS4JfHkp0922cql6e8/onAAAA//8DAFBLAwQUAAYACAAA ACEAXIaTBt4AAAAIAQAADwAAAGRycy9kb3ducmV2LnhtbEyPQU/CQBCF7yb8h82QeJMtKGBrtwRJ iIknablwm3bHttqdbboL1H/vctLjm/fy3jfpZjSduNDgWssK5rMIBHFldcu1gmOxf3gG4Tyyxs4y KfghB5tscpdiou2VD3TJfS1CCbsEFTTe94mUrmrIoJvZnjh4n3Yw6IMcaqkHvIZy08lFFK2kwZbD QoM97RqqvvOzUVBsV1T05WlPH++vb+2X3/kSc6Xup+P2BYSn0f+F4YYf0CELTKU9s3aiU7CYh2A4 L2MQNzt6jNcgSgXLpxhklsr/D2S/AAAA//8DAFBLAQItABQABgAIAAAAIQC2gziS/gAAAOEBAAAT AAAAAAAAAAAAAAAAAAAAAABbQ29udGVudF9UeXBlc10ueG1sUEsBAi0AFAAGAAgAAAAhADj9If/W AAAAlAEAAAsAAAAAAAAAAAAAAAAALwEAAF9yZWxzLy5yZWxzUEsBAi0AFAAGAAgAAAAhAJbmm2MP AgAAFgQAAA4AAAAAAAAAAAAAAAAALgIAAGRycy9lMm9Eb2MueG1sUEsBAi0AFAAGAAgAAAAhAFyG kwbeAAAACAEAAA8AAAAAAAAAAAAAAAAAaQQAAGRycy9kb3ducmV2LnhtbFBLBQYAAAAABAAEAPMA AAB0BQAAAAA= " fillcolor="#cfcdcd"/>
            </w:pict>
          </mc:Fallback>
        </mc:AlternateContent>
      </w:r>
      <w:r>
        <w:rPr>
          <w:b/>
          <w:smallCaps/>
          <w:sz w:val="20"/>
        </w:rPr>
        <w:br/>
        <w:t>Language in gray boxes is only applicable to studies approved on/after January 21, 2019</w:t>
      </w:r>
      <w:r>
        <w:rPr>
          <w:b/>
          <w:smallCaps/>
          <w:sz w:val="20"/>
        </w:rPr>
        <w:br/>
      </w:r>
    </w:p>
    <w:p w14:paraId="42FC76F4" w14:textId="77777777" w:rsidR="00845C82" w:rsidRPr="00A83AAD" w:rsidRDefault="00845C82" w:rsidP="00A07209">
      <w:pPr>
        <w:numPr>
          <w:ilvl w:val="0"/>
          <w:numId w:val="221"/>
        </w:numPr>
        <w:spacing w:after="0" w:line="240" w:lineRule="auto"/>
        <w:rPr>
          <w:b/>
          <w:smallCaps/>
        </w:rPr>
      </w:pPr>
      <w:r>
        <w:rPr>
          <w:b/>
        </w:rPr>
        <w:t>Overview</w:t>
      </w:r>
    </w:p>
    <w:p w14:paraId="6A6C4E19" w14:textId="77777777" w:rsidR="00A83AAD" w:rsidRPr="00845C82" w:rsidRDefault="00A83AAD" w:rsidP="00A83AAD">
      <w:pPr>
        <w:spacing w:after="0" w:line="240" w:lineRule="auto"/>
        <w:ind w:left="522"/>
        <w:rPr>
          <w:b/>
          <w:smallCaps/>
        </w:rPr>
      </w:pPr>
    </w:p>
    <w:p w14:paraId="57FCFEA8" w14:textId="77777777" w:rsidR="00A83AAD" w:rsidRDefault="00845C82" w:rsidP="00A83AAD">
      <w:pPr>
        <w:ind w:left="360"/>
      </w:pPr>
      <w:r>
        <w:rPr>
          <w:bCs/>
        </w:rPr>
        <w:t xml:space="preserve">Federal regulations require that in most circumstances informed consent is documented by use of a written consent form approved by the IRB and signed by the research participant or the participant’s legally authorized representative. </w:t>
      </w:r>
      <w:r>
        <w:t>Consent forms must include the required (and any applicable additional) elements of informed consent, unless the IRB approves either an alteration of consent, use of a short form stating that the elements of consent have been presented, or a waiver of the requirement for written documentation of the consent process.</w:t>
      </w:r>
    </w:p>
    <w:p w14:paraId="1FC24A40" w14:textId="77777777" w:rsidR="00A83AAD" w:rsidRPr="00A83AAD" w:rsidRDefault="00A83AAD" w:rsidP="00A83AAD">
      <w:pPr>
        <w:ind w:left="360"/>
        <w:rPr>
          <w:sz w:val="2"/>
          <w:szCs w:val="2"/>
        </w:rPr>
      </w:pPr>
    </w:p>
    <w:p w14:paraId="7BA73D35" w14:textId="77777777" w:rsidR="00845C82" w:rsidRDefault="00845C82" w:rsidP="00A07209">
      <w:pPr>
        <w:numPr>
          <w:ilvl w:val="0"/>
          <w:numId w:val="221"/>
        </w:numPr>
        <w:spacing w:after="0" w:line="240" w:lineRule="auto"/>
        <w:ind w:left="360" w:hanging="360"/>
        <w:rPr>
          <w:b/>
        </w:rPr>
      </w:pPr>
      <w:r>
        <w:rPr>
          <w:b/>
        </w:rPr>
        <w:t>Definition</w:t>
      </w:r>
    </w:p>
    <w:p w14:paraId="59E410CA" w14:textId="77777777" w:rsidR="00A83AAD" w:rsidRPr="00A83AAD" w:rsidRDefault="00A83AAD" w:rsidP="00A83AAD">
      <w:pPr>
        <w:spacing w:after="0" w:line="240" w:lineRule="auto"/>
        <w:ind w:left="360"/>
        <w:rPr>
          <w:b/>
        </w:rPr>
      </w:pPr>
    </w:p>
    <w:p w14:paraId="1D64FD03" w14:textId="77777777" w:rsidR="00A83AAD" w:rsidRPr="00A83AAD" w:rsidRDefault="00845C82" w:rsidP="00A83AAD">
      <w:pPr>
        <w:ind w:left="360"/>
        <w:rPr>
          <w:snapToGrid w:val="0"/>
        </w:rPr>
      </w:pPr>
      <w:r>
        <w:rPr>
          <w:b/>
          <w:iCs/>
          <w:snapToGrid w:val="0"/>
        </w:rPr>
        <w:t xml:space="preserve">Clinical Trial: </w:t>
      </w:r>
      <w:r>
        <w:rPr>
          <w:snapToGrid w:val="0"/>
        </w:rPr>
        <w:t>A research study in which one or more human subjects are prospectively assigned to one or more interventions (which may include placebo or other control) to evaluate the effects of the interventions on biomedical or behavioral health-related outcomes.</w:t>
      </w:r>
    </w:p>
    <w:p w14:paraId="464B1795" w14:textId="77777777" w:rsidR="00845C82" w:rsidRPr="00A83AAD" w:rsidRDefault="00845C82" w:rsidP="00A07209">
      <w:pPr>
        <w:numPr>
          <w:ilvl w:val="0"/>
          <w:numId w:val="221"/>
        </w:numPr>
        <w:spacing w:after="0" w:line="240" w:lineRule="auto"/>
        <w:ind w:left="360" w:hanging="360"/>
        <w:rPr>
          <w:u w:val="single"/>
        </w:rPr>
      </w:pPr>
      <w:r>
        <w:rPr>
          <w:b/>
        </w:rPr>
        <w:t>General Information</w:t>
      </w:r>
    </w:p>
    <w:p w14:paraId="49D49182" w14:textId="77777777" w:rsidR="00A83AAD" w:rsidRPr="00A83AAD" w:rsidRDefault="00A83AAD" w:rsidP="00A83AAD">
      <w:pPr>
        <w:spacing w:after="0" w:line="240" w:lineRule="auto"/>
        <w:ind w:left="360"/>
        <w:rPr>
          <w:u w:val="single"/>
        </w:rPr>
      </w:pPr>
    </w:p>
    <w:p w14:paraId="7ADF1505" w14:textId="77777777" w:rsidR="00845C82" w:rsidRPr="004650DB" w:rsidRDefault="00845C82" w:rsidP="00A07209">
      <w:pPr>
        <w:numPr>
          <w:ilvl w:val="0"/>
          <w:numId w:val="213"/>
        </w:numPr>
        <w:tabs>
          <w:tab w:val="left" w:pos="720"/>
        </w:tabs>
        <w:spacing w:after="0" w:line="240" w:lineRule="auto"/>
        <w:ind w:left="720"/>
      </w:pPr>
      <w:r>
        <w:t xml:space="preserve">The informed consent document provides key information regarding research participation and serves as a reference for participants or their legally authorized representatives. Although a signed consent form is usually required, alone it does not constitute an adequate informed consent process. For more information on the informed consent process, see </w:t>
      </w:r>
      <w:r>
        <w:rPr>
          <w:rStyle w:val="Strong"/>
        </w:rPr>
        <w:t>HRPP policy [</w:t>
      </w:r>
      <w:hyperlink r:id="rId222" w:history="1">
        <w:r>
          <w:rPr>
            <w:rStyle w:val="Hyperlink"/>
          </w:rPr>
          <w:t>Informed Consent Process and the Elements of Informed Consent</w:t>
        </w:r>
      </w:hyperlink>
      <w:r>
        <w:rPr>
          <w:rStyle w:val="Strong"/>
        </w:rPr>
        <w:t>].</w:t>
      </w:r>
    </w:p>
    <w:p w14:paraId="5B365720" w14:textId="77777777" w:rsidR="00845C82" w:rsidRPr="004650DB" w:rsidRDefault="00845C82" w:rsidP="00845C82">
      <w:pPr>
        <w:tabs>
          <w:tab w:val="left" w:pos="720"/>
        </w:tabs>
        <w:ind w:left="720"/>
      </w:pPr>
    </w:p>
    <w:p w14:paraId="4EB95FA2" w14:textId="77777777" w:rsidR="00845C82" w:rsidRPr="004650DB" w:rsidRDefault="00845C82" w:rsidP="00A07209">
      <w:pPr>
        <w:numPr>
          <w:ilvl w:val="0"/>
          <w:numId w:val="213"/>
        </w:numPr>
        <w:tabs>
          <w:tab w:val="left" w:pos="720"/>
        </w:tabs>
        <w:spacing w:after="0" w:line="240" w:lineRule="auto"/>
        <w:ind w:left="720"/>
      </w:pPr>
      <w:r>
        <w:t>Unless waived or altered by the IRB, consent forms must include the basic elements</w:t>
      </w:r>
      <w:r>
        <w:rPr>
          <w:rStyle w:val="Strong"/>
        </w:rPr>
        <w:t xml:space="preserve"> of informed consent, and when appropriate, any additional elements as described below and by HRPP policy [</w:t>
      </w:r>
      <w:hyperlink r:id="rId223" w:history="1">
        <w:r>
          <w:rPr>
            <w:rStyle w:val="Hyperlink"/>
          </w:rPr>
          <w:t>Informed Consent Process and the Elements of Informed Consent</w:t>
        </w:r>
      </w:hyperlink>
      <w:r>
        <w:rPr>
          <w:rStyle w:val="Strong"/>
        </w:rPr>
        <w:t>].</w:t>
      </w:r>
    </w:p>
    <w:p w14:paraId="3896B11B" w14:textId="77777777" w:rsidR="00845C82" w:rsidRPr="004650DB" w:rsidRDefault="00845C82" w:rsidP="00845C82"/>
    <w:p w14:paraId="081517D4" w14:textId="77777777" w:rsidR="00845C82" w:rsidRDefault="00845C82" w:rsidP="00A07209">
      <w:pPr>
        <w:numPr>
          <w:ilvl w:val="0"/>
          <w:numId w:val="221"/>
        </w:numPr>
        <w:spacing w:after="0" w:line="240" w:lineRule="auto"/>
        <w:ind w:left="1224" w:hanging="1224"/>
        <w:rPr>
          <w:b/>
        </w:rPr>
      </w:pPr>
      <w:r>
        <w:rPr>
          <w:b/>
        </w:rPr>
        <w:t>Informed Consent Documents</w:t>
      </w:r>
    </w:p>
    <w:p w14:paraId="2C3FCA47" w14:textId="77777777" w:rsidR="00A83AAD" w:rsidRPr="00A83AAD" w:rsidRDefault="00A83AAD" w:rsidP="00A83AAD">
      <w:pPr>
        <w:spacing w:after="0" w:line="240" w:lineRule="auto"/>
        <w:ind w:left="1224"/>
        <w:rPr>
          <w:b/>
        </w:rPr>
      </w:pPr>
    </w:p>
    <w:p w14:paraId="263FCA5B" w14:textId="77777777" w:rsidR="00845C82" w:rsidRPr="004650DB" w:rsidRDefault="00845C82" w:rsidP="00A07209">
      <w:pPr>
        <w:numPr>
          <w:ilvl w:val="0"/>
          <w:numId w:val="211"/>
        </w:numPr>
        <w:spacing w:after="120" w:line="240" w:lineRule="auto"/>
      </w:pPr>
      <w:r>
        <w:t>Required Elements</w:t>
      </w:r>
    </w:p>
    <w:p w14:paraId="3E003041" w14:textId="50DDA5AC" w:rsidR="00845C82" w:rsidRPr="004650DB" w:rsidRDefault="00845C82" w:rsidP="00CF2197">
      <w:pPr>
        <w:ind w:left="720"/>
      </w:pPr>
      <w:r>
        <w:t>Consent form templates containing the basic elements of informed consent are available on the ORRP website. To streamline IRB review and assure that regulatory requirements are met, use of the applicable consent template is generally required. The IRBs can also approve consent forms on a case-by-case basis in other formats that may more appropriately satisfy requirements for obtaining and documenting informed consent. The federally required consent elements are described in HRPP policy [</w:t>
      </w:r>
      <w:hyperlink r:id="rId224" w:history="1">
        <w:r>
          <w:rPr>
            <w:rStyle w:val="Hyperlink"/>
          </w:rPr>
          <w:t>Informed Consent Process and the Elements of Informed Consent</w:t>
        </w:r>
      </w:hyperlink>
      <w:r>
        <w:t>].</w:t>
      </w:r>
      <w:r>
        <w:br/>
      </w:r>
    </w:p>
    <w:p w14:paraId="28480309" w14:textId="77777777" w:rsidR="00845C82" w:rsidRDefault="00845C82" w:rsidP="00A07209">
      <w:pPr>
        <w:numPr>
          <w:ilvl w:val="0"/>
          <w:numId w:val="211"/>
        </w:numPr>
        <w:spacing w:after="120" w:line="240" w:lineRule="auto"/>
      </w:pPr>
      <w:r>
        <w:t>Additional Elements</w:t>
      </w:r>
    </w:p>
    <w:p w14:paraId="6DA92671" w14:textId="77777777" w:rsidR="00845C82" w:rsidRPr="004650DB" w:rsidRDefault="00845C82" w:rsidP="00A83AAD">
      <w:pPr>
        <w:spacing w:after="120"/>
        <w:ind w:left="720"/>
      </w:pPr>
      <w:r>
        <w:t xml:space="preserve">One or more additional elements of informed consent will also be provide to potential participants during the consent process, when appropriate, or as required when the IRB determines that the information would </w:t>
      </w:r>
      <w:r>
        <w:lastRenderedPageBreak/>
        <w:t>meaningfully add to the protection of research participants. The additional elements are described in HRPP policy [</w:t>
      </w:r>
      <w:hyperlink r:id="rId225" w:history="1">
        <w:r>
          <w:rPr>
            <w:rStyle w:val="Hyperlink"/>
          </w:rPr>
          <w:t>Informed Consent Process and the Elements of Informed Consent</w:t>
        </w:r>
      </w:hyperlink>
      <w:r>
        <w:t>].</w:t>
      </w:r>
    </w:p>
    <w:p w14:paraId="0D34A368" w14:textId="77777777" w:rsidR="00845C82" w:rsidRPr="004650DB" w:rsidRDefault="00845C82" w:rsidP="00A07209">
      <w:pPr>
        <w:numPr>
          <w:ilvl w:val="0"/>
          <w:numId w:val="211"/>
        </w:numPr>
        <w:spacing w:after="120" w:line="240" w:lineRule="auto"/>
      </w:pPr>
      <w:r>
        <w:t>Exculpatory Language</w:t>
      </w:r>
    </w:p>
    <w:p w14:paraId="376D850E" w14:textId="77777777" w:rsidR="00845C82" w:rsidRPr="004650DB" w:rsidRDefault="00845C82" w:rsidP="00A83AAD">
      <w:pPr>
        <w:ind w:left="720"/>
      </w:pPr>
      <w:r>
        <w:t xml:space="preserve">Consent forms may not contain any exculpatory language through which the subject is made to waive or appear to waive any of the subject’s legal rights or release (or appear to release) the investigator, sponsor, or the university (or its agents) from liability for negligence. </w:t>
      </w:r>
    </w:p>
    <w:p w14:paraId="7F962D5E" w14:textId="77777777" w:rsidR="00845C82" w:rsidRPr="004650DB" w:rsidRDefault="00845C82" w:rsidP="00A07209">
      <w:pPr>
        <w:numPr>
          <w:ilvl w:val="0"/>
          <w:numId w:val="211"/>
        </w:numPr>
        <w:spacing w:after="120" w:line="240" w:lineRule="auto"/>
      </w:pPr>
      <w:r>
        <w:t>Complex Language</w:t>
      </w:r>
    </w:p>
    <w:p w14:paraId="3F5773B2" w14:textId="77777777" w:rsidR="00845C82" w:rsidRDefault="00845C82" w:rsidP="00A83AAD">
      <w:pPr>
        <w:ind w:left="720"/>
      </w:pPr>
      <w:r>
        <w:t>Consent forms must be written in language understandable to the participant or the participant’s legally authorized representative. Complex, technical, or highly specialized language or medical jargon should be explained in terms that potential participants are likely to understand. Generally, consent forms should be written at a 6</w:t>
      </w:r>
      <w:r>
        <w:rPr>
          <w:vertAlign w:val="superscript"/>
        </w:rPr>
        <w:t>th</w:t>
      </w:r>
      <w:r>
        <w:t xml:space="preserve"> to 8</w:t>
      </w:r>
      <w:r>
        <w:rPr>
          <w:vertAlign w:val="superscript"/>
        </w:rPr>
        <w:t>th</w:t>
      </w:r>
      <w:r>
        <w:t xml:space="preserve"> grade reading level. However, characteristics of the potential participant population should be considered when determining appropriate consent form language. Consent template language for specific topics (e.g., Certificate of Confidentiality) is available on the ORRP website (see </w:t>
      </w:r>
      <w:hyperlink r:id="rId226" w:history="1">
        <w:r>
          <w:rPr>
            <w:rStyle w:val="Hyperlink"/>
          </w:rPr>
          <w:t>Consent Template Language by Topic</w:t>
        </w:r>
      </w:hyperlink>
      <w:r>
        <w:t>).</w:t>
      </w:r>
    </w:p>
    <w:p w14:paraId="18FE59F2" w14:textId="77777777" w:rsidR="00A83AAD" w:rsidRPr="004650DB" w:rsidRDefault="00A83AAD" w:rsidP="00A83AAD">
      <w:pPr>
        <w:ind w:left="720"/>
      </w:pPr>
    </w:p>
    <w:p w14:paraId="70CD4A10" w14:textId="77777777" w:rsidR="00845C82" w:rsidRDefault="00845C82" w:rsidP="00A07209">
      <w:pPr>
        <w:numPr>
          <w:ilvl w:val="0"/>
          <w:numId w:val="221"/>
        </w:numPr>
        <w:spacing w:after="0" w:line="240" w:lineRule="auto"/>
        <w:ind w:left="1224" w:hanging="1224"/>
        <w:rPr>
          <w:b/>
        </w:rPr>
      </w:pPr>
      <w:r>
        <w:rPr>
          <w:b/>
        </w:rPr>
        <w:t>Short Form Consent Documents</w:t>
      </w:r>
    </w:p>
    <w:p w14:paraId="0E9F4E03" w14:textId="77777777" w:rsidR="00A83AAD" w:rsidRPr="00A83AAD" w:rsidRDefault="00A83AAD" w:rsidP="00A83AAD">
      <w:pPr>
        <w:spacing w:after="0" w:line="240" w:lineRule="auto"/>
        <w:ind w:left="1224"/>
        <w:rPr>
          <w:b/>
        </w:rPr>
      </w:pPr>
    </w:p>
    <w:p w14:paraId="108088DB" w14:textId="77777777" w:rsidR="00A83AAD" w:rsidRDefault="00845C82" w:rsidP="00A83AAD">
      <w:pPr>
        <w:ind w:left="360"/>
        <w:rPr>
          <w:rStyle w:val="Strong"/>
          <w:b w:val="0"/>
          <w:u w:val="single"/>
        </w:rPr>
      </w:pPr>
      <w:r>
        <w:t>Use of short form consent documents in Ohio State research is limited to situations involving a potential research participant or his/her legally authorized representative who does not speak/understand English, and enrollment of participants speaking the specific language was not anticipated (i.e., a translated consent form in the participant’s language has not been approved by the IRB). For more information on use of the short form consent, including witness, signature, and follow-up translation requirements, see HRPP policy [</w:t>
      </w:r>
      <w:hyperlink r:id="rId227" w:history="1">
        <w:r>
          <w:rPr>
            <w:rStyle w:val="Hyperlink"/>
          </w:rPr>
          <w:t>Short Form Informed Consent</w:t>
        </w:r>
      </w:hyperlink>
      <w:r>
        <w:t>].</w:t>
      </w:r>
    </w:p>
    <w:p w14:paraId="2E0F0324" w14:textId="77777777" w:rsidR="00A83AAD" w:rsidRPr="00A83AAD" w:rsidRDefault="00A83AAD" w:rsidP="00A83AAD">
      <w:pPr>
        <w:ind w:left="360"/>
        <w:rPr>
          <w:u w:val="single"/>
        </w:rPr>
      </w:pPr>
    </w:p>
    <w:p w14:paraId="10F83DCB" w14:textId="77777777" w:rsidR="00845C82" w:rsidRPr="004650DB" w:rsidRDefault="00845C82" w:rsidP="00A07209">
      <w:pPr>
        <w:numPr>
          <w:ilvl w:val="0"/>
          <w:numId w:val="221"/>
        </w:numPr>
        <w:spacing w:after="0" w:line="240" w:lineRule="auto"/>
        <w:ind w:left="1224" w:hanging="1224"/>
        <w:rPr>
          <w:b/>
        </w:rPr>
      </w:pPr>
      <w:r>
        <w:rPr>
          <w:b/>
        </w:rPr>
        <w:t>Signature and Recordkeeping Requirements</w:t>
      </w:r>
    </w:p>
    <w:p w14:paraId="1E6753B0" w14:textId="77777777" w:rsidR="00845C82" w:rsidRPr="004650DB" w:rsidRDefault="00845C82" w:rsidP="00845C82">
      <w:pPr>
        <w:rPr>
          <w:b/>
        </w:rPr>
      </w:pPr>
    </w:p>
    <w:p w14:paraId="7D025097" w14:textId="77777777" w:rsidR="00845C82" w:rsidRDefault="00845C82" w:rsidP="00A07209">
      <w:pPr>
        <w:numPr>
          <w:ilvl w:val="0"/>
          <w:numId w:val="217"/>
        </w:numPr>
        <w:tabs>
          <w:tab w:val="left" w:pos="720"/>
        </w:tabs>
        <w:spacing w:after="0" w:line="240" w:lineRule="auto"/>
        <w:ind w:left="720"/>
        <w:rPr>
          <w:rStyle w:val="Strong"/>
          <w:b w:val="0"/>
          <w:bCs/>
        </w:rPr>
      </w:pPr>
      <w:r>
        <w:rPr>
          <w:rStyle w:val="Strong"/>
          <w:b w:val="0"/>
          <w:bCs/>
        </w:rPr>
        <w:t xml:space="preserve">FDA regulations require that a participant or his/her legally authorized representative date the consent form at the time it is signed. Although not required by DHHS regulations, OHRP recommends that consent forms are dated </w:t>
      </w:r>
      <w:r>
        <w:rPr>
          <w:b/>
          <w:bCs/>
        </w:rPr>
        <w:t xml:space="preserve">to document that a participant’s informed consent was obtained prior to beginning research interventions or interactions. </w:t>
      </w:r>
      <w:r>
        <w:rPr>
          <w:rStyle w:val="Strong"/>
          <w:b w:val="0"/>
          <w:bCs/>
        </w:rPr>
        <w:t>Ohio State consent form templates include a line for adding the date and time the consent form is signed. A copy of the consent document is to be given to the person signing the form.</w:t>
      </w:r>
    </w:p>
    <w:p w14:paraId="5CDA9FE6" w14:textId="77777777" w:rsidR="00A83AAD" w:rsidRPr="00A83AAD" w:rsidRDefault="00A83AAD" w:rsidP="00A83AAD">
      <w:pPr>
        <w:tabs>
          <w:tab w:val="left" w:pos="720"/>
        </w:tabs>
        <w:spacing w:after="0" w:line="240" w:lineRule="auto"/>
        <w:ind w:left="720"/>
        <w:rPr>
          <w:bCs/>
        </w:rPr>
      </w:pPr>
    </w:p>
    <w:p w14:paraId="4A351BE3" w14:textId="77777777" w:rsidR="00845C82" w:rsidRDefault="00845C82" w:rsidP="00A07209">
      <w:pPr>
        <w:numPr>
          <w:ilvl w:val="0"/>
          <w:numId w:val="217"/>
        </w:numPr>
        <w:spacing w:after="0" w:line="240" w:lineRule="auto"/>
        <w:ind w:left="720"/>
        <w:rPr>
          <w:rStyle w:val="Strong"/>
          <w:b w:val="0"/>
          <w:bCs/>
        </w:rPr>
      </w:pPr>
      <w:r>
        <w:rPr>
          <w:rStyle w:val="Strong"/>
          <w:b w:val="0"/>
          <w:bCs/>
        </w:rPr>
        <w:t>A signed consent form that is sent to an investigator by facsimile (fax) or email is an acceptable method of documenting informed consent. When a signed consent form has been faxed, or scanned and returned through a secure email account, the original signed document need not also be provided.</w:t>
      </w:r>
    </w:p>
    <w:p w14:paraId="727BAB6E" w14:textId="77777777" w:rsidR="00A83AAD" w:rsidRPr="00A83AAD" w:rsidRDefault="00A83AAD" w:rsidP="00A83AAD">
      <w:pPr>
        <w:spacing w:after="0" w:line="240" w:lineRule="auto"/>
        <w:rPr>
          <w:rStyle w:val="Strong"/>
          <w:b w:val="0"/>
          <w:bCs/>
        </w:rPr>
      </w:pPr>
    </w:p>
    <w:p w14:paraId="0D6C7E3F" w14:textId="77777777" w:rsidR="00845C82" w:rsidRDefault="00845C82" w:rsidP="00A07209">
      <w:pPr>
        <w:numPr>
          <w:ilvl w:val="0"/>
          <w:numId w:val="217"/>
        </w:numPr>
        <w:spacing w:after="0" w:line="240" w:lineRule="auto"/>
        <w:ind w:left="720"/>
      </w:pPr>
      <w:r>
        <w:rPr>
          <w:rStyle w:val="Strong"/>
        </w:rPr>
        <w:t xml:space="preserve">Electronic signatures </w:t>
      </w:r>
      <w:r>
        <w:t xml:space="preserve">may be used to document consent, in compliance with 45 CFR 46, 21 CFR 11 and applicable </w:t>
      </w:r>
      <w:hyperlink r:id="rId228" w:history="1">
        <w:r>
          <w:rPr>
            <w:rStyle w:val="Hyperlink"/>
          </w:rPr>
          <w:t>FDA Guidance</w:t>
        </w:r>
      </w:hyperlink>
      <w:r>
        <w:t>. A written copy (electronic or hard copy) must be given to the individual signing the consent form. Electronic versions of consent forms (when used to meet documentation requirements) must be available for review and retention by potential participants.</w:t>
      </w:r>
    </w:p>
    <w:p w14:paraId="1633DDED" w14:textId="77777777" w:rsidR="00A83AAD" w:rsidRPr="00A83AAD" w:rsidRDefault="00A83AAD" w:rsidP="00A83AAD">
      <w:pPr>
        <w:spacing w:after="0" w:line="240" w:lineRule="auto"/>
      </w:pPr>
    </w:p>
    <w:p w14:paraId="5ED598EC" w14:textId="77777777" w:rsidR="00845C82" w:rsidRDefault="00845C82" w:rsidP="00A83AAD">
      <w:pPr>
        <w:ind w:left="720"/>
        <w:rPr>
          <w:rStyle w:val="Strong"/>
          <w:b w:val="0"/>
        </w:rPr>
      </w:pPr>
      <w:r>
        <w:t>Complete signed consent forms should be stored confidentially in a secure location for at least three years after completion (or cancellation) of the research unless a longer retention period is required by other applicable university policy or contractual agreement. For more information on record retention see HRPP policy [</w:t>
      </w:r>
      <w:hyperlink r:id="rId229" w:history="1">
        <w:r>
          <w:rPr>
            <w:rStyle w:val="Hyperlink"/>
          </w:rPr>
          <w:t>IRB Recordkeeping</w:t>
        </w:r>
      </w:hyperlink>
      <w:r>
        <w:t>].</w:t>
      </w:r>
    </w:p>
    <w:p w14:paraId="43588F0B" w14:textId="77777777" w:rsidR="00A83AAD" w:rsidRPr="004650DB" w:rsidRDefault="00A83AAD" w:rsidP="00A83AAD">
      <w:pPr>
        <w:ind w:left="720"/>
        <w:rPr>
          <w:rStyle w:val="Strong"/>
          <w:b w:val="0"/>
        </w:rPr>
      </w:pPr>
    </w:p>
    <w:p w14:paraId="377475C2" w14:textId="77777777" w:rsidR="00845C82" w:rsidRPr="004650DB" w:rsidRDefault="00845C82" w:rsidP="00A07209">
      <w:pPr>
        <w:numPr>
          <w:ilvl w:val="0"/>
          <w:numId w:val="221"/>
        </w:numPr>
        <w:spacing w:after="0" w:line="240" w:lineRule="auto"/>
        <w:ind w:left="1224" w:hanging="1224"/>
        <w:rPr>
          <w:rStyle w:val="Strong"/>
        </w:rPr>
      </w:pPr>
      <w:r>
        <w:rPr>
          <w:rStyle w:val="Strong"/>
        </w:rPr>
        <w:t>Research Participants Unable to Sign a Consent Document</w:t>
      </w:r>
    </w:p>
    <w:p w14:paraId="09D66860" w14:textId="77777777" w:rsidR="00845C82" w:rsidRPr="004650DB" w:rsidRDefault="00845C82" w:rsidP="00845C82">
      <w:pPr>
        <w:ind w:left="1224"/>
        <w:rPr>
          <w:rStyle w:val="Strong"/>
        </w:rPr>
      </w:pPr>
    </w:p>
    <w:p w14:paraId="016ED6A3" w14:textId="77777777" w:rsidR="00845C82" w:rsidRDefault="00845C82" w:rsidP="00A07209">
      <w:pPr>
        <w:numPr>
          <w:ilvl w:val="0"/>
          <w:numId w:val="212"/>
        </w:numPr>
        <w:spacing w:after="0" w:line="240" w:lineRule="auto"/>
        <w:rPr>
          <w:rStyle w:val="Strong"/>
          <w:b w:val="0"/>
          <w:bCs/>
        </w:rPr>
      </w:pPr>
      <w:r>
        <w:rPr>
          <w:rStyle w:val="Strong"/>
          <w:b w:val="0"/>
          <w:bCs/>
        </w:rPr>
        <w:t>A person who speaks and understands English but does not read and write can be enrolled in a study by "making his/her mark" on the consent document. An adult who is not involved in the research will witness the informed consent process and sign the consent document.</w:t>
      </w:r>
    </w:p>
    <w:p w14:paraId="142CE1B1" w14:textId="77777777" w:rsidR="00A83AAD" w:rsidRPr="00A83AAD" w:rsidRDefault="00A83AAD" w:rsidP="00A83AAD">
      <w:pPr>
        <w:spacing w:after="0" w:line="240" w:lineRule="auto"/>
        <w:ind w:left="720"/>
        <w:rPr>
          <w:rStyle w:val="Strong"/>
          <w:b w:val="0"/>
          <w:bCs/>
        </w:rPr>
      </w:pPr>
    </w:p>
    <w:p w14:paraId="18DAF8CE" w14:textId="77777777" w:rsidR="00845C82" w:rsidRPr="00076836" w:rsidRDefault="00845C82" w:rsidP="00A07209">
      <w:pPr>
        <w:numPr>
          <w:ilvl w:val="0"/>
          <w:numId w:val="212"/>
        </w:numPr>
        <w:spacing w:after="0" w:line="240" w:lineRule="auto"/>
        <w:rPr>
          <w:rStyle w:val="Strong"/>
          <w:b w:val="0"/>
          <w:bCs/>
        </w:rPr>
      </w:pPr>
      <w:r>
        <w:rPr>
          <w:rStyle w:val="Strong"/>
          <w:b w:val="0"/>
          <w:bCs/>
        </w:rPr>
        <w:t>A person who understands English but is physically unable to talk or write can be enrolled in a study if he/she is competent and able to indicate approval or disapproval by other means. The method used to communicate with the potential participant and the specific way in which the individual communicated agreement to participate in the study is to be documented on the consent form. An adult who is not involved in the research will witness the entire consent process and sign the consent document.</w:t>
      </w:r>
    </w:p>
    <w:p w14:paraId="2387A9FA" w14:textId="3A97C02F" w:rsidR="00845C82" w:rsidRPr="004650DB" w:rsidRDefault="00845C82" w:rsidP="00845C82">
      <w:pPr>
        <w:rPr>
          <w:rStyle w:val="Strong"/>
          <w:b w:val="0"/>
        </w:rPr>
      </w:pPr>
    </w:p>
    <w:p w14:paraId="2690A151" w14:textId="7DAA7BEA" w:rsidR="00845C82" w:rsidRDefault="00845C82" w:rsidP="00A07209">
      <w:pPr>
        <w:numPr>
          <w:ilvl w:val="0"/>
          <w:numId w:val="221"/>
        </w:numPr>
        <w:spacing w:after="0" w:line="240" w:lineRule="auto"/>
        <w:ind w:left="1224" w:hanging="1224"/>
        <w:rPr>
          <w:rStyle w:val="Strong"/>
        </w:rPr>
      </w:pPr>
      <w:r>
        <w:rPr>
          <w:rStyle w:val="Strong"/>
        </w:rPr>
        <w:t>Consent Form Revisions</w:t>
      </w:r>
    </w:p>
    <w:p w14:paraId="1589792E" w14:textId="5B977432" w:rsidR="00A83AAD" w:rsidRPr="00A83AAD" w:rsidRDefault="00A83AAD" w:rsidP="00A83AAD">
      <w:pPr>
        <w:spacing w:after="0" w:line="240" w:lineRule="auto"/>
        <w:ind w:left="1224"/>
        <w:rPr>
          <w:rStyle w:val="Strong"/>
        </w:rPr>
      </w:pPr>
    </w:p>
    <w:p w14:paraId="55FAA640" w14:textId="7247D267" w:rsidR="00845C82" w:rsidRDefault="00845C82" w:rsidP="00845C82">
      <w:pPr>
        <w:tabs>
          <w:tab w:val="left" w:pos="720"/>
        </w:tabs>
        <w:ind w:left="360"/>
        <w:rPr>
          <w:rStyle w:val="Strong"/>
          <w:b w:val="0"/>
        </w:rPr>
      </w:pPr>
      <w:r>
        <w:t>Consent forms should be revised when new information about reasonably foreseeable risks, potential benefits, or other information becomes available that will improve the consent process. Amendments to consent documents must be reviewed and approved by an IRB prior to the revised consent form being utilized, except when necessary to eliminate apparent immediate hazards to subjects. Minor changes to previously approved consent forms can be reviewed by expedited procedures as described in HRPP policy [</w:t>
      </w:r>
      <w:hyperlink r:id="rId230" w:history="1">
        <w:r>
          <w:rPr>
            <w:rStyle w:val="Hyperlink"/>
          </w:rPr>
          <w:t>Expedited and Administrative Review Procedures</w:t>
        </w:r>
      </w:hyperlink>
      <w:r>
        <w:t>].</w:t>
      </w:r>
    </w:p>
    <w:p w14:paraId="0BC8C0DA" w14:textId="64FDFE28" w:rsidR="00845C82" w:rsidRPr="004650DB" w:rsidRDefault="00845C82" w:rsidP="00845C82">
      <w:pPr>
        <w:tabs>
          <w:tab w:val="left" w:pos="720"/>
        </w:tabs>
        <w:ind w:left="360"/>
        <w:rPr>
          <w:rStyle w:val="Strong"/>
          <w:b w:val="0"/>
        </w:rPr>
      </w:pPr>
    </w:p>
    <w:p w14:paraId="2F9B3407" w14:textId="6C2AF535" w:rsidR="00845C82" w:rsidRDefault="00845C82" w:rsidP="00A07209">
      <w:pPr>
        <w:numPr>
          <w:ilvl w:val="0"/>
          <w:numId w:val="221"/>
        </w:numPr>
        <w:spacing w:after="0" w:line="240" w:lineRule="auto"/>
        <w:ind w:left="1224" w:hanging="1224"/>
        <w:rPr>
          <w:b/>
        </w:rPr>
      </w:pPr>
      <w:r>
        <w:rPr>
          <w:b/>
        </w:rPr>
        <w:t>Waiver of Documentation of Informed Consent</w:t>
      </w:r>
    </w:p>
    <w:p w14:paraId="7027B94C" w14:textId="53F8B43E" w:rsidR="00A83AAD" w:rsidRPr="00A83AAD" w:rsidRDefault="00A83AAD" w:rsidP="00A83AAD">
      <w:pPr>
        <w:spacing w:after="0" w:line="240" w:lineRule="auto"/>
        <w:ind w:left="1224"/>
        <w:rPr>
          <w:b/>
        </w:rPr>
      </w:pPr>
    </w:p>
    <w:p w14:paraId="3EFC80C3" w14:textId="42A8108B" w:rsidR="00845C82" w:rsidRPr="004650DB" w:rsidRDefault="00845C82" w:rsidP="00A83AAD">
      <w:pPr>
        <w:ind w:left="360"/>
      </w:pPr>
      <w:r>
        <w:t>In limited circumstances, the IRB can waive the requirement for the investigator to obtain a signed consent form for some or all research participants.</w:t>
      </w:r>
    </w:p>
    <w:p w14:paraId="77E47EE5" w14:textId="77777777" w:rsidR="00845C82" w:rsidRPr="004650DB" w:rsidRDefault="00845C82" w:rsidP="00A07209">
      <w:pPr>
        <w:numPr>
          <w:ilvl w:val="0"/>
          <w:numId w:val="214"/>
        </w:numPr>
        <w:spacing w:after="120" w:line="240" w:lineRule="auto"/>
        <w:ind w:left="720"/>
      </w:pPr>
      <w:r>
        <w:t>Risk of Breach of Confidentiality</w:t>
      </w:r>
    </w:p>
    <w:p w14:paraId="13E51107" w14:textId="7ECDDFF1" w:rsidR="00845C82" w:rsidRPr="004650DB" w:rsidRDefault="00845C82" w:rsidP="00845C82">
      <w:pPr>
        <w:spacing w:after="60"/>
        <w:ind w:left="720"/>
      </w:pPr>
      <w:r>
        <w:t>The IRB can waive the requirement for written documentation of informed consent for non-exempt research if all of the following criteria are met:</w:t>
      </w:r>
    </w:p>
    <w:p w14:paraId="55CAFA81" w14:textId="77777777" w:rsidR="00845C82" w:rsidRPr="004650DB" w:rsidRDefault="00845C82" w:rsidP="00A07209">
      <w:pPr>
        <w:numPr>
          <w:ilvl w:val="3"/>
          <w:numId w:val="215"/>
        </w:numPr>
        <w:tabs>
          <w:tab w:val="clear" w:pos="2160"/>
          <w:tab w:val="num" w:pos="1440"/>
        </w:tabs>
        <w:spacing w:after="60" w:line="240" w:lineRule="auto"/>
        <w:ind w:left="1440"/>
      </w:pPr>
      <w:r>
        <w:t>The only record linking the subject and the research would be the consent document.</w:t>
      </w:r>
    </w:p>
    <w:p w14:paraId="66F91335" w14:textId="77777777" w:rsidR="00845C82" w:rsidRPr="004650DB" w:rsidRDefault="00845C82" w:rsidP="00A07209">
      <w:pPr>
        <w:numPr>
          <w:ilvl w:val="3"/>
          <w:numId w:val="215"/>
        </w:numPr>
        <w:tabs>
          <w:tab w:val="clear" w:pos="2160"/>
          <w:tab w:val="num" w:pos="1440"/>
        </w:tabs>
        <w:spacing w:after="60" w:line="240" w:lineRule="auto"/>
        <w:ind w:left="1440"/>
      </w:pPr>
      <w:r>
        <w:t>The principal risk would be potential harm resulting from a breach of confidentiality.</w:t>
      </w:r>
    </w:p>
    <w:p w14:paraId="7C62CB1E" w14:textId="487BB421" w:rsidR="00845C82" w:rsidRPr="004650DB" w:rsidRDefault="00845C82" w:rsidP="00A07209">
      <w:pPr>
        <w:numPr>
          <w:ilvl w:val="3"/>
          <w:numId w:val="215"/>
        </w:numPr>
        <w:tabs>
          <w:tab w:val="clear" w:pos="2160"/>
          <w:tab w:val="num" w:pos="1440"/>
        </w:tabs>
        <w:spacing w:after="60" w:line="240" w:lineRule="auto"/>
        <w:ind w:left="1440"/>
      </w:pPr>
      <w:r>
        <w:t>Each subject will be asked whether the subject wants documentation linking the subject with the research, and the subject’s wishes will govern.</w:t>
      </w:r>
    </w:p>
    <w:p w14:paraId="75172931" w14:textId="742B1D39" w:rsidR="00845C82" w:rsidRDefault="00845C82" w:rsidP="00A07209">
      <w:pPr>
        <w:numPr>
          <w:ilvl w:val="3"/>
          <w:numId w:val="215"/>
        </w:numPr>
        <w:tabs>
          <w:tab w:val="clear" w:pos="2160"/>
          <w:tab w:val="num" w:pos="1440"/>
        </w:tabs>
        <w:spacing w:after="0" w:line="240" w:lineRule="auto"/>
        <w:ind w:left="1440"/>
      </w:pPr>
      <w:r>
        <w:t>The research is not FDA-regulated.</w:t>
      </w:r>
    </w:p>
    <w:p w14:paraId="14944134" w14:textId="77777777" w:rsidR="00A83AAD" w:rsidRPr="00A83AAD" w:rsidRDefault="00A83AAD" w:rsidP="00A83AAD">
      <w:pPr>
        <w:spacing w:after="0" w:line="240" w:lineRule="auto"/>
        <w:ind w:left="1440"/>
      </w:pPr>
    </w:p>
    <w:p w14:paraId="169619DF" w14:textId="77777777" w:rsidR="00845C82" w:rsidRPr="004650DB" w:rsidRDefault="00845C82" w:rsidP="00A07209">
      <w:pPr>
        <w:numPr>
          <w:ilvl w:val="0"/>
          <w:numId w:val="214"/>
        </w:numPr>
        <w:tabs>
          <w:tab w:val="left" w:pos="720"/>
        </w:tabs>
        <w:spacing w:after="120" w:line="240" w:lineRule="auto"/>
        <w:ind w:left="720"/>
      </w:pPr>
      <w:r>
        <w:t>Minimal Risk Research</w:t>
      </w:r>
    </w:p>
    <w:p w14:paraId="176B3969" w14:textId="1F2683BE" w:rsidR="00845C82" w:rsidRPr="004650DB" w:rsidRDefault="00845C82" w:rsidP="00845C82">
      <w:pPr>
        <w:spacing w:after="60"/>
        <w:ind w:left="720"/>
      </w:pPr>
      <w:r>
        <w:t>The IRB can waive the requirement for written documentation of informed consent for non-exempt research if both of the following criteria are met:</w:t>
      </w:r>
    </w:p>
    <w:p w14:paraId="078629DE" w14:textId="46B3402D" w:rsidR="00845C82" w:rsidRPr="004650DB" w:rsidRDefault="00845C82" w:rsidP="00A07209">
      <w:pPr>
        <w:numPr>
          <w:ilvl w:val="0"/>
          <w:numId w:val="216"/>
        </w:numPr>
        <w:tabs>
          <w:tab w:val="clear" w:pos="2160"/>
          <w:tab w:val="num" w:pos="1440"/>
        </w:tabs>
        <w:spacing w:after="60" w:line="240" w:lineRule="auto"/>
        <w:ind w:left="1440"/>
      </w:pPr>
      <w:r>
        <w:t>The research presents no more than minimal risk of harm to subjects.</w:t>
      </w:r>
    </w:p>
    <w:p w14:paraId="4100F062" w14:textId="46C05065" w:rsidR="00A83AAD" w:rsidRDefault="00845C82" w:rsidP="00A07209">
      <w:pPr>
        <w:numPr>
          <w:ilvl w:val="0"/>
          <w:numId w:val="216"/>
        </w:numPr>
        <w:tabs>
          <w:tab w:val="clear" w:pos="2160"/>
          <w:tab w:val="num" w:pos="1440"/>
        </w:tabs>
        <w:spacing w:after="0" w:line="240" w:lineRule="auto"/>
        <w:ind w:left="1440"/>
      </w:pPr>
      <w:r>
        <w:t>The research involves no procedures for which written consent is normally required outside of the research context.</w:t>
      </w:r>
    </w:p>
    <w:p w14:paraId="5C12A50F" w14:textId="01BE01A1" w:rsidR="00845C82" w:rsidRPr="00A83AAD" w:rsidRDefault="00A83AAD" w:rsidP="00A83AAD">
      <w:pPr>
        <w:spacing w:after="0" w:line="240" w:lineRule="auto"/>
        <w:ind w:left="1440"/>
        <w:rPr>
          <w:rStyle w:val="Strong"/>
          <w:b w:val="0"/>
        </w:rPr>
      </w:pPr>
      <w:r>
        <w:rPr>
          <w:rStyle w:val="Strong"/>
          <w:b w:val="0"/>
        </w:rPr>
        <w:tab/>
      </w:r>
      <w:r>
        <w:rPr>
          <w:rStyle w:val="Strong"/>
          <w:b w:val="0"/>
        </w:rPr>
        <w:tab/>
      </w:r>
    </w:p>
    <w:p w14:paraId="525318E6" w14:textId="7151287F" w:rsidR="00845C82" w:rsidRPr="00076836" w:rsidRDefault="00CF2197" w:rsidP="00A07209">
      <w:pPr>
        <w:numPr>
          <w:ilvl w:val="0"/>
          <w:numId w:val="214"/>
        </w:numPr>
        <w:spacing w:after="120" w:line="240" w:lineRule="auto"/>
        <w:ind w:left="720"/>
        <w:rPr>
          <w:rStyle w:val="Strong"/>
          <w:b w:val="0"/>
          <w:bCs/>
        </w:rPr>
      </w:pPr>
      <w:r>
        <w:rPr>
          <w:noProof/>
        </w:rPr>
        <mc:AlternateContent>
          <mc:Choice Requires="wps">
            <w:drawing>
              <wp:anchor distT="0" distB="0" distL="114300" distR="114300" simplePos="0" relativeHeight="251673600" behindDoc="1" locked="0" layoutInCell="1" allowOverlap="1" wp14:anchorId="30E12DBE" wp14:editId="22A5E20C">
                <wp:simplePos x="0" y="0"/>
                <wp:positionH relativeFrom="margin">
                  <wp:posOffset>-152400</wp:posOffset>
                </wp:positionH>
                <wp:positionV relativeFrom="paragraph">
                  <wp:posOffset>635</wp:posOffset>
                </wp:positionV>
                <wp:extent cx="7334250" cy="1362075"/>
                <wp:effectExtent l="0" t="0" r="19050" b="28575"/>
                <wp:wrapNone/>
                <wp:docPr id="1817481921" name="Rectangl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34250" cy="13620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AFE9DE" id="Rectangle 10" o:spid="_x0000_s1026" alt="&quot;&quot;" style="position:absolute;margin-left:-12pt;margin-top:.05pt;width:577.5pt;height:107.25pt;z-index:-251642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" fillcolor="#cfcdcd">
                <w10:wrap anchorx="margin"/>
              </v:rect>
            </w:pict>
          </mc:Fallback>
        </mc:AlternateContent>
      </w:r>
      <w:r w:rsidR="00845C82">
        <w:rPr>
          <w:rStyle w:val="Strong"/>
          <w:b w:val="0"/>
          <w:bCs/>
        </w:rPr>
        <w:t xml:space="preserve">Distinct Cultural Groups or Communities </w:t>
      </w:r>
    </w:p>
    <w:p w14:paraId="58EF1156" w14:textId="65029ED9" w:rsidR="00845C82" w:rsidRPr="00076836" w:rsidRDefault="00845C82" w:rsidP="00845C82">
      <w:pPr>
        <w:spacing w:after="120"/>
        <w:ind w:left="720"/>
        <w:rPr>
          <w:rStyle w:val="Strong"/>
          <w:b w:val="0"/>
          <w:bCs/>
        </w:rPr>
      </w:pPr>
      <w:r>
        <w:rPr>
          <w:rStyle w:val="Strong"/>
          <w:b w:val="0"/>
          <w:bCs/>
        </w:rPr>
        <w:lastRenderedPageBreak/>
        <w:t>The IRB may waive the requirement for a signed informed consent form if the subjects are   members of a distinct cultural group or community in which signing forms is not the norm</w:t>
      </w:r>
      <w:r>
        <w:rPr>
          <w:b/>
          <w:bCs/>
        </w:rPr>
        <w:t xml:space="preserve"> </w:t>
      </w:r>
      <w:r>
        <w:rPr>
          <w:rStyle w:val="Strong"/>
          <w:b w:val="0"/>
          <w:bCs/>
        </w:rPr>
        <w:t>for non-exempt research if both of the following criteria are met:</w:t>
      </w:r>
    </w:p>
    <w:p w14:paraId="6678EBA7" w14:textId="10EB8B03" w:rsidR="00845C82" w:rsidRPr="00076836" w:rsidRDefault="00845C82" w:rsidP="00A07209">
      <w:pPr>
        <w:numPr>
          <w:ilvl w:val="1"/>
          <w:numId w:val="218"/>
        </w:numPr>
        <w:spacing w:after="60" w:line="240" w:lineRule="auto"/>
        <w:rPr>
          <w:rStyle w:val="Strong"/>
          <w:b w:val="0"/>
          <w:bCs/>
        </w:rPr>
      </w:pPr>
      <w:r>
        <w:rPr>
          <w:rStyle w:val="Strong"/>
          <w:b w:val="0"/>
          <w:bCs/>
        </w:rPr>
        <w:t xml:space="preserve">The research involves no more than minimal risk. </w:t>
      </w:r>
    </w:p>
    <w:p w14:paraId="47F55696" w14:textId="4DF0781B" w:rsidR="00845C82" w:rsidRPr="00076836" w:rsidRDefault="00845C82" w:rsidP="00A07209">
      <w:pPr>
        <w:numPr>
          <w:ilvl w:val="1"/>
          <w:numId w:val="218"/>
        </w:numPr>
        <w:spacing w:after="240" w:line="240" w:lineRule="auto"/>
        <w:rPr>
          <w:rStyle w:val="Strong"/>
          <w:b w:val="0"/>
          <w:bCs/>
        </w:rPr>
      </w:pPr>
      <w:r>
        <w:rPr>
          <w:rStyle w:val="Strong"/>
          <w:b w:val="0"/>
          <w:bCs/>
        </w:rPr>
        <w:t>There is an alternative method for documenting that consent was obtained.</w:t>
      </w:r>
    </w:p>
    <w:p w14:paraId="2A078811" w14:textId="173E923A" w:rsidR="00845C82" w:rsidRPr="004650DB" w:rsidRDefault="00845C82" w:rsidP="00A07209">
      <w:pPr>
        <w:numPr>
          <w:ilvl w:val="0"/>
          <w:numId w:val="218"/>
        </w:numPr>
        <w:spacing w:after="120" w:line="240" w:lineRule="auto"/>
        <w:ind w:left="720"/>
        <w:rPr>
          <w:rStyle w:val="Strong"/>
          <w:b w:val="0"/>
        </w:rPr>
      </w:pPr>
      <w:r>
        <w:rPr>
          <w:rStyle w:val="Strong"/>
        </w:rPr>
        <w:t>Additional Requirements</w:t>
      </w:r>
    </w:p>
    <w:p w14:paraId="7DFBCA44" w14:textId="0DF544BC" w:rsidR="00845C82" w:rsidRDefault="00845C82" w:rsidP="00A07209">
      <w:pPr>
        <w:numPr>
          <w:ilvl w:val="0"/>
          <w:numId w:val="219"/>
        </w:numPr>
        <w:tabs>
          <w:tab w:val="clear" w:pos="2520"/>
          <w:tab w:val="num" w:pos="1440"/>
        </w:tabs>
        <w:spacing w:after="0" w:line="240" w:lineRule="auto"/>
        <w:ind w:left="1440"/>
      </w:pPr>
      <w:r>
        <w:t xml:space="preserve">When the requirement for written documentation of consent is waived, the IRB must review a written description of the information (i.e., a “script”) that will be provided to participants (e.g., when consent is obtained by telephone or online). This information must include the basic elements of informed consent and any applicable additional elements as </w:t>
      </w:r>
      <w:hyperlink w:anchor="elements" w:history="1">
        <w:r>
          <w:rPr>
            <w:rStyle w:val="Hyperlink"/>
          </w:rPr>
          <w:t>described above</w:t>
        </w:r>
      </w:hyperlink>
      <w:r>
        <w:t xml:space="preserve"> and in HRPP policy [</w:t>
      </w:r>
      <w:hyperlink r:id="rId231" w:history="1">
        <w:r>
          <w:rPr>
            <w:rStyle w:val="Hyperlink"/>
          </w:rPr>
          <w:t>Informed Consent Process and the Elements of Informed Consent</w:t>
        </w:r>
      </w:hyperlink>
      <w:r>
        <w:rPr>
          <w:rStyle w:val="Strong"/>
          <w:bCs/>
        </w:rPr>
        <w:t>] unless</w:t>
      </w:r>
      <w:r>
        <w:t xml:space="preserve"> an alteration of consent has also been approved by the IRB.</w:t>
      </w:r>
    </w:p>
    <w:p w14:paraId="3F8B8797" w14:textId="31612D3A" w:rsidR="00A83AAD" w:rsidRPr="00A83AAD" w:rsidRDefault="00A83AAD" w:rsidP="00A83AAD">
      <w:pPr>
        <w:spacing w:after="0" w:line="240" w:lineRule="auto"/>
        <w:ind w:left="1440"/>
        <w:rPr>
          <w:rStyle w:val="Strong"/>
          <w:b w:val="0"/>
        </w:rPr>
      </w:pPr>
    </w:p>
    <w:p w14:paraId="66DD937B" w14:textId="4BA01253" w:rsidR="00845C82" w:rsidRDefault="00845C82" w:rsidP="00A07209">
      <w:pPr>
        <w:numPr>
          <w:ilvl w:val="0"/>
          <w:numId w:val="219"/>
        </w:numPr>
        <w:tabs>
          <w:tab w:val="clear" w:pos="2520"/>
          <w:tab w:val="num" w:pos="1440"/>
        </w:tabs>
        <w:spacing w:after="0" w:line="240" w:lineRule="auto"/>
        <w:ind w:left="1440"/>
      </w:pPr>
      <w:r>
        <w:t>When the requirement for written documentation of consent is waived, the IRB may also require that an investigator provide participants with a written statement regarding the research. Examples include approved consent forms (without signature lines), cards containing researcher and/or third-party contact information, and information sheets outlining study procedures.</w:t>
      </w:r>
    </w:p>
    <w:p w14:paraId="5D6FB78A" w14:textId="79DCE56F" w:rsidR="00845C82" w:rsidRDefault="00845C82" w:rsidP="00845C82">
      <w:pPr>
        <w:ind w:left="1440"/>
      </w:pPr>
      <w:r>
        <w:rPr>
          <w:noProof/>
        </w:rPr>
        <mc:AlternateContent>
          <mc:Choice Requires="wps">
            <w:drawing>
              <wp:anchor distT="0" distB="0" distL="114300" distR="114300" simplePos="0" relativeHeight="251674624" behindDoc="1" locked="0" layoutInCell="1" allowOverlap="1" wp14:anchorId="49A49E86" wp14:editId="76ABB3A8">
                <wp:simplePos x="0" y="0"/>
                <wp:positionH relativeFrom="column">
                  <wp:posOffset>-40234</wp:posOffset>
                </wp:positionH>
                <wp:positionV relativeFrom="paragraph">
                  <wp:posOffset>73304</wp:posOffset>
                </wp:positionV>
                <wp:extent cx="7254469" cy="1836116"/>
                <wp:effectExtent l="0" t="0" r="22860" b="12065"/>
                <wp:wrapNone/>
                <wp:docPr id="19655860" name="Rectangl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54469" cy="1836116"/>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F903D1" id="Rectangle 9" o:spid="_x0000_s1026" alt="&quot;&quot;" style="position:absolute;margin-left:-3.15pt;margin-top:5.75pt;width:571.2pt;height:144.6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" fillcolor="#cfcdcd"/>
            </w:pict>
          </mc:Fallback>
        </mc:AlternateContent>
      </w:r>
    </w:p>
    <w:p w14:paraId="21E10B84" w14:textId="25E4A8AB" w:rsidR="00845C82" w:rsidRPr="0092396A" w:rsidRDefault="00845C82" w:rsidP="00A07209">
      <w:pPr>
        <w:numPr>
          <w:ilvl w:val="0"/>
          <w:numId w:val="220"/>
        </w:numPr>
        <w:tabs>
          <w:tab w:val="clear" w:pos="540"/>
          <w:tab w:val="num" w:pos="360"/>
        </w:tabs>
        <w:spacing w:after="120" w:line="240" w:lineRule="auto"/>
        <w:ind w:left="360"/>
      </w:pPr>
      <w:r>
        <w:rPr>
          <w:b/>
        </w:rPr>
        <w:t>Posting of Clinical Trial Consent Forms</w:t>
      </w:r>
    </w:p>
    <w:p w14:paraId="51838D63" w14:textId="59459AAF" w:rsidR="00845C82" w:rsidRPr="00845C82" w:rsidRDefault="00845C82" w:rsidP="00845C82">
      <w:pPr>
        <w:spacing w:after="60"/>
        <w:ind w:left="540"/>
        <w:rPr>
          <w:rStyle w:val="Strong"/>
          <w:b w:val="0"/>
          <w:sz w:val="20"/>
        </w:rPr>
      </w:pPr>
      <w:r>
        <w:rPr>
          <w:rStyle w:val="Strong"/>
          <w:b w:val="0"/>
        </w:rPr>
        <w:t xml:space="preserve">For clinical trials conducted or supported by a federal department or agency, the Final Rule requires that a copy of an unsigned, IRB-approved consent form be posted on a publicly available federal website (e.g., ClinicalTrials.gov). The funding awardee or </w:t>
      </w:r>
      <w:r>
        <w:rPr>
          <w:rStyle w:val="Strong"/>
          <w:b w:val="0"/>
        </w:rPr>
        <w:br/>
        <w:t>federal department/agency is responsible for posting the form after recruitment is complete, but no later than 60 days after the last study visit. Proprietary or institutionally sensitive information may be redacted. Only one consent form per study must be posted regardless of the number of subject classes or study sites.</w:t>
      </w:r>
    </w:p>
    <w:p w14:paraId="3ED3DEEA" w14:textId="65368963" w:rsidR="00845C82" w:rsidRPr="00887A03" w:rsidRDefault="00845C82" w:rsidP="00845C82">
      <w:pPr>
        <w:ind w:left="360"/>
        <w:rPr>
          <w:rStyle w:val="Strong"/>
          <w:b w:val="0"/>
        </w:rPr>
      </w:pPr>
    </w:p>
    <w:p w14:paraId="611B8994" w14:textId="34910F8E" w:rsidR="00845C82" w:rsidRPr="00435556" w:rsidRDefault="00845C82" w:rsidP="00A07209">
      <w:pPr>
        <w:numPr>
          <w:ilvl w:val="0"/>
          <w:numId w:val="220"/>
        </w:numPr>
        <w:tabs>
          <w:tab w:val="clear" w:pos="540"/>
        </w:tabs>
        <w:spacing w:after="0" w:line="240" w:lineRule="auto"/>
        <w:ind w:left="360"/>
        <w:rPr>
          <w:rStyle w:val="Strong"/>
          <w:b w:val="0"/>
        </w:rPr>
      </w:pPr>
      <w:r>
        <w:rPr>
          <w:rStyle w:val="Strong"/>
        </w:rPr>
        <w:t>Applicable Regulations/Guidance</w:t>
      </w:r>
    </w:p>
    <w:p w14:paraId="7879D30C" w14:textId="5F5915E4" w:rsidR="00845C82" w:rsidRPr="004650DB" w:rsidRDefault="00845C82" w:rsidP="00845C82">
      <w:pPr>
        <w:ind w:left="360"/>
        <w:rPr>
          <w:rStyle w:val="Strong"/>
          <w:b w:val="0"/>
        </w:rPr>
      </w:pPr>
    </w:p>
    <w:p w14:paraId="74A25CDB" w14:textId="576F84E2" w:rsidR="00845C82" w:rsidRDefault="00845C82" w:rsidP="00845C82">
      <w:pPr>
        <w:ind w:left="360"/>
      </w:pPr>
      <w:r>
        <w:t>21 CFR 50.20, 21 CFR 50.25, 21 CFR 50.27, 21 CFR 56.109, 21 CFR 56.111, pre-2018 and Final Rule (45 CFR 46.111, 45 CFR 46.116, 45 CFR 46.117), FDA “Questions and Answers on Informed Consent Elements, 21 CFR 50.25(c)” (02/12), FDA Information Sheets: “A Guide to Informed Consent,” FDA Information Sheets: Frequently Asked Questions “Informed Consent Process” and “Informed Consent Document Content,” OHRP “Informed Consent FAQs”, OHRP Guidance “Informed Consent Checklist” (09/30/98), OHRP Guidance “Informed Consent – Legally Effective and Prospectively Obtained” (OPRR Reports 93-03, 08/12/93), OHRP Guidance “Tips on Informed Consent” (OPRR, revised 03/16/93), The Ohio State University Policy and Procedure Manuals for University Hospitals and James Cancer Hospital and Solove Research Institute (# 03-27)</w:t>
      </w:r>
    </w:p>
    <w:p w14:paraId="13D1342C" w14:textId="77777777" w:rsidR="00845C82" w:rsidRDefault="00845C82" w:rsidP="00845C82">
      <w:pPr>
        <w:ind w:left="360"/>
      </w:pPr>
    </w:p>
    <w:p w14:paraId="5BCB4424" w14:textId="77777777" w:rsidR="00845C82" w:rsidRDefault="00845C82" w:rsidP="00A07209">
      <w:pPr>
        <w:numPr>
          <w:ilvl w:val="0"/>
          <w:numId w:val="220"/>
        </w:numPr>
        <w:tabs>
          <w:tab w:val="clear" w:pos="540"/>
          <w:tab w:val="num" w:pos="360"/>
        </w:tabs>
        <w:spacing w:after="0" w:line="240" w:lineRule="auto"/>
        <w:ind w:left="360"/>
        <w:rPr>
          <w:b/>
        </w:rPr>
      </w:pPr>
      <w:r>
        <w:rPr>
          <w:b/>
        </w:rPr>
        <w:t>History</w:t>
      </w:r>
    </w:p>
    <w:p w14:paraId="2001EFD9" w14:textId="77777777" w:rsidR="00845C82" w:rsidRDefault="00845C82" w:rsidP="00845C82">
      <w:pPr>
        <w:rPr>
          <w:b/>
        </w:rPr>
      </w:pPr>
    </w:p>
    <w:p w14:paraId="055B1859" w14:textId="77777777" w:rsidR="00845C82" w:rsidRDefault="00845C82" w:rsidP="00A83AAD">
      <w:pPr>
        <w:spacing w:after="0"/>
        <w:ind w:firstLine="360"/>
      </w:pPr>
      <w:r>
        <w:t>Issued: 09/08/2008</w:t>
      </w:r>
    </w:p>
    <w:p w14:paraId="12C1D0DF" w14:textId="77777777" w:rsidR="00845C82" w:rsidRDefault="00845C82" w:rsidP="00A83AAD">
      <w:pPr>
        <w:spacing w:after="0"/>
        <w:ind w:firstLine="360"/>
      </w:pPr>
      <w:r>
        <w:t>Revised: 05/14/2012, 07/13/2016, 12/17/2018</w:t>
      </w:r>
    </w:p>
    <w:p w14:paraId="2326EADD" w14:textId="476621C1" w:rsidR="00331664" w:rsidRDefault="00845C82" w:rsidP="00CF2197">
      <w:pPr>
        <w:spacing w:after="0"/>
        <w:ind w:firstLine="360"/>
      </w:pPr>
      <w:r>
        <w:t>Edited: 01/21/2022, 04/20/2022</w:t>
      </w:r>
    </w:p>
    <w:p w14:paraId="270CEDD6" w14:textId="77777777" w:rsidR="00CD45BC" w:rsidRPr="00CD45BC" w:rsidRDefault="20851E60" w:rsidP="00471B9E">
      <w:pPr>
        <w:pStyle w:val="Heading2"/>
      </w:pPr>
      <w:bookmarkStart w:id="298" w:name="_Toc1755297863"/>
      <w:bookmarkStart w:id="299" w:name="B16"/>
      <w:bookmarkStart w:id="300" w:name="_Toc212142213"/>
      <w:bookmarkStart w:id="301" w:name="_Toc225507753"/>
      <w:r>
        <w:lastRenderedPageBreak/>
        <w:t>Appendix B-16</w:t>
      </w:r>
      <w:bookmarkEnd w:id="298"/>
      <w:r>
        <w:t xml:space="preserve"> </w:t>
      </w:r>
      <w:bookmarkEnd w:id="299"/>
      <w:r>
        <w:tab/>
        <w:t>Assent and Parental Permission</w:t>
      </w:r>
      <w:bookmarkEnd w:id="300"/>
      <w:bookmarkEnd w:id="301"/>
    </w:p>
    <w:p w14:paraId="360D0482" w14:textId="77777777" w:rsidR="00CD45BC" w:rsidRPr="00CD45BC" w:rsidRDefault="00CD45BC" w:rsidP="00CD45BC">
      <w:pPr>
        <w:spacing w:after="120" w:line="240" w:lineRule="auto"/>
        <w:rPr>
          <w:b/>
          <w:smallCaps/>
          <w:sz w:val="20"/>
          <w:szCs w:val="20"/>
        </w:rPr>
      </w:pPr>
      <w:r>
        <w:rPr>
          <w:b/>
          <w:smallCaps/>
          <w:noProof/>
          <w:sz w:val="20"/>
          <w:szCs w:val="20"/>
        </w:rPr>
        <mc:AlternateContent>
          <mc:Choice Requires="wps">
            <w:drawing>
              <wp:anchor distT="0" distB="0" distL="114300" distR="114300" simplePos="0" relativeHeight="251677696" behindDoc="1" locked="0" layoutInCell="1" allowOverlap="1" wp14:anchorId="4342F98D" wp14:editId="74E6C75A">
                <wp:simplePos x="0" y="0"/>
                <wp:positionH relativeFrom="column">
                  <wp:posOffset>13183</wp:posOffset>
                </wp:positionH>
                <wp:positionV relativeFrom="paragraph">
                  <wp:posOffset>164668</wp:posOffset>
                </wp:positionV>
                <wp:extent cx="6720459" cy="238125"/>
                <wp:effectExtent l="0" t="0" r="23495" b="28575"/>
                <wp:wrapNone/>
                <wp:docPr id="1741692565"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0459" cy="23812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B91985" id="Rectangle 13" o:spid="_x0000_s1026" style="position:absolute;margin-left:1.05pt;margin-top:12.95pt;width:529.15pt;height:18.7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z65lvCwIAABYEAAAOAAAAZHJzL2Uyb0RvYy54bWysU9uO0zAQfUfiHyy/0ySlXdqo6WqVUoS0 XKSFD3AdJ7FwPGbsNl2+nrHb7VaAeEDkwfJk7DNnzhyvbo+DYQeFXoOteDHJOVNWQqNtV/GvX7av Fpz5IGwjDFhV8Ufl+e365YvV6Eo1hR5Mo5ARiPXl6Creh+DKLPOyV4PwE3DKUrIFHESgELusQTES +mCyaZ7fZCNg4xCk8p7+bk5Jvk74batk+NS2XgVmKk7cQloxrbu4ZuuVKDsUrtfyTEP8A4tBaEtF L1AbEQTbo/4NatASwUMbJhKGDNpWS5V6oG6K/JduHnrhVOqFxPHuIpP/f7Dy4+HBfcZI3bt7kN88 s1D3wnbqDhHGXomGyhVRqGx0vrxciIGnq2w3foCGRiv2AZIGxxaHCEjdsWOS+vEitToGJunnzZtp PpsvOZOUm75eFNN5KiHKp9sOfXinYGBxU3GkUSZ0cbj3IbIR5dORxB6MbrbamBRgt6sNsoOgsdfb elNvzuj++pixbKz4ck61/w6Rp+9PEIMO5F+jh4ovLodEGWV7a5vkriC0Oe2JsrFnHaN00aW+3EHz SDIinMxJj4k2PeAPzkYyZsX9971AxZl5b2kUy2I2i05OwWxOOnKG15nddUZYSVAVD5ydtnU4uX/v UHc9VSpS7xbuaHytTso+szqTJfMlwc8PJbr7Ok6nnp/z+icAAAD//wMAUEsDBBQABgAIAAAAIQAr rZ7z3gAAAAgBAAAPAAAAZHJzL2Rvd25yZXYueG1sTI/NTsMwEITvSLyDtUjcqN0fIghxqrZShcQJ Ei7cNvGSpI3XUey24e1xT3AarWY08222nmwvzjT6zrGG+UyBIK6d6bjR8FnuH55A+IBssHdMGn7I wzq/vckwNe7CH3QuQiNiCfsUNbQhDKmUvm7Jop+5gTh63260GOI5NtKMeInltpcLpRJpseO40OJA u5bqY3GyGspNQuVQfe3p/W372h3CLlRYaH1/N21eQASawl8YrvgRHfLIVLkTGy96DYt5DEZ5fAZx tVWiViAqDclyBTLP5P8H8l8AAAD//wMAUEsBAi0AFAAGAAgAAAAhALaDOJL+AAAA4QEAABMAAAAA AAAAAAAAAAAAAAAAAFtDb250ZW50X1R5cGVzXS54bWxQSwECLQAUAAYACAAAACEAOP0h/9YAAACU AQAACwAAAAAAAAAAAAAAAAAvAQAAX3JlbHMvLnJlbHNQSwECLQAUAAYACAAAACEA8+uZbwsCAAAW BAAADgAAAAAAAAAAAAAAAAAuAgAAZHJzL2Uyb0RvYy54bWxQSwECLQAUAAYACAAAACEAK62e894A AAAIAQAADwAAAAAAAAAAAAAAAABlBAAAZHJzL2Rvd25yZXYueG1sUEsFBgAAAAAEAAQA8wAAAHAF AAAAAA== " fillcolor="#cfcdcd"/>
            </w:pict>
          </mc:Fallback>
        </mc:AlternateContent>
      </w:r>
      <w:r>
        <w:rPr>
          <w:b/>
          <w:smallCaps/>
          <w:sz w:val="20"/>
          <w:szCs w:val="20"/>
        </w:rPr>
        <w:t xml:space="preserve">        </w:t>
      </w:r>
    </w:p>
    <w:p w14:paraId="2C72B9EE" w14:textId="77777777" w:rsidR="00CD45BC" w:rsidRPr="00CD45BC" w:rsidRDefault="00CD45BC" w:rsidP="00CD45BC">
      <w:pPr>
        <w:spacing w:after="120" w:line="240" w:lineRule="auto"/>
        <w:jc w:val="center"/>
        <w:rPr>
          <w:b/>
          <w:smallCaps/>
          <w:sz w:val="20"/>
          <w:szCs w:val="20"/>
        </w:rPr>
      </w:pPr>
      <w:r>
        <w:rPr>
          <w:b/>
          <w:smallCaps/>
          <w:sz w:val="20"/>
          <w:szCs w:val="20"/>
        </w:rPr>
        <w:t>Language in gray boxes is only applicable to studies approved on/after January 21, 2019</w:t>
      </w:r>
    </w:p>
    <w:p w14:paraId="4853BCF9" w14:textId="77777777" w:rsidR="00CD45BC" w:rsidRPr="00CD45BC" w:rsidRDefault="00CD45BC" w:rsidP="00CD45BC">
      <w:pPr>
        <w:spacing w:after="0" w:line="240" w:lineRule="auto"/>
        <w:rPr>
          <w:b/>
          <w:smallCaps/>
        </w:rPr>
      </w:pPr>
    </w:p>
    <w:p w14:paraId="4F856A4F" w14:textId="77777777" w:rsidR="00CD45BC" w:rsidRPr="00CD45BC" w:rsidRDefault="00CD45BC" w:rsidP="00A07209">
      <w:pPr>
        <w:numPr>
          <w:ilvl w:val="0"/>
          <w:numId w:val="236"/>
        </w:numPr>
        <w:spacing w:after="0" w:line="240" w:lineRule="auto"/>
        <w:rPr>
          <w:b/>
          <w:smallCaps/>
        </w:rPr>
      </w:pPr>
      <w:r>
        <w:rPr>
          <w:b/>
        </w:rPr>
        <w:t>Overview</w:t>
      </w:r>
    </w:p>
    <w:p w14:paraId="4C4C27F9" w14:textId="77777777" w:rsidR="00CD45BC" w:rsidRPr="00CD45BC" w:rsidRDefault="00CD45BC" w:rsidP="00CD45BC">
      <w:pPr>
        <w:spacing w:after="0" w:line="240" w:lineRule="auto"/>
        <w:rPr>
          <w:b/>
          <w:smallCaps/>
        </w:rPr>
      </w:pPr>
    </w:p>
    <w:p w14:paraId="20A65C0B" w14:textId="77777777" w:rsidR="00CD45BC" w:rsidRPr="00CD45BC" w:rsidRDefault="00CD45BC" w:rsidP="00CD45BC">
      <w:pPr>
        <w:spacing w:after="0" w:line="240" w:lineRule="auto"/>
        <w:ind w:left="360"/>
      </w:pPr>
      <w:r>
        <w:t>Assent and parental (or guardian) permission must be obtained as required by federal regulations and IRB determinations for research involving children. Assent is generally required for children based on their ages, maturity, condition, and the nature of the research, unless assent can be appropriately waived or some or all of the children are not capable of providing assent.</w:t>
      </w:r>
    </w:p>
    <w:p w14:paraId="2925CAA5" w14:textId="77777777" w:rsidR="00CD45BC" w:rsidRPr="00CD45BC" w:rsidRDefault="00CD45BC" w:rsidP="00CD45BC">
      <w:pPr>
        <w:spacing w:after="0" w:line="240" w:lineRule="auto"/>
      </w:pPr>
    </w:p>
    <w:p w14:paraId="29DBDBB5" w14:textId="77777777" w:rsidR="00CD45BC" w:rsidRPr="00CD45BC" w:rsidRDefault="00CD45BC" w:rsidP="00CD45BC">
      <w:pPr>
        <w:spacing w:after="0" w:line="240" w:lineRule="auto"/>
        <w:ind w:left="360"/>
      </w:pPr>
      <w:r>
        <w:t>The purpose of this policy is to describe the requirements for assent and parental (or guardian) permission for research involving children.</w:t>
      </w:r>
    </w:p>
    <w:p w14:paraId="72887855" w14:textId="77777777" w:rsidR="00CD45BC" w:rsidRPr="00CD45BC" w:rsidRDefault="00CD45BC" w:rsidP="00CD45BC">
      <w:pPr>
        <w:spacing w:after="0" w:line="240" w:lineRule="auto"/>
        <w:rPr>
          <w:b/>
          <w:smallCaps/>
        </w:rPr>
      </w:pPr>
    </w:p>
    <w:p w14:paraId="787D3CF4" w14:textId="77777777" w:rsidR="00CD45BC" w:rsidRPr="00CD45BC" w:rsidRDefault="00CD45BC" w:rsidP="00A07209">
      <w:pPr>
        <w:numPr>
          <w:ilvl w:val="0"/>
          <w:numId w:val="236"/>
        </w:numPr>
        <w:spacing w:after="0" w:line="240" w:lineRule="auto"/>
        <w:ind w:left="0" w:firstLine="0"/>
        <w:rPr>
          <w:b/>
          <w:smallCaps/>
        </w:rPr>
      </w:pPr>
      <w:r>
        <w:rPr>
          <w:b/>
        </w:rPr>
        <w:t>Definitions</w:t>
      </w:r>
    </w:p>
    <w:p w14:paraId="77984204" w14:textId="77777777" w:rsidR="00CD45BC" w:rsidRPr="00CD45BC" w:rsidRDefault="00CD45BC" w:rsidP="00CD45BC">
      <w:pPr>
        <w:spacing w:after="0" w:line="240" w:lineRule="auto"/>
      </w:pPr>
    </w:p>
    <w:p w14:paraId="27298A84" w14:textId="77777777" w:rsidR="00CD45BC" w:rsidRPr="00CD45BC" w:rsidRDefault="00CD45BC" w:rsidP="00CD45BC">
      <w:pPr>
        <w:spacing w:after="0" w:line="240" w:lineRule="auto"/>
        <w:ind w:left="360"/>
      </w:pPr>
      <w:r>
        <w:rPr>
          <w:b/>
        </w:rPr>
        <w:t xml:space="preserve">Assent: </w:t>
      </w:r>
      <w:r>
        <w:t>Agreement to participate in research expressed by an individual (e.g., a child) who cannot provide legally effective informed consent to participate on his/her own behalf.</w:t>
      </w:r>
    </w:p>
    <w:p w14:paraId="7FB3B58D" w14:textId="77777777" w:rsidR="00CD45BC" w:rsidRPr="00CD45BC" w:rsidRDefault="00CD45BC" w:rsidP="00CD45BC">
      <w:pPr>
        <w:spacing w:after="0" w:line="240" w:lineRule="auto"/>
        <w:ind w:left="360"/>
        <w:rPr>
          <w:i/>
        </w:rPr>
      </w:pPr>
      <w:r>
        <w:rPr>
          <w:i/>
        </w:rPr>
        <w:t>Note: Failure to object does not constitute assent.</w:t>
      </w:r>
    </w:p>
    <w:p w14:paraId="2C48ECFE" w14:textId="77777777" w:rsidR="00CD45BC" w:rsidRPr="00CD45BC" w:rsidRDefault="00CD45BC" w:rsidP="00CD45BC">
      <w:pPr>
        <w:spacing w:after="0" w:line="240" w:lineRule="auto"/>
      </w:pPr>
    </w:p>
    <w:p w14:paraId="04B88F0A" w14:textId="77777777" w:rsidR="00CD45BC" w:rsidRPr="00CD45BC" w:rsidRDefault="00CD45BC" w:rsidP="00CD45BC">
      <w:pPr>
        <w:spacing w:after="0" w:line="240" w:lineRule="auto"/>
        <w:ind w:left="360"/>
      </w:pPr>
      <w:r>
        <w:rPr>
          <w:b/>
        </w:rPr>
        <w:t xml:space="preserve">Child/Children: </w:t>
      </w:r>
      <w:r>
        <w:t>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w:t>
      </w:r>
    </w:p>
    <w:p w14:paraId="3754200A" w14:textId="77777777" w:rsidR="00CD45BC" w:rsidRPr="00CD45BC" w:rsidRDefault="00CD45BC" w:rsidP="00CD45BC">
      <w:pPr>
        <w:spacing w:after="0" w:line="240" w:lineRule="auto"/>
      </w:pPr>
    </w:p>
    <w:p w14:paraId="315DFC52" w14:textId="77777777" w:rsidR="00CD45BC" w:rsidRPr="00CD45BC" w:rsidRDefault="00CD45BC" w:rsidP="00CD45BC">
      <w:pPr>
        <w:spacing w:after="60" w:line="240" w:lineRule="auto"/>
        <w:ind w:left="360"/>
      </w:pPr>
      <w:r>
        <w:rPr>
          <w:b/>
        </w:rPr>
        <w:t xml:space="preserve">Emancipated Minors: </w:t>
      </w:r>
      <w:r>
        <w:t>For purposes of HRPP policy, the following persons under the legal age of 18, who because of their unique circumstances have the legal rights of adults, including the right to consent to treatments or procedures involved in research:</w:t>
      </w:r>
    </w:p>
    <w:p w14:paraId="7DA5A3B6" w14:textId="77777777" w:rsidR="00CD45BC" w:rsidRPr="00CD45BC" w:rsidRDefault="00CD45BC" w:rsidP="00A07209">
      <w:pPr>
        <w:numPr>
          <w:ilvl w:val="0"/>
          <w:numId w:val="234"/>
        </w:numPr>
        <w:tabs>
          <w:tab w:val="num" w:pos="1080"/>
        </w:tabs>
        <w:spacing w:after="60" w:line="240" w:lineRule="auto"/>
        <w:ind w:left="1080"/>
      </w:pPr>
      <w:r>
        <w:t>Persons under the age of 18 on active duty in the military</w:t>
      </w:r>
    </w:p>
    <w:p w14:paraId="568679B9" w14:textId="77777777" w:rsidR="00CD45BC" w:rsidRPr="00CD45BC" w:rsidRDefault="00CD45BC" w:rsidP="00A07209">
      <w:pPr>
        <w:numPr>
          <w:ilvl w:val="0"/>
          <w:numId w:val="234"/>
        </w:numPr>
        <w:tabs>
          <w:tab w:val="num" w:pos="1080"/>
        </w:tabs>
        <w:spacing w:after="120" w:line="240" w:lineRule="auto"/>
        <w:ind w:left="1080"/>
      </w:pPr>
      <w:r>
        <w:t>Married persons under 18 years of age</w:t>
      </w:r>
    </w:p>
    <w:p w14:paraId="7FF88ABD" w14:textId="77777777" w:rsidR="00CD45BC" w:rsidRPr="00CD45BC" w:rsidRDefault="00CD45BC" w:rsidP="00CD45BC">
      <w:pPr>
        <w:spacing w:after="0" w:line="240" w:lineRule="auto"/>
        <w:ind w:left="360"/>
      </w:pPr>
      <w:r>
        <w:rPr>
          <w:i/>
        </w:rPr>
        <w:t>Note: Pregnancy or childbirth outside of marriage does not emancipate a minor in Ohio.</w:t>
      </w:r>
    </w:p>
    <w:p w14:paraId="7CEF815F" w14:textId="77777777" w:rsidR="00CD45BC" w:rsidRPr="00CD45BC" w:rsidRDefault="00CD45BC" w:rsidP="00CD45BC">
      <w:pPr>
        <w:spacing w:after="0" w:line="240" w:lineRule="auto"/>
      </w:pPr>
    </w:p>
    <w:p w14:paraId="0B431E83" w14:textId="77777777" w:rsidR="00CD45BC" w:rsidRPr="00CD45BC" w:rsidRDefault="00CD45BC" w:rsidP="00CD45BC">
      <w:pPr>
        <w:spacing w:after="0" w:line="240" w:lineRule="auto"/>
        <w:ind w:left="360"/>
        <w:rPr>
          <w:i/>
        </w:rPr>
      </w:pPr>
      <w:r>
        <w:rPr>
          <w:b/>
        </w:rPr>
        <w:t xml:space="preserve">Guardian: </w:t>
      </w:r>
      <w:r>
        <w:t xml:space="preserve">An individual who is authorized under applicable state or local law to consent on behalf of a child to general medical care. In Ohio, a guardian may be a grandparent, other family member, or other person, association, or agency other than the biological or adoptive parents who has been formally appointed as a guardian or legal representative by a court to care for a child, including to consent on behalf of a child to general medical care. </w:t>
      </w:r>
      <w:r>
        <w:rPr>
          <w:i/>
        </w:rPr>
        <w:t>Note: Grandparents or other family members who are not formally appointed as guardians or legal representatives by a court generally do not have the authority to provide consent on behalf of a child without consent by the child’s parents.</w:t>
      </w:r>
    </w:p>
    <w:p w14:paraId="28F64AF4" w14:textId="77777777" w:rsidR="00CD45BC" w:rsidRPr="00CD45BC" w:rsidRDefault="00CD45BC" w:rsidP="00CD45BC">
      <w:pPr>
        <w:spacing w:after="0" w:line="240" w:lineRule="auto"/>
      </w:pPr>
    </w:p>
    <w:p w14:paraId="0BA6316F" w14:textId="77777777" w:rsidR="00CD45BC" w:rsidRPr="00CD45BC" w:rsidRDefault="00CD45BC" w:rsidP="00CD45BC">
      <w:pPr>
        <w:spacing w:after="0" w:line="240" w:lineRule="auto"/>
        <w:ind w:left="360"/>
      </w:pPr>
      <w:r>
        <w:rPr>
          <w:b/>
        </w:rPr>
        <w:t xml:space="preserve">Parent: </w:t>
      </w:r>
      <w:r>
        <w:t xml:space="preserve">A child’s biological or adoptive mother or biological or adoptive father. </w:t>
      </w:r>
    </w:p>
    <w:p w14:paraId="01C32B0C" w14:textId="77777777" w:rsidR="00CD45BC" w:rsidRPr="00CD45BC" w:rsidRDefault="00CD45BC" w:rsidP="00CD45BC">
      <w:pPr>
        <w:spacing w:after="0" w:line="240" w:lineRule="auto"/>
      </w:pPr>
    </w:p>
    <w:p w14:paraId="375715EB" w14:textId="77777777" w:rsidR="00CD45BC" w:rsidRPr="00CD45BC" w:rsidRDefault="00CD45BC" w:rsidP="00CD45BC">
      <w:pPr>
        <w:spacing w:after="0" w:line="240" w:lineRule="auto"/>
        <w:ind w:left="360"/>
      </w:pPr>
      <w:r>
        <w:rPr>
          <w:b/>
        </w:rPr>
        <w:t xml:space="preserve">Permission: </w:t>
      </w:r>
      <w:r>
        <w:t>The agreement of a parent(s) or legal guardian to the participation of his/her child or ward in research.</w:t>
      </w:r>
    </w:p>
    <w:p w14:paraId="22F0B8CF" w14:textId="77777777" w:rsidR="00CD45BC" w:rsidRPr="00CD45BC" w:rsidRDefault="00CD45BC" w:rsidP="00CD45BC">
      <w:pPr>
        <w:spacing w:after="0" w:line="240" w:lineRule="auto"/>
      </w:pPr>
    </w:p>
    <w:p w14:paraId="07EE9EEA" w14:textId="77777777" w:rsidR="00CD45BC" w:rsidRPr="00CD45BC" w:rsidRDefault="00CD45BC" w:rsidP="00A07209">
      <w:pPr>
        <w:numPr>
          <w:ilvl w:val="0"/>
          <w:numId w:val="236"/>
        </w:numPr>
        <w:tabs>
          <w:tab w:val="left" w:pos="360"/>
        </w:tabs>
        <w:spacing w:after="0" w:line="240" w:lineRule="auto"/>
        <w:ind w:left="0" w:firstLine="0"/>
        <w:rPr>
          <w:b/>
        </w:rPr>
      </w:pPr>
      <w:r>
        <w:rPr>
          <w:b/>
        </w:rPr>
        <w:t>General Information</w:t>
      </w:r>
    </w:p>
    <w:p w14:paraId="685335F2" w14:textId="77777777" w:rsidR="00CD45BC" w:rsidRPr="00CD45BC" w:rsidRDefault="00CD45BC" w:rsidP="00CD45BC">
      <w:pPr>
        <w:tabs>
          <w:tab w:val="left" w:pos="360"/>
        </w:tabs>
        <w:spacing w:after="0" w:line="240" w:lineRule="auto"/>
        <w:rPr>
          <w:b/>
        </w:rPr>
      </w:pPr>
    </w:p>
    <w:p w14:paraId="5B4974EE" w14:textId="77777777" w:rsidR="00CD45BC" w:rsidRPr="00CD45BC" w:rsidRDefault="00CD45BC" w:rsidP="00A07209">
      <w:pPr>
        <w:numPr>
          <w:ilvl w:val="0"/>
          <w:numId w:val="225"/>
        </w:numPr>
        <w:tabs>
          <w:tab w:val="left" w:pos="360"/>
        </w:tabs>
        <w:spacing w:after="0" w:line="240" w:lineRule="auto"/>
        <w:ind w:left="1080"/>
        <w:rPr>
          <w:b/>
        </w:rPr>
      </w:pPr>
      <w:r>
        <w:t xml:space="preserve">The requirements for obtaining the informed consent of research participants or their legally authorized representatives apply when children are the subjects of research, unless these requirements are waived by the IRB. A parent (one or both) or, in some cases, a guardian must provide permission for his/her child to </w:t>
      </w:r>
      <w:r>
        <w:lastRenderedPageBreak/>
        <w:t xml:space="preserve">participate in research based on sufficient information and </w:t>
      </w:r>
      <w:r>
        <w:rPr>
          <w:color w:val="000000"/>
        </w:rPr>
        <w:t xml:space="preserve">adequate opportunity to consider the child’s voluntary participation. For more information about the </w:t>
      </w:r>
      <w:r>
        <w:t>requirements for informed consent processes see HRPP policy [</w:t>
      </w:r>
      <w:hyperlink r:id="rId232" w:history="1">
        <w:r>
          <w:rPr>
            <w:color w:val="0000FF"/>
            <w:u w:val="single"/>
          </w:rPr>
          <w:t>Informed Consent Process and the Elements of Informed Consent</w:t>
        </w:r>
      </w:hyperlink>
      <w:r>
        <w:t>].</w:t>
      </w:r>
    </w:p>
    <w:p w14:paraId="2C17BD82" w14:textId="77777777" w:rsidR="00CD45BC" w:rsidRPr="00CD45BC" w:rsidRDefault="00CD45BC" w:rsidP="00CD45BC">
      <w:pPr>
        <w:tabs>
          <w:tab w:val="left" w:pos="360"/>
        </w:tabs>
        <w:spacing w:after="0" w:line="240" w:lineRule="auto"/>
        <w:rPr>
          <w:b/>
        </w:rPr>
      </w:pPr>
    </w:p>
    <w:p w14:paraId="25CDDF0C" w14:textId="77777777" w:rsidR="00CD45BC" w:rsidRPr="00CD45BC" w:rsidRDefault="00CD45BC" w:rsidP="00A07209">
      <w:pPr>
        <w:numPr>
          <w:ilvl w:val="0"/>
          <w:numId w:val="225"/>
        </w:numPr>
        <w:tabs>
          <w:tab w:val="left" w:pos="360"/>
        </w:tabs>
        <w:spacing w:after="0" w:line="240" w:lineRule="auto"/>
        <w:ind w:left="1080"/>
        <w:rPr>
          <w:b/>
        </w:rPr>
      </w:pPr>
      <w:r>
        <w:rPr>
          <w:bCs/>
        </w:rPr>
        <w:t>The requirement for documenting informed consent by use of a written consent form (electronic or hard copy) approved by the IRB and signed by the subject or the subject’s legally authorized representative</w:t>
      </w:r>
      <w:r>
        <w:t xml:space="preserve"> applies when children are the subjects of research unless this requirement is waived by the IRB. A parent (one or both) or, in some cases, a guardian must document permission for his/her child to participate in research as </w:t>
      </w:r>
      <w:hyperlink w:anchor="parentperm" w:history="1">
        <w:r>
          <w:rPr>
            <w:color w:val="0000FF"/>
            <w:u w:val="single"/>
          </w:rPr>
          <w:t>described below</w:t>
        </w:r>
      </w:hyperlink>
      <w:r>
        <w:t xml:space="preserve"> and in HRPP policy [</w:t>
      </w:r>
      <w:hyperlink r:id="rId233" w:history="1">
        <w:r>
          <w:rPr>
            <w:color w:val="0000FF"/>
            <w:u w:val="single"/>
          </w:rPr>
          <w:t>Documentation of the Informed Consent Process</w:t>
        </w:r>
      </w:hyperlink>
      <w:r>
        <w:t>].</w:t>
      </w:r>
    </w:p>
    <w:p w14:paraId="65F29963" w14:textId="77777777" w:rsidR="00CD45BC" w:rsidRPr="00CD45BC" w:rsidRDefault="00CD45BC" w:rsidP="00CD45BC">
      <w:pPr>
        <w:tabs>
          <w:tab w:val="left" w:pos="360"/>
        </w:tabs>
        <w:spacing w:after="0" w:line="240" w:lineRule="auto"/>
      </w:pPr>
    </w:p>
    <w:p w14:paraId="26F3567D" w14:textId="77777777" w:rsidR="00CD45BC" w:rsidRPr="00CD45BC" w:rsidRDefault="00CD45BC" w:rsidP="00A07209">
      <w:pPr>
        <w:numPr>
          <w:ilvl w:val="0"/>
          <w:numId w:val="225"/>
        </w:numPr>
        <w:tabs>
          <w:tab w:val="left" w:pos="360"/>
        </w:tabs>
        <w:spacing w:after="0" w:line="240" w:lineRule="auto"/>
        <w:ind w:left="1080"/>
        <w:rPr>
          <w:b/>
        </w:rPr>
      </w:pPr>
      <w:r>
        <w:t xml:space="preserve">Although according to federal regulations children cannot provide valid informed consent to participate in research, they may be able to assent to participation. In general, investigators should obtain the assent of children to participate in research whenever children are capable of assenting. The IRB is responsible for determining when the assent of some or all children is required in proposed research and the appropriate method for documenting a child’s assent (if any), as </w:t>
      </w:r>
      <w:hyperlink w:anchor="docassent" w:history="1">
        <w:r>
          <w:rPr>
            <w:color w:val="0000FF"/>
            <w:u w:val="single"/>
          </w:rPr>
          <w:t>described below</w:t>
        </w:r>
      </w:hyperlink>
      <w:r>
        <w:t>.</w:t>
      </w:r>
    </w:p>
    <w:p w14:paraId="6049C5FC" w14:textId="77777777" w:rsidR="00CD45BC" w:rsidRPr="00CD45BC" w:rsidRDefault="00CD45BC" w:rsidP="00CD45BC">
      <w:pPr>
        <w:tabs>
          <w:tab w:val="left" w:pos="360"/>
        </w:tabs>
        <w:spacing w:after="0" w:line="240" w:lineRule="auto"/>
        <w:rPr>
          <w:b/>
        </w:rPr>
      </w:pPr>
    </w:p>
    <w:p w14:paraId="093D46D1" w14:textId="77777777" w:rsidR="00CD45BC" w:rsidRPr="00CD45BC" w:rsidRDefault="00CD45BC" w:rsidP="00A07209">
      <w:pPr>
        <w:numPr>
          <w:ilvl w:val="0"/>
          <w:numId w:val="225"/>
        </w:numPr>
        <w:tabs>
          <w:tab w:val="left" w:pos="720"/>
        </w:tabs>
        <w:spacing w:after="0" w:line="240" w:lineRule="auto"/>
        <w:ind w:left="1080"/>
      </w:pPr>
      <w:r>
        <w:t>Assent may also be appropriate for adults with diminished decision-making capacity and other adults unable to consent for themselves, for whom a legally authorized representative will provide informed consent. For more information about assent in adults see HRPP policy [</w:t>
      </w:r>
      <w:hyperlink r:id="rId234" w:history="1">
        <w:r>
          <w:rPr>
            <w:color w:val="0000FF"/>
            <w:u w:val="single"/>
          </w:rPr>
          <w:t>Vulnerable Populations: Students, Employees, and Adults with Impaired Decision-Making Capacity</w:t>
        </w:r>
      </w:hyperlink>
      <w:r>
        <w:t>].</w:t>
      </w:r>
    </w:p>
    <w:p w14:paraId="0ED2737B" w14:textId="77777777" w:rsidR="00CD45BC" w:rsidRPr="00CD45BC" w:rsidRDefault="00CD45BC" w:rsidP="00CD45BC">
      <w:pPr>
        <w:tabs>
          <w:tab w:val="left" w:pos="360"/>
        </w:tabs>
        <w:spacing w:after="0" w:line="240" w:lineRule="auto"/>
        <w:rPr>
          <w:b/>
        </w:rPr>
      </w:pPr>
    </w:p>
    <w:p w14:paraId="3AA4E7F6" w14:textId="77777777" w:rsidR="00CD45BC" w:rsidRPr="00CD45BC" w:rsidRDefault="00CD45BC" w:rsidP="00A07209">
      <w:pPr>
        <w:numPr>
          <w:ilvl w:val="0"/>
          <w:numId w:val="236"/>
        </w:numPr>
        <w:tabs>
          <w:tab w:val="left" w:pos="360"/>
        </w:tabs>
        <w:spacing w:after="0" w:line="240" w:lineRule="auto"/>
        <w:ind w:left="0" w:firstLine="0"/>
        <w:rPr>
          <w:b/>
        </w:rPr>
      </w:pPr>
      <w:r>
        <w:rPr>
          <w:b/>
        </w:rPr>
        <w:t>Assent of Children</w:t>
      </w:r>
    </w:p>
    <w:p w14:paraId="63639DA2" w14:textId="77777777" w:rsidR="00CD45BC" w:rsidRPr="00CD45BC" w:rsidRDefault="00CD45BC" w:rsidP="00CD45BC">
      <w:pPr>
        <w:spacing w:after="0" w:line="240" w:lineRule="auto"/>
        <w:rPr>
          <w:b/>
        </w:rPr>
      </w:pPr>
    </w:p>
    <w:p w14:paraId="7FA344D0" w14:textId="77777777" w:rsidR="00CD45BC" w:rsidRPr="00CD45BC" w:rsidRDefault="00CD45BC" w:rsidP="00CD45BC">
      <w:pPr>
        <w:spacing w:after="0" w:line="240" w:lineRule="auto"/>
        <w:ind w:left="360"/>
      </w:pPr>
      <w:r>
        <w:t>For research involving children, the requirements for obtaining and documenting a child’s assent and waiver of these requirements are described below. Additional requirements for research involving children are described in HRPP policy [</w:t>
      </w:r>
      <w:hyperlink r:id="rId235" w:history="1">
        <w:r>
          <w:rPr>
            <w:color w:val="0000FF"/>
            <w:u w:val="single"/>
          </w:rPr>
          <w:t>Research Involving Children</w:t>
        </w:r>
      </w:hyperlink>
      <w:r>
        <w:t>].</w:t>
      </w:r>
    </w:p>
    <w:p w14:paraId="3593CE28" w14:textId="77777777" w:rsidR="00CD45BC" w:rsidRPr="00CD45BC" w:rsidRDefault="00CD45BC" w:rsidP="00CD45BC">
      <w:pPr>
        <w:spacing w:after="0" w:line="240" w:lineRule="auto"/>
      </w:pPr>
    </w:p>
    <w:p w14:paraId="0258B245" w14:textId="77777777" w:rsidR="00CD45BC" w:rsidRPr="00CD45BC" w:rsidRDefault="00CD45BC" w:rsidP="00CD45BC">
      <w:pPr>
        <w:tabs>
          <w:tab w:val="left" w:pos="720"/>
        </w:tabs>
        <w:spacing w:after="0" w:line="240" w:lineRule="auto"/>
        <w:ind w:left="360"/>
        <w:rPr>
          <w:b/>
        </w:rPr>
      </w:pPr>
      <w:r>
        <w:rPr>
          <w:b/>
        </w:rPr>
        <w:t>4.1</w:t>
      </w:r>
      <w:r>
        <w:rPr>
          <w:b/>
        </w:rPr>
        <w:tab/>
        <w:t>Assent Process</w:t>
      </w:r>
    </w:p>
    <w:p w14:paraId="1FBBBD76" w14:textId="77777777" w:rsidR="00CD45BC" w:rsidRPr="00CD45BC" w:rsidRDefault="00CD45BC" w:rsidP="00CD45BC">
      <w:pPr>
        <w:spacing w:after="0" w:line="240" w:lineRule="auto"/>
        <w:ind w:left="288"/>
      </w:pPr>
    </w:p>
    <w:p w14:paraId="00601AC9" w14:textId="77777777" w:rsidR="00CD45BC" w:rsidRPr="00CD45BC" w:rsidRDefault="00CD45BC" w:rsidP="00A07209">
      <w:pPr>
        <w:numPr>
          <w:ilvl w:val="0"/>
          <w:numId w:val="226"/>
        </w:numPr>
        <w:spacing w:after="0" w:line="240" w:lineRule="auto"/>
        <w:ind w:left="1080"/>
      </w:pPr>
      <w:r>
        <w:t>In addition to the requirements for parental or guardian permission, adequate provisions for soliciting the assent of a child to participate in research are required when the child is capable of providing assent. In determining whether proposed participants are capable of assenting, investigators and IRBs will take into account the ages, maturity, condition, and psychological/emotional states of the children involved. The IRB’s determination of the children’s capacity to assent may apply to some or all of the children to be involved in a proposed research activity.</w:t>
      </w:r>
    </w:p>
    <w:p w14:paraId="01F03D02" w14:textId="77777777" w:rsidR="00CD45BC" w:rsidRPr="00CD45BC" w:rsidRDefault="00CD45BC" w:rsidP="00CD45BC">
      <w:pPr>
        <w:spacing w:after="0" w:line="240" w:lineRule="auto"/>
        <w:ind w:left="720"/>
      </w:pPr>
    </w:p>
    <w:p w14:paraId="78611ABD" w14:textId="77777777" w:rsidR="00CD45BC" w:rsidRPr="00CD45BC" w:rsidRDefault="00CD45BC" w:rsidP="00A07209">
      <w:pPr>
        <w:numPr>
          <w:ilvl w:val="0"/>
          <w:numId w:val="226"/>
        </w:numPr>
        <w:spacing w:after="0" w:line="240" w:lineRule="auto"/>
        <w:ind w:left="1080"/>
      </w:pPr>
      <w:r>
        <w:t>Assent processes are to include the key elements of informed consent described in HRPP policy [</w:t>
      </w:r>
      <w:hyperlink r:id="rId236" w:history="1">
        <w:r>
          <w:rPr>
            <w:color w:val="0000FF"/>
            <w:u w:val="single"/>
          </w:rPr>
          <w:t>Informed Consent Process and the Elements of Informed Consent</w:t>
        </w:r>
      </w:hyperlink>
      <w:r>
        <w:t>] and are to be provided in language appropriate for children, based on the nature of the study and the expected capacity of the potential participant(s) to understand the purpose and the procedures involved in the research.</w:t>
      </w:r>
    </w:p>
    <w:p w14:paraId="404BC8E6" w14:textId="77777777" w:rsidR="00CD45BC" w:rsidRPr="00CD45BC" w:rsidRDefault="00CD45BC" w:rsidP="00CD45BC">
      <w:pPr>
        <w:spacing w:after="0" w:line="240" w:lineRule="auto"/>
        <w:rPr>
          <w:color w:val="000000"/>
        </w:rPr>
      </w:pPr>
    </w:p>
    <w:p w14:paraId="3666EA1C" w14:textId="77777777" w:rsidR="00CD45BC" w:rsidRPr="00CD45BC" w:rsidRDefault="00CD45BC" w:rsidP="00A07209">
      <w:pPr>
        <w:numPr>
          <w:ilvl w:val="0"/>
          <w:numId w:val="226"/>
        </w:numPr>
        <w:spacing w:after="0" w:line="240" w:lineRule="auto"/>
        <w:ind w:left="1080"/>
      </w:pPr>
      <w:r>
        <w:rPr>
          <w:color w:val="000000"/>
        </w:rPr>
        <w:t>For research activities involving older children or adolescents whose capacity to understand is similar to that of adults, the assent process will include information similar to what would be provided for informed consent by adults or for parental/guardian permission. For children whose age and/or maturity level limits their ability to fully understand the research but who are still capable of being consulted about participating, it may be appropriate to focus only on providing an accurate description of the experience itself (e.g., what will happen, how long it will take, whether it might involve any pain or discomfort, etc.).</w:t>
      </w:r>
    </w:p>
    <w:p w14:paraId="253003BF" w14:textId="77777777" w:rsidR="00CD45BC" w:rsidRPr="00CD45BC" w:rsidRDefault="00CD45BC" w:rsidP="00CD45BC">
      <w:pPr>
        <w:spacing w:after="0" w:line="240" w:lineRule="auto"/>
      </w:pPr>
    </w:p>
    <w:p w14:paraId="3E0C8C7B" w14:textId="77777777" w:rsidR="00CD45BC" w:rsidRPr="00CD45BC" w:rsidRDefault="00CD45BC" w:rsidP="00A07209">
      <w:pPr>
        <w:numPr>
          <w:ilvl w:val="0"/>
          <w:numId w:val="226"/>
        </w:numPr>
        <w:spacing w:after="60" w:line="240" w:lineRule="auto"/>
        <w:ind w:left="1080"/>
      </w:pPr>
      <w:r>
        <w:t>The assent of children to participate in research is to be obtained except in the following circumstances:</w:t>
      </w:r>
    </w:p>
    <w:p w14:paraId="02761936" w14:textId="77777777" w:rsidR="00CD45BC" w:rsidRPr="00CD45BC" w:rsidRDefault="00CD45BC" w:rsidP="00A07209">
      <w:pPr>
        <w:numPr>
          <w:ilvl w:val="0"/>
          <w:numId w:val="222"/>
        </w:numPr>
        <w:tabs>
          <w:tab w:val="num" w:pos="1800"/>
          <w:tab w:val="num" w:pos="2592"/>
        </w:tabs>
        <w:spacing w:after="60" w:line="240" w:lineRule="auto"/>
        <w:ind w:left="1800"/>
      </w:pPr>
      <w:r>
        <w:t>The children are not capable of providing assent based on age, maturity, or psychological state.</w:t>
      </w:r>
    </w:p>
    <w:p w14:paraId="07B1EDE2" w14:textId="77777777" w:rsidR="00CD45BC" w:rsidRPr="00CD45BC" w:rsidRDefault="00CD45BC" w:rsidP="00A07209">
      <w:pPr>
        <w:numPr>
          <w:ilvl w:val="0"/>
          <w:numId w:val="222"/>
        </w:numPr>
        <w:tabs>
          <w:tab w:val="num" w:pos="1800"/>
          <w:tab w:val="num" w:pos="2592"/>
        </w:tabs>
        <w:spacing w:after="60" w:line="240" w:lineRule="auto"/>
        <w:ind w:left="1800"/>
      </w:pPr>
      <w:r>
        <w:t>The capability of some or all of the children is so limited that they cannot reasonably be consulted.</w:t>
      </w:r>
    </w:p>
    <w:p w14:paraId="4FFFB299" w14:textId="77777777" w:rsidR="00CD45BC" w:rsidRPr="00CD45BC" w:rsidRDefault="00CD45BC" w:rsidP="00A07209">
      <w:pPr>
        <w:numPr>
          <w:ilvl w:val="0"/>
          <w:numId w:val="222"/>
        </w:numPr>
        <w:tabs>
          <w:tab w:val="num" w:pos="1800"/>
          <w:tab w:val="num" w:pos="2592"/>
        </w:tabs>
        <w:spacing w:after="60" w:line="240" w:lineRule="auto"/>
        <w:ind w:left="1800"/>
      </w:pPr>
      <w:r>
        <w:lastRenderedPageBreak/>
        <w:t>The intervention or procedure involved in the research holds out a prospect of direct benefit to the health or well-being of the children and is available only in the context of the research.</w:t>
      </w:r>
    </w:p>
    <w:p w14:paraId="1F736A98" w14:textId="77777777" w:rsidR="00CD45BC" w:rsidRPr="00CD45BC" w:rsidRDefault="00CD45BC" w:rsidP="00A07209">
      <w:pPr>
        <w:numPr>
          <w:ilvl w:val="0"/>
          <w:numId w:val="222"/>
        </w:numPr>
        <w:tabs>
          <w:tab w:val="num" w:pos="1800"/>
          <w:tab w:val="num" w:pos="2592"/>
        </w:tabs>
        <w:spacing w:after="0" w:line="240" w:lineRule="auto"/>
        <w:ind w:left="1800"/>
      </w:pPr>
      <w:r>
        <w:t>Assent can be waived using the criteria for waiver (or alteration) of informed consent or parental/guardian permission, as described below (see “</w:t>
      </w:r>
      <w:hyperlink w:anchor="waiver" w:history="1">
        <w:r>
          <w:rPr>
            <w:color w:val="0000FF"/>
            <w:u w:val="single"/>
          </w:rPr>
          <w:t>Waiver or Alteration of Parental Permission</w:t>
        </w:r>
      </w:hyperlink>
      <w:r>
        <w:t>”).</w:t>
      </w:r>
    </w:p>
    <w:p w14:paraId="29CD1DAA" w14:textId="77777777" w:rsidR="00CD45BC" w:rsidRPr="00CD45BC" w:rsidRDefault="00CD45BC" w:rsidP="00CD45BC">
      <w:pPr>
        <w:spacing w:after="0" w:line="240" w:lineRule="auto"/>
        <w:ind w:left="1080"/>
      </w:pPr>
    </w:p>
    <w:p w14:paraId="3CF7D16F" w14:textId="77777777" w:rsidR="00CD45BC" w:rsidRPr="00CD45BC" w:rsidRDefault="00CD45BC" w:rsidP="00A07209">
      <w:pPr>
        <w:numPr>
          <w:ilvl w:val="0"/>
          <w:numId w:val="232"/>
        </w:numPr>
        <w:spacing w:after="0" w:line="240" w:lineRule="auto"/>
        <w:ind w:left="1080"/>
      </w:pPr>
      <w:r>
        <w:t xml:space="preserve">The IRBs may determine that the assent of </w:t>
      </w:r>
      <w:r>
        <w:rPr>
          <w:b/>
        </w:rPr>
        <w:t xml:space="preserve">some </w:t>
      </w:r>
      <w:r>
        <w:t>or</w:t>
      </w:r>
      <w:r>
        <w:rPr>
          <w:b/>
        </w:rPr>
        <w:t xml:space="preserve"> all</w:t>
      </w:r>
      <w:r>
        <w:t xml:space="preserve"> children is not required. If assent is not a requirement of </w:t>
      </w:r>
      <w:r>
        <w:rPr>
          <w:b/>
        </w:rPr>
        <w:t>some</w:t>
      </w:r>
      <w:r>
        <w:t xml:space="preserve"> children, the IRB will indicate which children (e.g., children less than 2 years old) are not required to assent.</w:t>
      </w:r>
    </w:p>
    <w:p w14:paraId="0A2A5E87" w14:textId="77777777" w:rsidR="00CD45BC" w:rsidRPr="00CD45BC" w:rsidRDefault="00CD45BC" w:rsidP="00CD45BC">
      <w:pPr>
        <w:spacing w:after="0" w:line="240" w:lineRule="auto"/>
        <w:rPr>
          <w:b/>
        </w:rPr>
      </w:pPr>
    </w:p>
    <w:p w14:paraId="1679144C" w14:textId="77777777" w:rsidR="00CD45BC" w:rsidRPr="00CD45BC" w:rsidRDefault="00CD45BC" w:rsidP="00CD45BC">
      <w:pPr>
        <w:tabs>
          <w:tab w:val="left" w:pos="720"/>
        </w:tabs>
        <w:spacing w:after="0" w:line="240" w:lineRule="auto"/>
        <w:ind w:left="360"/>
        <w:rPr>
          <w:b/>
        </w:rPr>
      </w:pPr>
      <w:r>
        <w:rPr>
          <w:b/>
        </w:rPr>
        <w:t>4.2</w:t>
      </w:r>
      <w:r>
        <w:rPr>
          <w:b/>
        </w:rPr>
        <w:tab/>
      </w:r>
      <w:bookmarkStart w:id="302" w:name="docassent"/>
      <w:bookmarkEnd w:id="302"/>
      <w:r>
        <w:rPr>
          <w:b/>
        </w:rPr>
        <w:t>Documentation of Assent</w:t>
      </w:r>
    </w:p>
    <w:p w14:paraId="3E0C6460" w14:textId="77777777" w:rsidR="00CD45BC" w:rsidRPr="00CD45BC" w:rsidRDefault="00CD45BC" w:rsidP="00CD45BC">
      <w:pPr>
        <w:spacing w:after="0" w:line="240" w:lineRule="auto"/>
      </w:pPr>
    </w:p>
    <w:p w14:paraId="7C739CA0" w14:textId="77777777" w:rsidR="00CD45BC" w:rsidRPr="00CD45BC" w:rsidRDefault="00CD45BC" w:rsidP="00A07209">
      <w:pPr>
        <w:numPr>
          <w:ilvl w:val="0"/>
          <w:numId w:val="227"/>
        </w:numPr>
        <w:spacing w:after="0" w:line="240" w:lineRule="auto"/>
        <w:ind w:left="1080"/>
      </w:pPr>
      <w:r>
        <w:t>When a child’s assent is required, investigators and IRBs must determine the appropriate method, if any, of documenting assent. This decision should be based on considerations such as the length and complexity of the research and the child’s age, maturity, and degree of literacy.</w:t>
      </w:r>
    </w:p>
    <w:p w14:paraId="7A4C9996" w14:textId="77777777" w:rsidR="00CD45BC" w:rsidRPr="00CD45BC" w:rsidRDefault="00CD45BC" w:rsidP="00CD45BC">
      <w:pPr>
        <w:spacing w:after="0" w:line="240" w:lineRule="auto"/>
        <w:ind w:left="1080"/>
      </w:pPr>
    </w:p>
    <w:p w14:paraId="67AD0C3F" w14:textId="77777777" w:rsidR="00CD45BC" w:rsidRPr="00CD45BC" w:rsidRDefault="00CD45BC" w:rsidP="00A07209">
      <w:pPr>
        <w:numPr>
          <w:ilvl w:val="0"/>
          <w:numId w:val="227"/>
        </w:numPr>
        <w:spacing w:after="0" w:line="240" w:lineRule="auto"/>
        <w:ind w:left="1080"/>
      </w:pPr>
      <w:r>
        <w:t>If older children or adolescents will be involved in research for which a consent form would have been used if the participants were adults, a similar form to document the child’s assent is generally appropriate. For younger children who are as yet unable to read or other children unlikely to be familiar with signing documents (e.g., through prior experience with testing or other procedures normally encountered in their lives), documentation of assent may be limited to verifying that assent took place using a witness or other method. Alternatively, the IRB may decide that documentation of assent for children of any age is not warranted.</w:t>
      </w:r>
    </w:p>
    <w:p w14:paraId="74BBB75B" w14:textId="77777777" w:rsidR="00CD45BC" w:rsidRPr="00CD45BC" w:rsidRDefault="00CD45BC" w:rsidP="00CD45BC">
      <w:pPr>
        <w:spacing w:after="0" w:line="240" w:lineRule="auto"/>
        <w:ind w:left="720"/>
      </w:pPr>
    </w:p>
    <w:p w14:paraId="60762288" w14:textId="77777777" w:rsidR="00CD45BC" w:rsidRPr="00CD45BC" w:rsidRDefault="00CD45BC" w:rsidP="00A07209">
      <w:pPr>
        <w:numPr>
          <w:ilvl w:val="0"/>
          <w:numId w:val="227"/>
        </w:numPr>
        <w:spacing w:after="0" w:line="240" w:lineRule="auto"/>
        <w:ind w:left="1080"/>
      </w:pPr>
      <w:r>
        <w:t>Assent form templates containing the basic elements of informed consent are available on the ORRP website. When documentation of assent is required, use of the applicable assent template language is generally required. Alternatively, based on the age and literacy level of the children and nature of the research, for some studies investigators may add an assent signature line to the consent document that parents will sign. The IRBs can also approve assent forms on a case-by-case basis in other formats that may more appropriately satisfy requirements for obtaining and documenting assent.</w:t>
      </w:r>
    </w:p>
    <w:p w14:paraId="2F179AA4" w14:textId="77777777" w:rsidR="00CD45BC" w:rsidRPr="00CD45BC" w:rsidRDefault="00CD45BC" w:rsidP="00CD45BC">
      <w:pPr>
        <w:spacing w:after="0" w:line="240" w:lineRule="auto"/>
        <w:ind w:left="1080"/>
      </w:pPr>
    </w:p>
    <w:p w14:paraId="37945A3F" w14:textId="77777777" w:rsidR="00CD45BC" w:rsidRPr="00CD45BC" w:rsidRDefault="00CD45BC" w:rsidP="00A07209">
      <w:pPr>
        <w:numPr>
          <w:ilvl w:val="0"/>
          <w:numId w:val="227"/>
        </w:numPr>
        <w:spacing w:after="0" w:line="240" w:lineRule="auto"/>
        <w:ind w:left="1080"/>
      </w:pPr>
      <w:r>
        <w:t>When documentation of assent is required for studies involving children of various ages, more than one assent form may be necessary depending on the intellectual and emotional ability of the children to comprehend the concepts involved (e.g., a form with a fully detailed explanation for older children and a shorter, simpler document for younger children).</w:t>
      </w:r>
    </w:p>
    <w:p w14:paraId="51570677" w14:textId="77777777" w:rsidR="00CD45BC" w:rsidRPr="00CD45BC" w:rsidRDefault="00CD45BC" w:rsidP="00CD45BC">
      <w:pPr>
        <w:spacing w:after="0" w:line="240" w:lineRule="auto"/>
        <w:ind w:left="1080"/>
      </w:pPr>
    </w:p>
    <w:p w14:paraId="129FEC6F" w14:textId="77777777" w:rsidR="00CD45BC" w:rsidRPr="00CD45BC" w:rsidRDefault="00CD45BC" w:rsidP="00A07209">
      <w:pPr>
        <w:numPr>
          <w:ilvl w:val="0"/>
          <w:numId w:val="227"/>
        </w:numPr>
        <w:spacing w:after="0" w:line="240" w:lineRule="auto"/>
        <w:ind w:left="1080"/>
      </w:pPr>
      <w:r>
        <w:t>If verbal assent will be obtained, the IRB must review a written description of the information (i.e., a “script”) that will be provided to children during the assent process.</w:t>
      </w:r>
    </w:p>
    <w:p w14:paraId="1C3E12B4" w14:textId="77777777" w:rsidR="00CD45BC" w:rsidRPr="00CD45BC" w:rsidRDefault="00CD45BC" w:rsidP="00CD45BC">
      <w:pPr>
        <w:spacing w:after="0" w:line="240" w:lineRule="auto"/>
        <w:rPr>
          <w:b/>
        </w:rPr>
      </w:pPr>
    </w:p>
    <w:p w14:paraId="14603598" w14:textId="77777777" w:rsidR="00CD45BC" w:rsidRPr="00CD45BC" w:rsidRDefault="00CD45BC" w:rsidP="00A07209">
      <w:pPr>
        <w:numPr>
          <w:ilvl w:val="0"/>
          <w:numId w:val="228"/>
        </w:numPr>
        <w:tabs>
          <w:tab w:val="num" w:pos="360"/>
        </w:tabs>
        <w:spacing w:after="0" w:line="240" w:lineRule="auto"/>
        <w:ind w:left="360"/>
        <w:rPr>
          <w:b/>
        </w:rPr>
      </w:pPr>
      <w:bookmarkStart w:id="303" w:name="parentperm"/>
      <w:bookmarkEnd w:id="303"/>
      <w:r>
        <w:rPr>
          <w:b/>
        </w:rPr>
        <w:t>Parental Permission</w:t>
      </w:r>
    </w:p>
    <w:p w14:paraId="49F4D685" w14:textId="77777777" w:rsidR="00CD45BC" w:rsidRPr="00CD45BC" w:rsidRDefault="00CD45BC" w:rsidP="00CD45BC">
      <w:pPr>
        <w:spacing w:after="0" w:line="240" w:lineRule="auto"/>
      </w:pPr>
    </w:p>
    <w:p w14:paraId="50D67F09" w14:textId="77777777" w:rsidR="00CD45BC" w:rsidRPr="00CD45BC" w:rsidRDefault="00CD45BC" w:rsidP="00A07209">
      <w:pPr>
        <w:numPr>
          <w:ilvl w:val="0"/>
          <w:numId w:val="223"/>
        </w:numPr>
        <w:spacing w:after="0" w:line="240" w:lineRule="auto"/>
      </w:pPr>
      <w:r>
        <w:t>For research involving children, the permission of a parent(s) or guardian must be obtained and documented for his/her child to participate in research, unless these requirements are waived by the IRB. The requirements for informed consent processes apply when children are the subjects of research, including disclosure (to parents or guardians) of the basic and additional elements of consent.</w:t>
      </w:r>
      <w:r>
        <w:rPr>
          <w:color w:val="000000"/>
        </w:rPr>
        <w:t xml:space="preserve"> For more information about the </w:t>
      </w:r>
      <w:r>
        <w:t>requirements for informed consent see HRPP policies [</w:t>
      </w:r>
      <w:hyperlink r:id="rId237" w:history="1">
        <w:r>
          <w:rPr>
            <w:color w:val="0000FF"/>
            <w:u w:val="single"/>
          </w:rPr>
          <w:t>Informed Consent Process and the Elements of Informed Consent</w:t>
        </w:r>
      </w:hyperlink>
      <w:r>
        <w:t>] and [</w:t>
      </w:r>
      <w:hyperlink r:id="rId238" w:history="1">
        <w:r>
          <w:rPr>
            <w:color w:val="0000FF"/>
            <w:u w:val="single"/>
          </w:rPr>
          <w:t>Documentation of the Informed Consent Process</w:t>
        </w:r>
      </w:hyperlink>
      <w:r>
        <w:t>].</w:t>
      </w:r>
    </w:p>
    <w:p w14:paraId="4FD46A7D" w14:textId="77777777" w:rsidR="00CD45BC" w:rsidRPr="00CD45BC" w:rsidRDefault="00CD45BC" w:rsidP="00CD45BC">
      <w:pPr>
        <w:spacing w:after="0" w:line="240" w:lineRule="auto"/>
        <w:ind w:left="720"/>
      </w:pPr>
    </w:p>
    <w:p w14:paraId="23061EAB" w14:textId="77777777" w:rsidR="00CD45BC" w:rsidRPr="00CD45BC" w:rsidRDefault="00CD45BC" w:rsidP="00A07209">
      <w:pPr>
        <w:numPr>
          <w:ilvl w:val="0"/>
          <w:numId w:val="223"/>
        </w:numPr>
        <w:spacing w:after="0" w:line="240" w:lineRule="auto"/>
      </w:pPr>
      <w:r>
        <w:t xml:space="preserve">Parental permission form templates containing the basic elements of informed consent are available on the ORRP website. To streamline IRB review and assure that regulatory requirements are met, use of the applicable template language is generally required. The IRBs can also approve parental permission forms on a case-by-case </w:t>
      </w:r>
      <w:r>
        <w:lastRenderedPageBreak/>
        <w:t>basis in other formats that may more appropriately satisfy requirements for obtaining and documenting parental permission.</w:t>
      </w:r>
    </w:p>
    <w:p w14:paraId="3CD3571E" w14:textId="77777777" w:rsidR="00CD45BC" w:rsidRPr="00CD45BC" w:rsidRDefault="00CD45BC" w:rsidP="00CD45BC">
      <w:pPr>
        <w:spacing w:after="0" w:line="240" w:lineRule="auto"/>
      </w:pPr>
    </w:p>
    <w:p w14:paraId="12C2014D" w14:textId="77777777" w:rsidR="00CD45BC" w:rsidRPr="00CD45BC" w:rsidRDefault="00CD45BC" w:rsidP="00A07209">
      <w:pPr>
        <w:numPr>
          <w:ilvl w:val="0"/>
          <w:numId w:val="223"/>
        </w:numPr>
        <w:spacing w:after="0" w:line="240" w:lineRule="auto"/>
      </w:pPr>
      <w:r>
        <w:t>Based on regulatory requirements, when children are involved in research investigators and IRBs must determine whether the permission of both parents is required or if the permission of one parent is sufficient as described below.</w:t>
      </w:r>
    </w:p>
    <w:p w14:paraId="37B8B3ED" w14:textId="77777777" w:rsidR="00CD45BC" w:rsidRPr="00CD45BC" w:rsidRDefault="00CD45BC" w:rsidP="00CD45BC">
      <w:pPr>
        <w:spacing w:after="0" w:line="240" w:lineRule="auto"/>
      </w:pPr>
    </w:p>
    <w:p w14:paraId="43DB537A" w14:textId="77777777" w:rsidR="00CD45BC" w:rsidRPr="00CD45BC" w:rsidRDefault="00CD45BC" w:rsidP="00A07209">
      <w:pPr>
        <w:numPr>
          <w:ilvl w:val="0"/>
          <w:numId w:val="223"/>
        </w:numPr>
        <w:spacing w:after="60" w:line="240" w:lineRule="auto"/>
      </w:pPr>
      <w:r>
        <w:t>For research that involves minimal risk or more than minimal risk with the prospect of direct benefit to the individual child, the IRB may determine either of the following:</w:t>
      </w:r>
    </w:p>
    <w:p w14:paraId="501E5AFE" w14:textId="77777777" w:rsidR="00CD45BC" w:rsidRPr="00CD45BC" w:rsidRDefault="00CD45BC" w:rsidP="00A07209">
      <w:pPr>
        <w:numPr>
          <w:ilvl w:val="0"/>
          <w:numId w:val="233"/>
        </w:numPr>
        <w:spacing w:after="60" w:line="240" w:lineRule="auto"/>
        <w:ind w:left="1440"/>
      </w:pPr>
      <w:r>
        <w:t xml:space="preserve">Permission of </w:t>
      </w:r>
      <w:r>
        <w:rPr>
          <w:b/>
        </w:rPr>
        <w:t>both</w:t>
      </w:r>
      <w:r>
        <w:t xml:space="preserve"> parents is required unless one parent is deceased, unknown, incompetent, or not reasonably available, or when only one parent has legal responsibility for the care and custody of the child.</w:t>
      </w:r>
    </w:p>
    <w:p w14:paraId="37959CCA" w14:textId="77777777" w:rsidR="00CD45BC" w:rsidRPr="00CD45BC" w:rsidRDefault="00CD45BC" w:rsidP="00A07209">
      <w:pPr>
        <w:numPr>
          <w:ilvl w:val="0"/>
          <w:numId w:val="233"/>
        </w:numPr>
        <w:spacing w:after="0" w:line="240" w:lineRule="auto"/>
        <w:ind w:left="1440"/>
      </w:pPr>
      <w:r>
        <w:t xml:space="preserve">Permission of </w:t>
      </w:r>
      <w:r>
        <w:rPr>
          <w:b/>
        </w:rPr>
        <w:t>one</w:t>
      </w:r>
      <w:r>
        <w:t xml:space="preserve"> parent is sufficient.</w:t>
      </w:r>
    </w:p>
    <w:p w14:paraId="01ACB50C" w14:textId="77777777" w:rsidR="00CD45BC" w:rsidRPr="00CD45BC" w:rsidRDefault="00CD45BC" w:rsidP="00CD45BC">
      <w:pPr>
        <w:spacing w:after="0" w:line="240" w:lineRule="auto"/>
      </w:pPr>
    </w:p>
    <w:p w14:paraId="59AA41A8" w14:textId="77777777" w:rsidR="00CD45BC" w:rsidRPr="00CD45BC" w:rsidRDefault="00CD45BC" w:rsidP="00A07209">
      <w:pPr>
        <w:numPr>
          <w:ilvl w:val="0"/>
          <w:numId w:val="223"/>
        </w:numPr>
        <w:spacing w:after="0" w:line="240" w:lineRule="auto"/>
      </w:pPr>
      <w:r>
        <w:t xml:space="preserve">For research that involves more than minimal risk without the prospect of direct benefit to the individual child, the permission of </w:t>
      </w:r>
      <w:r>
        <w:rPr>
          <w:b/>
        </w:rPr>
        <w:t>both</w:t>
      </w:r>
      <w:r>
        <w:t xml:space="preserve"> parents is required unless one parent is deceased, unknown, incompetent, or not reasonably available, or when only one parent has legal responsibility for the care and custody of the child.</w:t>
      </w:r>
    </w:p>
    <w:p w14:paraId="73A5C1FE" w14:textId="77777777" w:rsidR="00CD45BC" w:rsidRPr="00CD45BC" w:rsidRDefault="00CD45BC" w:rsidP="00CD45BC">
      <w:pPr>
        <w:spacing w:after="0" w:line="240" w:lineRule="auto"/>
      </w:pPr>
    </w:p>
    <w:p w14:paraId="391016B3" w14:textId="77777777" w:rsidR="00CD45BC" w:rsidRPr="00CD45BC" w:rsidRDefault="00CD45BC" w:rsidP="00A07209">
      <w:pPr>
        <w:numPr>
          <w:ilvl w:val="0"/>
          <w:numId w:val="223"/>
        </w:numPr>
        <w:spacing w:after="0" w:line="240" w:lineRule="auto"/>
      </w:pPr>
      <w:r>
        <w:t>For children who are wards</w:t>
      </w:r>
      <w:r>
        <w:rPr>
          <w:color w:val="000000"/>
        </w:rPr>
        <w:t xml:space="preserve"> of the state (or any other agency, institution, or entity)</w:t>
      </w:r>
      <w:r>
        <w:t xml:space="preserve">, a guardian must provide permission for the ward to participate in research, in lieu of a child’s biological or adoptive parents. </w:t>
      </w:r>
      <w:r>
        <w:rPr>
          <w:color w:val="000000"/>
        </w:rPr>
        <w:t>When research involves more than minimal risk without the prospect of direct benefit to the child, an advocate who agrees to act in the best interests of the child throughout the duration of the child’s participation, including ensuring that to the extent possible the child understands what will be required of him/her during the research, must also be appointed.</w:t>
      </w:r>
    </w:p>
    <w:p w14:paraId="39439A62" w14:textId="77777777" w:rsidR="00CD45BC" w:rsidRPr="00CD45BC" w:rsidRDefault="00CD45BC" w:rsidP="00CD45BC">
      <w:pPr>
        <w:spacing w:after="0" w:line="240" w:lineRule="auto"/>
      </w:pPr>
    </w:p>
    <w:p w14:paraId="718674C5" w14:textId="77777777" w:rsidR="00CD45BC" w:rsidRPr="00CD45BC" w:rsidRDefault="00CD45BC" w:rsidP="00A07209">
      <w:pPr>
        <w:numPr>
          <w:ilvl w:val="0"/>
          <w:numId w:val="231"/>
        </w:numPr>
        <w:spacing w:after="0" w:line="240" w:lineRule="auto"/>
      </w:pPr>
      <w:r>
        <w:t>Additional requirements for research involving children, including children who are wards of the state, are described in HRPP policy [</w:t>
      </w:r>
      <w:hyperlink r:id="rId239" w:history="1">
        <w:r>
          <w:rPr>
            <w:color w:val="0000FF"/>
            <w:u w:val="single"/>
          </w:rPr>
          <w:t>Research Involving Children</w:t>
        </w:r>
      </w:hyperlink>
      <w:r>
        <w:t>].</w:t>
      </w:r>
    </w:p>
    <w:p w14:paraId="4E3A9B3B" w14:textId="77777777" w:rsidR="00CD45BC" w:rsidRPr="00CD45BC" w:rsidRDefault="00CD45BC" w:rsidP="00CD45BC">
      <w:pPr>
        <w:spacing w:after="0" w:line="240" w:lineRule="auto"/>
        <w:rPr>
          <w:b/>
        </w:rPr>
      </w:pPr>
    </w:p>
    <w:p w14:paraId="39621567" w14:textId="77777777" w:rsidR="00CD45BC" w:rsidRPr="00CD45BC" w:rsidRDefault="00CD45BC" w:rsidP="00A07209">
      <w:pPr>
        <w:numPr>
          <w:ilvl w:val="0"/>
          <w:numId w:val="224"/>
        </w:numPr>
        <w:tabs>
          <w:tab w:val="num" w:pos="360"/>
        </w:tabs>
        <w:spacing w:after="0" w:line="240" w:lineRule="auto"/>
        <w:ind w:left="360"/>
        <w:rPr>
          <w:b/>
        </w:rPr>
      </w:pPr>
      <w:r>
        <w:rPr>
          <w:b/>
        </w:rPr>
        <w:t>Waiver or Alteration of Parental Permission</w:t>
      </w:r>
    </w:p>
    <w:p w14:paraId="02DBEAA3" w14:textId="77777777" w:rsidR="00CD45BC" w:rsidRPr="00CD45BC" w:rsidRDefault="00CD45BC" w:rsidP="00CD45BC">
      <w:pPr>
        <w:spacing w:after="0" w:line="240" w:lineRule="auto"/>
        <w:rPr>
          <w:b/>
        </w:rPr>
      </w:pPr>
    </w:p>
    <w:p w14:paraId="49C51700" w14:textId="77777777" w:rsidR="00CD45BC" w:rsidRPr="00CD45BC" w:rsidRDefault="00CD45BC" w:rsidP="00CD45BC">
      <w:pPr>
        <w:spacing w:after="0" w:line="240" w:lineRule="auto"/>
        <w:ind w:left="360"/>
      </w:pPr>
      <w:r>
        <w:t>In the limited circumstances described below, the IRB can waive or alter the requirements for obtaining parental or guardian permission.</w:t>
      </w:r>
    </w:p>
    <w:p w14:paraId="29104627" w14:textId="77777777" w:rsidR="00CD45BC" w:rsidRPr="00CD45BC" w:rsidRDefault="00CD45BC" w:rsidP="00CD45BC">
      <w:pPr>
        <w:spacing w:after="0" w:line="240" w:lineRule="auto"/>
        <w:ind w:left="360"/>
      </w:pPr>
    </w:p>
    <w:p w14:paraId="706006E7" w14:textId="77777777" w:rsidR="00CD45BC" w:rsidRPr="00CD45BC" w:rsidRDefault="00CD45BC" w:rsidP="00CD45BC">
      <w:pPr>
        <w:spacing w:after="0" w:line="240" w:lineRule="auto"/>
        <w:ind w:left="360"/>
        <w:rPr>
          <w:i/>
        </w:rPr>
      </w:pPr>
      <w:r>
        <w:rPr>
          <w:i/>
        </w:rPr>
        <w:t xml:space="preserve">Note: “Passive consent” is sometimes used in research with children to describe a situation where the investigator assumes that the parent permits a child to participate (e.g., information about a study is mailed to the parent and if the parent does not want their child to participate, they must return a form “opting out”). This procedure is not consistent with the regulatory requirement to obtain parental permission. In these instances, the investigator can request the IRB to consider if the conditions for a waiver of parental permission can be met under 45 CFR 46.408(c) or 45 CFR 46.116(f)(3). </w:t>
      </w:r>
    </w:p>
    <w:p w14:paraId="2EF5C9B9" w14:textId="77777777" w:rsidR="00CD45BC" w:rsidRPr="00CD45BC" w:rsidRDefault="00CD45BC" w:rsidP="00CD45BC">
      <w:pPr>
        <w:spacing w:after="0" w:line="240" w:lineRule="auto"/>
        <w:ind w:left="360"/>
        <w:rPr>
          <w:b/>
        </w:rPr>
      </w:pPr>
    </w:p>
    <w:p w14:paraId="26489726" w14:textId="77777777" w:rsidR="00CD45BC" w:rsidRPr="00CD45BC" w:rsidRDefault="00CD45BC" w:rsidP="00A07209">
      <w:pPr>
        <w:numPr>
          <w:ilvl w:val="0"/>
          <w:numId w:val="237"/>
        </w:numPr>
        <w:spacing w:after="120" w:line="240" w:lineRule="auto"/>
      </w:pPr>
      <w:r>
        <w:t>Research on Public Benefit or Service Programs</w:t>
      </w:r>
    </w:p>
    <w:p w14:paraId="49DB5795" w14:textId="77777777" w:rsidR="00CD45BC" w:rsidRPr="00CD45BC" w:rsidRDefault="00CD45BC" w:rsidP="00CD45BC">
      <w:pPr>
        <w:spacing w:after="60" w:line="240" w:lineRule="auto"/>
        <w:ind w:left="720"/>
      </w:pPr>
      <w:r>
        <w:t>The IRB can waive or alter the requirements for parental permission for non-exempt research examining state or local public benefit or service programs or certain features of those programs if all of the following criteria are met:</w:t>
      </w:r>
    </w:p>
    <w:p w14:paraId="7EBBD39B" w14:textId="77777777" w:rsidR="00CD45BC" w:rsidRPr="00CD45BC" w:rsidRDefault="00CD45BC" w:rsidP="00A07209">
      <w:pPr>
        <w:numPr>
          <w:ilvl w:val="0"/>
          <w:numId w:val="229"/>
        </w:numPr>
        <w:tabs>
          <w:tab w:val="num" w:pos="1440"/>
        </w:tabs>
        <w:spacing w:after="60" w:line="240" w:lineRule="auto"/>
        <w:ind w:left="1440"/>
      </w:pPr>
      <w:r>
        <w:t>The research or demonstration project is to be conducted by or subject to the approval of state or local government officials and is designed to study, evaluate, or otherwise examine public benefit or service programs, procedures for obtaining benefits or services under those programs, possible changes in or alternatives to those programs or procedures, or possible changes in methods or levels of payment for benefits or services under those programs.</w:t>
      </w:r>
    </w:p>
    <w:p w14:paraId="06B1D168" w14:textId="77777777" w:rsidR="00CD45BC" w:rsidRPr="00CD45BC" w:rsidRDefault="00CD45BC" w:rsidP="00A07209">
      <w:pPr>
        <w:numPr>
          <w:ilvl w:val="0"/>
          <w:numId w:val="229"/>
        </w:numPr>
        <w:tabs>
          <w:tab w:val="num" w:pos="1440"/>
        </w:tabs>
        <w:spacing w:after="60" w:line="240" w:lineRule="auto"/>
        <w:ind w:left="1440"/>
      </w:pPr>
      <w:r>
        <w:t>The research could not practicably be carried out without the waiver or alteration.</w:t>
      </w:r>
    </w:p>
    <w:p w14:paraId="6EBB2C10" w14:textId="77777777" w:rsidR="00CD45BC" w:rsidRPr="00CD45BC" w:rsidRDefault="00CD45BC" w:rsidP="00A07209">
      <w:pPr>
        <w:numPr>
          <w:ilvl w:val="0"/>
          <w:numId w:val="229"/>
        </w:numPr>
        <w:tabs>
          <w:tab w:val="num" w:pos="1440"/>
        </w:tabs>
        <w:spacing w:after="120" w:line="240" w:lineRule="auto"/>
        <w:ind w:left="1440"/>
      </w:pPr>
      <w:r>
        <w:lastRenderedPageBreak/>
        <w:t>The research is not FDA-regulated.</w:t>
      </w:r>
    </w:p>
    <w:p w14:paraId="1D96653D" w14:textId="77777777" w:rsidR="00CD45BC" w:rsidRPr="00CD45BC" w:rsidRDefault="00CD45BC" w:rsidP="00CD45BC">
      <w:pPr>
        <w:spacing w:after="0" w:line="240" w:lineRule="auto"/>
        <w:ind w:left="720"/>
        <w:rPr>
          <w:i/>
        </w:rPr>
      </w:pPr>
      <w:r>
        <w:rPr>
          <w:i/>
        </w:rPr>
        <w:t>Note: Similar research conducted under federal authority or research conducted by (or subject to the approval of) a private entity would not qualify.</w:t>
      </w:r>
    </w:p>
    <w:p w14:paraId="2DB69FB7" w14:textId="77777777" w:rsidR="00CD45BC" w:rsidRPr="00CD45BC" w:rsidRDefault="00CD45BC" w:rsidP="00CD45BC">
      <w:pPr>
        <w:spacing w:after="0" w:line="240" w:lineRule="auto"/>
      </w:pPr>
    </w:p>
    <w:p w14:paraId="5219FF0E" w14:textId="77777777" w:rsidR="00CD45BC" w:rsidRPr="00CD45BC" w:rsidRDefault="00CD45BC" w:rsidP="00A07209">
      <w:pPr>
        <w:numPr>
          <w:ilvl w:val="0"/>
          <w:numId w:val="237"/>
        </w:numPr>
        <w:spacing w:after="120" w:line="240" w:lineRule="auto"/>
      </w:pPr>
      <w:r>
        <w:t>Minimal Risk Research</w:t>
      </w:r>
    </w:p>
    <w:p w14:paraId="4A5A922E" w14:textId="77777777" w:rsidR="00CD45BC" w:rsidRPr="00CD45BC" w:rsidRDefault="00CD45BC" w:rsidP="00CD45BC">
      <w:pPr>
        <w:spacing w:after="60" w:line="240" w:lineRule="auto"/>
        <w:ind w:left="720"/>
      </w:pPr>
      <w:r>
        <w:t>The IRB can waive or alter the requirements for parental permission for non-exempt research that meets all of the following criteria:</w:t>
      </w:r>
    </w:p>
    <w:p w14:paraId="0FA6BD3D" w14:textId="77777777" w:rsidR="00CD45BC" w:rsidRPr="00CD45BC" w:rsidRDefault="00CD45BC" w:rsidP="00A07209">
      <w:pPr>
        <w:numPr>
          <w:ilvl w:val="2"/>
          <w:numId w:val="207"/>
        </w:numPr>
        <w:tabs>
          <w:tab w:val="num" w:pos="1440"/>
        </w:tabs>
        <w:spacing w:after="60" w:line="240" w:lineRule="auto"/>
        <w:ind w:left="1440"/>
      </w:pPr>
      <w:r>
        <w:t>The research involves no more than minimal risk to subjects.</w:t>
      </w:r>
    </w:p>
    <w:p w14:paraId="0AB68E6D" w14:textId="77777777" w:rsidR="00CD45BC" w:rsidRPr="00CD45BC" w:rsidRDefault="00CD45BC" w:rsidP="00A07209">
      <w:pPr>
        <w:numPr>
          <w:ilvl w:val="2"/>
          <w:numId w:val="207"/>
        </w:numPr>
        <w:tabs>
          <w:tab w:val="num" w:pos="1440"/>
        </w:tabs>
        <w:spacing w:after="60" w:line="240" w:lineRule="auto"/>
        <w:ind w:left="1440"/>
      </w:pPr>
      <w:r>
        <w:t>The waiver or alteration will not adversely affect the rights and welfare of subjects.</w:t>
      </w:r>
    </w:p>
    <w:p w14:paraId="1882A718" w14:textId="77777777" w:rsidR="00CD45BC" w:rsidRPr="00CD45BC" w:rsidRDefault="00A83AAD" w:rsidP="00A07209">
      <w:pPr>
        <w:numPr>
          <w:ilvl w:val="2"/>
          <w:numId w:val="207"/>
        </w:numPr>
        <w:tabs>
          <w:tab w:val="num" w:pos="1440"/>
        </w:tabs>
        <w:spacing w:after="60" w:line="240" w:lineRule="auto"/>
        <w:ind w:left="1440"/>
      </w:pPr>
      <w:r>
        <w:rPr>
          <w:noProof/>
        </w:rPr>
        <mc:AlternateContent>
          <mc:Choice Requires="wps">
            <w:drawing>
              <wp:anchor distT="0" distB="0" distL="114300" distR="114300" simplePos="0" relativeHeight="251678720" behindDoc="1" locked="0" layoutInCell="1" allowOverlap="1" wp14:anchorId="7B6C7FA5" wp14:editId="1CBA7CF9">
                <wp:simplePos x="0" y="0"/>
                <wp:positionH relativeFrom="column">
                  <wp:posOffset>171449</wp:posOffset>
                </wp:positionH>
                <wp:positionV relativeFrom="paragraph">
                  <wp:posOffset>165100</wp:posOffset>
                </wp:positionV>
                <wp:extent cx="6909435" cy="590550"/>
                <wp:effectExtent l="0" t="0" r="24765" b="19050"/>
                <wp:wrapNone/>
                <wp:docPr id="1528180839" name="Rectangl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9435" cy="5905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03A08F" id="Rectangle 12" o:spid="_x0000_s1026" style="position:absolute;margin-left:13.5pt;margin-top:13pt;width:544.05pt;height:4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LdTHDwIAABYEAAAOAAAAZHJzL2Uyb0RvYy54bWysU9uO2yAQfa/Uf0C8N3bSeLux4qxWTlNV 2l6kbT+AYGyjYoYOJE769R1INptenqr6ATGe4XDmzGF5dxgM2yv0GmzFp5OcM2UlNNp2Ff/6ZfPq ljMfhG2EAasqflSe361evliOrlQz6ME0ChmBWF+OruJ9CK7MMi97NQg/AacsJVvAQQQKscsaFCOh Dyab5flNNgI2DkEq7+nv+pTkq4TftkqGT23rVWCm4sQtpBXTuo1rtlqKskPhei3PNMQ/sBiEtnTp BWotgmA71H9ADVoieGjDRMKQQdtqqVIP1M00/62bx144lXohcby7yOT/H6z8uH90nzFS9+4B5DfP LNS9sJ26R4SxV6Kh66ZRqGx0vrwciIGno2w7foCGRit2AZIGhxaHCEjdsUOS+niRWh0Ck/TzZpEv 5q8LziTlikVeFGkWmSifTjv04Z2CgcVNxZFGmdDF/sGHyEaUTyWJPRjdbLQxKcBuWxtke0Fjrzf1 ul6nBqjJ6zJj2VjxRTErEvIvOX8NkafvbxCDDuRfo4eK316KRBlle2ub5K4gtDntibKxZx2jdNGl vtxCcyQZEU7mpMdEmx7wB2cjGbPi/vtOoOLMvLc0isV0Po9OTsG8eDOjAK8z2+uMsJKgKh44O23r cHL/zqHuerppmnq3cE/ja3VS9pnVmSyZLwl+fijR3ddxqnp+zqufAAAA//8DAFBLAwQUAAYACAAA ACEAE5JLs9wAAAAKAQAADwAAAGRycy9kb3ducmV2LnhtbEyPQU+DQBCF7yb+h82YeLMLTURLWZra pDHxpODF2wIjoOwsYact/nuHk57eTN7kzfey3ewGdcYp9J4MxKsIFFLtm55aA+/l8e4RVGBLjR08 oYEfDLDLr68ymzb+Qm94LrhVEkIhtQY65jHVOtQdOhtWfkQS79NPzrKsU6ubyV4k3A16HUWJdrYn +dDZEQ8d1t/FyRko9wmWY/VxxNeXp+f+iw9c2cKY25t5vwXFOPPfMSz4gg65MFX+RE1Qg4H1g1Rh 0UR08eP4PgZVLdMmAp1n+n+F/BcAAP//AwBQSwECLQAUAAYACAAAACEAtoM4kv4AAADhAQAAEwAA AAAAAAAAAAAAAAAAAAAAW0NvbnRlbnRfVHlwZXNdLnhtbFBLAQItABQABgAIAAAAIQA4/SH/1gAA AJQBAAALAAAAAAAAAAAAAAAAAC8BAABfcmVscy8ucmVsc1BLAQItABQABgAIAAAAIQBGLdTHDwIA ABYEAAAOAAAAAAAAAAAAAAAAAC4CAABkcnMvZTJvRG9jLnhtbFBLAQItABQABgAIAAAAIQATkkuz 3AAAAAoBAAAPAAAAAAAAAAAAAAAAAGkEAABkcnMvZG93bnJldi54bWxQSwUGAAAAAAQABADzAAAA cgUAAAAA " fillcolor="#cfcdcd"/>
            </w:pict>
          </mc:Fallback>
        </mc:AlternateContent>
      </w:r>
      <w:r>
        <w:t>The research could not practicably be carried out without the waiver or alteration.</w:t>
      </w:r>
    </w:p>
    <w:p w14:paraId="6750FFBC" w14:textId="77777777" w:rsidR="00CD45BC" w:rsidRPr="00CD45BC" w:rsidRDefault="00CD45BC" w:rsidP="00A07209">
      <w:pPr>
        <w:numPr>
          <w:ilvl w:val="2"/>
          <w:numId w:val="207"/>
        </w:numPr>
        <w:tabs>
          <w:tab w:val="num" w:pos="1440"/>
        </w:tabs>
        <w:spacing w:before="120" w:after="120" w:line="240" w:lineRule="auto"/>
        <w:ind w:left="1440"/>
      </w:pPr>
      <w:r>
        <w:t>If the research involves using identifiable private information or identifiable biospecimens, the research could not practicably be carried out without using such information or biospecimens in an identifiable format.</w:t>
      </w:r>
    </w:p>
    <w:p w14:paraId="296FBC18" w14:textId="77777777" w:rsidR="00CD45BC" w:rsidRPr="00CD45BC" w:rsidRDefault="00CD45BC" w:rsidP="00A07209">
      <w:pPr>
        <w:numPr>
          <w:ilvl w:val="2"/>
          <w:numId w:val="207"/>
        </w:numPr>
        <w:tabs>
          <w:tab w:val="num" w:pos="1440"/>
        </w:tabs>
        <w:spacing w:after="60" w:line="240" w:lineRule="auto"/>
        <w:ind w:left="1440"/>
      </w:pPr>
      <w:r>
        <w:t>Whenever appropriate, subjects or their parent/guardian will be provided with additional pertinent information after participation.</w:t>
      </w:r>
    </w:p>
    <w:p w14:paraId="3E8FB4AB" w14:textId="77777777" w:rsidR="00CD45BC" w:rsidRPr="00CD45BC" w:rsidRDefault="00CD45BC" w:rsidP="00CD45BC">
      <w:pPr>
        <w:spacing w:after="0" w:line="240" w:lineRule="auto"/>
      </w:pPr>
    </w:p>
    <w:p w14:paraId="2A12D6B2" w14:textId="77777777" w:rsidR="00CD45BC" w:rsidRPr="00CD45BC" w:rsidRDefault="00CD45BC" w:rsidP="00A07209">
      <w:pPr>
        <w:numPr>
          <w:ilvl w:val="0"/>
          <w:numId w:val="230"/>
        </w:numPr>
        <w:spacing w:after="0" w:line="240" w:lineRule="auto"/>
      </w:pPr>
      <w:r>
        <w:t>Research Designed to Study Conditions in Children</w:t>
      </w:r>
    </w:p>
    <w:p w14:paraId="2FC32496" w14:textId="77777777" w:rsidR="00CD45BC" w:rsidRPr="00CD45BC" w:rsidRDefault="00CD45BC" w:rsidP="00CD45BC">
      <w:pPr>
        <w:spacing w:after="0" w:line="240" w:lineRule="auto"/>
        <w:ind w:left="720"/>
      </w:pPr>
    </w:p>
    <w:p w14:paraId="6C5F51A0" w14:textId="77777777" w:rsidR="00CD45BC" w:rsidRPr="00A83AAD" w:rsidRDefault="00CD45BC" w:rsidP="00A07209">
      <w:pPr>
        <w:pStyle w:val="ListParagraph"/>
        <w:numPr>
          <w:ilvl w:val="0"/>
          <w:numId w:val="445"/>
        </w:numPr>
        <w:spacing w:after="60" w:line="240" w:lineRule="auto"/>
      </w:pPr>
      <w:r>
        <w:t>The IRB can waive or alter the requirements for parental permission for non-exempt research designed to study conditions in children or a subject population for which parental or guardian permission is not a reasonable requirement to protect the subjects (e.g., neglected or abused children) when the following additional criteria are also met:</w:t>
      </w:r>
    </w:p>
    <w:p w14:paraId="1FCB5DBD" w14:textId="77777777" w:rsidR="00CD45BC" w:rsidRPr="00CD45BC" w:rsidRDefault="00CD45BC" w:rsidP="00A07209">
      <w:pPr>
        <w:numPr>
          <w:ilvl w:val="0"/>
          <w:numId w:val="446"/>
        </w:numPr>
        <w:spacing w:after="60" w:line="240" w:lineRule="auto"/>
      </w:pPr>
      <w:r>
        <w:t>An appropriate mechanism is in place to protect the children.</w:t>
      </w:r>
    </w:p>
    <w:p w14:paraId="57D7E3D1" w14:textId="77777777" w:rsidR="00CD45BC" w:rsidRPr="00CD45BC" w:rsidRDefault="00CD45BC" w:rsidP="00A07209">
      <w:pPr>
        <w:numPr>
          <w:ilvl w:val="0"/>
          <w:numId w:val="446"/>
        </w:numPr>
        <w:spacing w:after="120" w:line="240" w:lineRule="auto"/>
      </w:pPr>
      <w:r>
        <w:t>The waiver is not inconsistent with federal, state, or local law.</w:t>
      </w:r>
    </w:p>
    <w:p w14:paraId="104B9FB2" w14:textId="77777777" w:rsidR="00CD45BC" w:rsidRPr="00CD45BC" w:rsidRDefault="00CD45BC" w:rsidP="00076836">
      <w:pPr>
        <w:spacing w:after="0" w:line="240" w:lineRule="auto"/>
        <w:ind w:left="1440"/>
        <w:rPr>
          <w:i/>
        </w:rPr>
      </w:pPr>
      <w:r>
        <w:rPr>
          <w:i/>
        </w:rPr>
        <w:t>Note: IRBs may waive the requirement for obtaining parental or guardian permission as described above even if the research involves greater than minimal risk to the participants.</w:t>
      </w:r>
    </w:p>
    <w:p w14:paraId="403A302D" w14:textId="77777777" w:rsidR="00CD45BC" w:rsidRPr="00CD45BC" w:rsidRDefault="00CD45BC" w:rsidP="00076836">
      <w:pPr>
        <w:spacing w:after="0" w:line="240" w:lineRule="auto"/>
        <w:ind w:left="360"/>
      </w:pPr>
    </w:p>
    <w:p w14:paraId="13571740" w14:textId="77777777" w:rsidR="00CD45BC" w:rsidRPr="00CD45BC" w:rsidRDefault="00CD45BC" w:rsidP="00A07209">
      <w:pPr>
        <w:numPr>
          <w:ilvl w:val="0"/>
          <w:numId w:val="447"/>
        </w:numPr>
        <w:spacing w:after="0" w:line="240" w:lineRule="auto"/>
      </w:pPr>
      <w:r>
        <w:t>When determining an appropriate mechanism for protecting child participants (e.g., appointment of an advocate or assent monitor), investigators and IRBs will consider the nature of the research (including any potential risks and anticipated benefits) and the children’s ages, maturity, condition, and psychological/emotional states.</w:t>
      </w:r>
    </w:p>
    <w:p w14:paraId="0F23B11E" w14:textId="77777777" w:rsidR="00CD45BC" w:rsidRPr="00CD45BC" w:rsidRDefault="00CD45BC" w:rsidP="00076836">
      <w:pPr>
        <w:spacing w:after="0" w:line="240" w:lineRule="auto"/>
        <w:ind w:left="1080"/>
      </w:pPr>
    </w:p>
    <w:p w14:paraId="674E8E95" w14:textId="77777777" w:rsidR="00CD45BC" w:rsidRPr="00CD45BC" w:rsidRDefault="00CD45BC" w:rsidP="00A07209">
      <w:pPr>
        <w:numPr>
          <w:ilvl w:val="0"/>
          <w:numId w:val="230"/>
        </w:numPr>
        <w:spacing w:after="0" w:line="240" w:lineRule="auto"/>
      </w:pPr>
      <w:r>
        <w:t>Planned Emergency Research</w:t>
      </w:r>
    </w:p>
    <w:p w14:paraId="4BC0DD4B" w14:textId="77777777" w:rsidR="00CD45BC" w:rsidRPr="00CD45BC" w:rsidRDefault="00CD45BC" w:rsidP="00CD45BC">
      <w:pPr>
        <w:spacing w:after="0" w:line="240" w:lineRule="auto"/>
        <w:ind w:left="720"/>
      </w:pPr>
    </w:p>
    <w:p w14:paraId="40F6670E" w14:textId="77777777" w:rsidR="00CD45BC" w:rsidRPr="00CD45BC" w:rsidRDefault="00CD45BC" w:rsidP="00CD45BC">
      <w:pPr>
        <w:spacing w:after="0" w:line="240" w:lineRule="auto"/>
        <w:ind w:left="720"/>
      </w:pPr>
      <w:r>
        <w:t>The IRB can approve a waiver of the requirements for informed consent for non-exempt research in life-threatening situations in which it is not possible to obtain informed consent from subjects or their legally authorized representatives, including studies in which children are the subjects of the research. For more information, see HRPP policy [</w:t>
      </w:r>
      <w:hyperlink r:id="rId240" w:history="1">
        <w:r>
          <w:rPr>
            <w:color w:val="0000FF"/>
            <w:u w:val="single"/>
          </w:rPr>
          <w:t>Planned Emergency Research</w:t>
        </w:r>
      </w:hyperlink>
      <w:r>
        <w:t>].</w:t>
      </w:r>
    </w:p>
    <w:p w14:paraId="47DC51A3" w14:textId="77777777" w:rsidR="00CD45BC" w:rsidRPr="00CD45BC" w:rsidRDefault="00CD45BC" w:rsidP="00CD45BC">
      <w:pPr>
        <w:spacing w:after="0" w:line="240" w:lineRule="auto"/>
        <w:rPr>
          <w:b/>
        </w:rPr>
      </w:pPr>
    </w:p>
    <w:p w14:paraId="6A34B3FA" w14:textId="77777777" w:rsidR="00CD45BC" w:rsidRPr="00CD45BC" w:rsidRDefault="00CD45BC" w:rsidP="00A07209">
      <w:pPr>
        <w:numPr>
          <w:ilvl w:val="0"/>
          <w:numId w:val="224"/>
        </w:numPr>
        <w:tabs>
          <w:tab w:val="num" w:pos="360"/>
        </w:tabs>
        <w:spacing w:after="0" w:line="240" w:lineRule="auto"/>
        <w:ind w:left="360"/>
        <w:rPr>
          <w:b/>
        </w:rPr>
      </w:pPr>
      <w:r>
        <w:rPr>
          <w:b/>
        </w:rPr>
        <w:t>Special Circumstances</w:t>
      </w:r>
    </w:p>
    <w:p w14:paraId="02E96EE4" w14:textId="77777777" w:rsidR="00CD45BC" w:rsidRPr="00CD45BC" w:rsidRDefault="00CD45BC" w:rsidP="00CD45BC">
      <w:pPr>
        <w:spacing w:after="0" w:line="240" w:lineRule="auto"/>
        <w:ind w:left="360"/>
        <w:rPr>
          <w:b/>
        </w:rPr>
      </w:pPr>
    </w:p>
    <w:p w14:paraId="504FD7FA" w14:textId="77777777" w:rsidR="00CD45BC" w:rsidRPr="00CD45BC" w:rsidRDefault="00CD45BC" w:rsidP="00A07209">
      <w:pPr>
        <w:numPr>
          <w:ilvl w:val="0"/>
          <w:numId w:val="235"/>
        </w:numPr>
        <w:spacing w:after="0" w:line="240" w:lineRule="auto"/>
      </w:pPr>
      <w:r>
        <w:t>A mother under 18 years of age (i.e., a parent that is legally still a child) can provide permission for her child to participate in research. However, for her own research participation, the permission of one or both of the mother’s parents is required, unless the requirement for parental permission has been waived by the IRB.</w:t>
      </w:r>
    </w:p>
    <w:p w14:paraId="221D5FAD" w14:textId="77777777" w:rsidR="00CD45BC" w:rsidRPr="00CD45BC" w:rsidRDefault="00CD45BC" w:rsidP="00CD45BC">
      <w:pPr>
        <w:spacing w:after="0" w:line="240" w:lineRule="auto"/>
        <w:ind w:left="720"/>
      </w:pPr>
    </w:p>
    <w:p w14:paraId="5BEC2FC3" w14:textId="77777777" w:rsidR="00CD45BC" w:rsidRPr="00CD45BC" w:rsidRDefault="00CD45BC" w:rsidP="00A07209">
      <w:pPr>
        <w:numPr>
          <w:ilvl w:val="0"/>
          <w:numId w:val="235"/>
        </w:numPr>
        <w:spacing w:after="0" w:line="240" w:lineRule="auto"/>
      </w:pPr>
      <w:r>
        <w:rPr>
          <w:bCs/>
          <w:color w:val="000000"/>
        </w:rPr>
        <w:t xml:space="preserve">Under the </w:t>
      </w:r>
      <w:hyperlink r:id="rId241" w:history="1">
        <w:r>
          <w:rPr>
            <w:bCs/>
            <w:color w:val="0000FF"/>
            <w:u w:val="single"/>
          </w:rPr>
          <w:t>Family Educational and Rights Privacy Act (FERPA)</w:t>
        </w:r>
      </w:hyperlink>
      <w:r>
        <w:rPr>
          <w:bCs/>
          <w:color w:val="000000"/>
        </w:rPr>
        <w:t xml:space="preserve">, a child under 18 years of age who attends a school beyond the high school level (e.g., The Ohio State University) can consent to release information from his/her </w:t>
      </w:r>
      <w:r>
        <w:rPr>
          <w:bCs/>
          <w:color w:val="000000"/>
        </w:rPr>
        <w:lastRenderedPageBreak/>
        <w:t xml:space="preserve">education records for use in research. However, to participate in research the child must also have </w:t>
      </w:r>
      <w:r>
        <w:t>the permission of one or both parents, unless the requirement for parental permission has been waived by the IRB.</w:t>
      </w:r>
    </w:p>
    <w:p w14:paraId="0EF1235C" w14:textId="77777777" w:rsidR="00CD45BC" w:rsidRPr="00CD45BC" w:rsidRDefault="00CD45BC" w:rsidP="00A83AAD">
      <w:pPr>
        <w:spacing w:after="0" w:line="240" w:lineRule="auto"/>
      </w:pPr>
    </w:p>
    <w:p w14:paraId="53E639E4" w14:textId="77777777" w:rsidR="00CD45BC" w:rsidRPr="00CD45BC" w:rsidRDefault="00CD45BC" w:rsidP="00A07209">
      <w:pPr>
        <w:numPr>
          <w:ilvl w:val="0"/>
          <w:numId w:val="224"/>
        </w:numPr>
        <w:tabs>
          <w:tab w:val="num" w:pos="360"/>
        </w:tabs>
        <w:spacing w:after="0" w:line="240" w:lineRule="auto"/>
        <w:ind w:left="360"/>
        <w:rPr>
          <w:b/>
        </w:rPr>
      </w:pPr>
      <w:r>
        <w:rPr>
          <w:b/>
        </w:rPr>
        <w:t>Children Who Reach the Legal Age of Consent While Enrolled in a Study</w:t>
      </w:r>
    </w:p>
    <w:p w14:paraId="4247C5E1" w14:textId="77777777" w:rsidR="00CD45BC" w:rsidRPr="00CD45BC" w:rsidRDefault="00CD45BC" w:rsidP="00CD45BC">
      <w:pPr>
        <w:spacing w:after="0" w:line="240" w:lineRule="auto"/>
        <w:rPr>
          <w:b/>
        </w:rPr>
      </w:pPr>
    </w:p>
    <w:p w14:paraId="567F31B6" w14:textId="77777777" w:rsidR="00CD45BC" w:rsidRPr="00CD45BC" w:rsidRDefault="00CD45BC" w:rsidP="00CD45BC">
      <w:pPr>
        <w:spacing w:after="0" w:line="240" w:lineRule="auto"/>
        <w:ind w:left="360"/>
      </w:pPr>
      <w:r>
        <w:t>Informed consent is an ongoing process throughout the duration of a research study. When a child who was enrolled in research with parental (or guardian) permission reaches the legal age of consent, the subject’s participation is no longer regulated by the requirements regarding parental permission. Legally effective informed consent must be obtained (unless waived) from the now-adult participant for any continued interactions, interventions, or other activities that meet the definition of “research involving human subjects,” including analysis of individually identifiable data or specimens. (For more information on the definition of human subjects research, see HRPP policy [</w:t>
      </w:r>
      <w:hyperlink r:id="rId242" w:history="1">
        <w:r>
          <w:rPr>
            <w:color w:val="0000FF"/>
            <w:u w:val="single"/>
          </w:rPr>
          <w:t>Research Involving Human Subjects</w:t>
        </w:r>
      </w:hyperlink>
      <w:r>
        <w:t>]).</w:t>
      </w:r>
    </w:p>
    <w:p w14:paraId="68A2FF50" w14:textId="77777777" w:rsidR="00CD45BC" w:rsidRPr="00CD45BC" w:rsidRDefault="00CD45BC" w:rsidP="00CD45BC">
      <w:pPr>
        <w:spacing w:after="0" w:line="240" w:lineRule="auto"/>
        <w:rPr>
          <w:bCs/>
          <w:color w:val="000000"/>
        </w:rPr>
      </w:pPr>
    </w:p>
    <w:p w14:paraId="502984FE" w14:textId="77777777" w:rsidR="00CD45BC" w:rsidRPr="00CD45BC" w:rsidRDefault="00CD45BC" w:rsidP="00A07209">
      <w:pPr>
        <w:numPr>
          <w:ilvl w:val="0"/>
          <w:numId w:val="224"/>
        </w:numPr>
        <w:tabs>
          <w:tab w:val="num" w:pos="360"/>
        </w:tabs>
        <w:spacing w:after="0" w:line="240" w:lineRule="auto"/>
        <w:ind w:left="360"/>
      </w:pPr>
      <w:r>
        <w:rPr>
          <w:b/>
        </w:rPr>
        <w:t>Applicable Regulations/Guidance</w:t>
      </w:r>
    </w:p>
    <w:p w14:paraId="63DFD173" w14:textId="77777777" w:rsidR="00CD45BC" w:rsidRPr="00CD45BC" w:rsidRDefault="00CD45BC" w:rsidP="00CD45BC">
      <w:pPr>
        <w:spacing w:after="0" w:line="240" w:lineRule="auto"/>
      </w:pPr>
    </w:p>
    <w:p w14:paraId="1C730611" w14:textId="77777777" w:rsidR="00CD45BC" w:rsidRPr="00CD45BC" w:rsidRDefault="00CD45BC" w:rsidP="00CD45BC">
      <w:pPr>
        <w:spacing w:after="0" w:line="240" w:lineRule="auto"/>
        <w:ind w:left="360"/>
      </w:pPr>
      <w:r>
        <w:t>21 CFR 50.3, 21 CFR 50.20, 21 CFR 50.25, 21 CFR 50.51, 21 CFR 50.52, 21 CFR 50.53, 21 CFR 50.54, 21 CFR 50.55, 21 CFR 56.109, 21 CFR 56.111, pre-2018 and Final Rule (45 CFR 46.111, 45 CFR 46.116, 45 CFR 46.402, 45 CFR 46.403, 45 CFR 46.404, 45 CFR 46.405, 45 CFR 46.406, 45 CFR 46.407, 45 CFR 46.408), FDA Information Sheets: “A Guide to Informed Consent,” FDA Information Sheets: Frequently Asked Questions “Informed Consent Process” and “Informed Consent Document Content,” OHRP “Informed Consent FAQs” , The Ohio State University Policy and Procedure Manuals for University Hospitals and James Cancer Hospital and Solove Research Institute (# 03-27), FDA Guidance “IRB Waiver or Alteration of Informed Consent for Clinical Investigations Involving No More Than Minimal Risk to Human Subjects” (07/17)</w:t>
      </w:r>
    </w:p>
    <w:p w14:paraId="03BC7320" w14:textId="77777777" w:rsidR="00CD45BC" w:rsidRPr="00CD45BC" w:rsidRDefault="00CD45BC" w:rsidP="00CD45BC">
      <w:pPr>
        <w:spacing w:after="0" w:line="240" w:lineRule="auto"/>
        <w:ind w:left="360"/>
      </w:pPr>
    </w:p>
    <w:p w14:paraId="6F9947E5" w14:textId="77777777" w:rsidR="00CD45BC" w:rsidRPr="00CD45BC" w:rsidRDefault="00CD45BC" w:rsidP="00A07209">
      <w:pPr>
        <w:numPr>
          <w:ilvl w:val="0"/>
          <w:numId w:val="224"/>
        </w:numPr>
        <w:spacing w:after="0" w:line="240" w:lineRule="auto"/>
        <w:ind w:left="360"/>
        <w:rPr>
          <w:b/>
        </w:rPr>
      </w:pPr>
      <w:r>
        <w:rPr>
          <w:b/>
        </w:rPr>
        <w:t>History</w:t>
      </w:r>
    </w:p>
    <w:p w14:paraId="66682203" w14:textId="77777777" w:rsidR="00CD45BC" w:rsidRPr="00CD45BC" w:rsidRDefault="00CD45BC" w:rsidP="00CD45BC">
      <w:pPr>
        <w:spacing w:after="0" w:line="240" w:lineRule="auto"/>
        <w:ind w:left="360"/>
      </w:pPr>
    </w:p>
    <w:p w14:paraId="43EDB6D0" w14:textId="77777777" w:rsidR="00CD45BC" w:rsidRPr="00CD45BC" w:rsidRDefault="00CD45BC" w:rsidP="00CD45BC">
      <w:pPr>
        <w:spacing w:after="0" w:line="240" w:lineRule="auto"/>
        <w:ind w:left="360"/>
      </w:pPr>
      <w:r>
        <w:t>Issued: 09/15/2008</w:t>
      </w:r>
    </w:p>
    <w:p w14:paraId="118B2EB8" w14:textId="77777777" w:rsidR="00CD45BC" w:rsidRPr="00CD45BC" w:rsidRDefault="00CD45BC" w:rsidP="00CD45BC">
      <w:pPr>
        <w:spacing w:after="0" w:line="240" w:lineRule="auto"/>
        <w:ind w:left="360"/>
      </w:pPr>
      <w:r>
        <w:t>Revised: 03/31/2009, 04/28/2009, 05/26/2012, 07/18/2016, 08/28/2017, 12/17/2018</w:t>
      </w:r>
    </w:p>
    <w:p w14:paraId="238C0490" w14:textId="77777777" w:rsidR="00CD45BC" w:rsidRPr="00CD45BC" w:rsidRDefault="00CD45BC" w:rsidP="00CD45BC">
      <w:pPr>
        <w:spacing w:after="0" w:line="240" w:lineRule="auto"/>
        <w:ind w:left="360"/>
      </w:pPr>
      <w:r>
        <w:t>Edited: 01/21/2022, 04/20/2022</w:t>
      </w:r>
    </w:p>
    <w:p w14:paraId="4D97D93C" w14:textId="77777777" w:rsidR="605855A5" w:rsidRDefault="605855A5" w:rsidP="00CD45BC">
      <w:pPr>
        <w:pStyle w:val="Heading2"/>
      </w:pPr>
    </w:p>
    <w:p w14:paraId="5575B33B" w14:textId="77777777" w:rsidR="00331664" w:rsidRDefault="605855A5">
      <w:r>
        <w:t xml:space="preserve"> </w:t>
      </w:r>
      <w:r>
        <w:br w:type="page"/>
      </w:r>
    </w:p>
    <w:p w14:paraId="1F69AF82" w14:textId="77777777" w:rsidR="000D6343" w:rsidRPr="000D6343" w:rsidRDefault="7A870804" w:rsidP="00471B9E">
      <w:pPr>
        <w:pStyle w:val="Heading2"/>
      </w:pPr>
      <w:bookmarkStart w:id="304" w:name="_Toc1016204539"/>
      <w:bookmarkStart w:id="305" w:name="B17"/>
      <w:bookmarkStart w:id="306" w:name="_Toc212142214"/>
      <w:bookmarkStart w:id="307" w:name="_Toc225507754"/>
      <w:r>
        <w:lastRenderedPageBreak/>
        <w:t>Appendix B-17</w:t>
      </w:r>
      <w:bookmarkEnd w:id="304"/>
      <w:r>
        <w:t xml:space="preserve">  </w:t>
      </w:r>
      <w:bookmarkEnd w:id="305"/>
      <w:r>
        <w:t>Short Form Informed Consent</w:t>
      </w:r>
      <w:bookmarkEnd w:id="306"/>
      <w:bookmarkEnd w:id="307"/>
    </w:p>
    <w:p w14:paraId="347ED63C" w14:textId="77777777" w:rsidR="000D6343" w:rsidRPr="000D6343" w:rsidRDefault="000D6343" w:rsidP="000D6343">
      <w:pPr>
        <w:spacing w:after="0" w:line="240" w:lineRule="auto"/>
        <w:rPr>
          <w:b/>
          <w:smallCaps/>
          <w:sz w:val="20"/>
          <w:szCs w:val="20"/>
        </w:rPr>
      </w:pPr>
      <w:r>
        <w:rPr>
          <w:b/>
          <w:smallCaps/>
          <w:sz w:val="20"/>
          <w:szCs w:val="20"/>
        </w:rPr>
        <w:t xml:space="preserve">        </w:t>
      </w:r>
    </w:p>
    <w:p w14:paraId="00ED84A2" w14:textId="77777777" w:rsidR="000D6343" w:rsidRPr="000D6343" w:rsidRDefault="000D6343" w:rsidP="000D6343">
      <w:pPr>
        <w:spacing w:after="0" w:line="240" w:lineRule="auto"/>
        <w:rPr>
          <w:b/>
          <w:smallCaps/>
        </w:rPr>
      </w:pPr>
    </w:p>
    <w:p w14:paraId="3305DD3F" w14:textId="77777777" w:rsidR="000D6343" w:rsidRPr="000D6343" w:rsidRDefault="000D6343" w:rsidP="00A07209">
      <w:pPr>
        <w:numPr>
          <w:ilvl w:val="0"/>
          <w:numId w:val="246"/>
        </w:numPr>
        <w:spacing w:after="0" w:line="240" w:lineRule="auto"/>
        <w:rPr>
          <w:b/>
          <w:smallCaps/>
        </w:rPr>
      </w:pPr>
      <w:r>
        <w:rPr>
          <w:b/>
        </w:rPr>
        <w:t>Overview</w:t>
      </w:r>
    </w:p>
    <w:p w14:paraId="03057BAE" w14:textId="77777777" w:rsidR="000D6343" w:rsidRPr="000D6343" w:rsidRDefault="000D6343" w:rsidP="000D6343">
      <w:pPr>
        <w:spacing w:after="0" w:line="240" w:lineRule="auto"/>
      </w:pPr>
    </w:p>
    <w:p w14:paraId="04666D43" w14:textId="77777777" w:rsidR="000D6343" w:rsidRPr="000D6343" w:rsidRDefault="000D6343" w:rsidP="000D6343">
      <w:pPr>
        <w:spacing w:after="0" w:line="240" w:lineRule="auto"/>
        <w:ind w:left="360"/>
      </w:pPr>
      <w:r>
        <w:t>Federal regulations require that the informed consent process is conducted in “language understandable” to research participants, and, with certain exceptions, that informed consent is documented in writing by use of a written consent form approved by the IRB and signed and dated by the individual or the individual’s legally authorized representative. In limited situations the regulations permit the informed consent process to be conducted orally, with a written “short form” consent document. This process may be used to obtain the informed consent of non-English speaking subjects or their legally authorized representatives as described in detail below.</w:t>
      </w:r>
    </w:p>
    <w:p w14:paraId="687A5129" w14:textId="77777777" w:rsidR="000D6343" w:rsidRPr="000D6343" w:rsidRDefault="000D6343" w:rsidP="000D6343">
      <w:pPr>
        <w:spacing w:after="0" w:line="240" w:lineRule="auto"/>
      </w:pPr>
    </w:p>
    <w:p w14:paraId="3788725B" w14:textId="77777777" w:rsidR="000D6343" w:rsidRPr="000D6343" w:rsidRDefault="000D6343" w:rsidP="00A07209">
      <w:pPr>
        <w:numPr>
          <w:ilvl w:val="0"/>
          <w:numId w:val="241"/>
        </w:numPr>
        <w:spacing w:after="0" w:line="240" w:lineRule="auto"/>
        <w:rPr>
          <w:b/>
          <w:smallCaps/>
        </w:rPr>
      </w:pPr>
      <w:r>
        <w:rPr>
          <w:b/>
        </w:rPr>
        <w:t>Definitions</w:t>
      </w:r>
    </w:p>
    <w:p w14:paraId="0897E58D" w14:textId="77777777" w:rsidR="000D6343" w:rsidRPr="000D6343" w:rsidRDefault="000D6343" w:rsidP="000D6343">
      <w:pPr>
        <w:spacing w:after="0" w:line="240" w:lineRule="auto"/>
        <w:ind w:left="360"/>
        <w:rPr>
          <w:b/>
          <w:smallCaps/>
        </w:rPr>
      </w:pPr>
    </w:p>
    <w:p w14:paraId="464E198E" w14:textId="77777777" w:rsidR="000D6343" w:rsidRPr="000D6343" w:rsidRDefault="000D6343" w:rsidP="000D6343">
      <w:pPr>
        <w:spacing w:after="0" w:line="240" w:lineRule="auto"/>
        <w:ind w:left="360"/>
      </w:pPr>
      <w:r>
        <w:rPr>
          <w:b/>
        </w:rPr>
        <w:t xml:space="preserve">Short Form: </w:t>
      </w:r>
      <w:r>
        <w:t>A written document stating that the elements of informed consent required by regulation have been presented orally to the subject or the subject's legally authorized representative. The short form consent document must be written in a language understandable to the subject or the subject's legally authorized representative.</w:t>
      </w:r>
    </w:p>
    <w:p w14:paraId="3D37336E" w14:textId="77777777" w:rsidR="000D6343" w:rsidRPr="000D6343" w:rsidRDefault="000D6343" w:rsidP="000D6343">
      <w:pPr>
        <w:spacing w:after="0" w:line="240" w:lineRule="auto"/>
        <w:ind w:left="360"/>
      </w:pPr>
    </w:p>
    <w:p w14:paraId="09BCCA72" w14:textId="77777777" w:rsidR="000D6343" w:rsidRPr="000D6343" w:rsidRDefault="000D6343" w:rsidP="000D6343">
      <w:pPr>
        <w:spacing w:after="0" w:line="240" w:lineRule="auto"/>
        <w:ind w:left="360"/>
      </w:pPr>
      <w:r>
        <w:rPr>
          <w:b/>
        </w:rPr>
        <w:t xml:space="preserve">Summary Document: </w:t>
      </w:r>
      <w:r>
        <w:t>A written version of the full information presented to a subject or the subject's legally authorized representative during the informed consent process, used in conjunction with a short form consent document. For non-English speaking individuals, the IRB-approved English language consent form may serve as the summary when an appropriately translated document is not available.</w:t>
      </w:r>
    </w:p>
    <w:p w14:paraId="2AAF35D5" w14:textId="77777777" w:rsidR="000D6343" w:rsidRPr="000D6343" w:rsidRDefault="000D6343" w:rsidP="000D6343">
      <w:pPr>
        <w:spacing w:after="0" w:line="240" w:lineRule="auto"/>
        <w:rPr>
          <w:u w:val="single"/>
        </w:rPr>
      </w:pPr>
    </w:p>
    <w:p w14:paraId="1EB0EB9F" w14:textId="77777777" w:rsidR="000D6343" w:rsidRPr="000D6343" w:rsidRDefault="000D6343" w:rsidP="00A07209">
      <w:pPr>
        <w:numPr>
          <w:ilvl w:val="0"/>
          <w:numId w:val="240"/>
        </w:numPr>
        <w:spacing w:after="0" w:line="240" w:lineRule="auto"/>
        <w:rPr>
          <w:u w:val="single"/>
        </w:rPr>
      </w:pPr>
      <w:r>
        <w:rPr>
          <w:b/>
        </w:rPr>
        <w:t>Use of the Short Form Consent Document</w:t>
      </w:r>
    </w:p>
    <w:p w14:paraId="044BF1EE" w14:textId="77777777" w:rsidR="000D6343" w:rsidRPr="000D6343" w:rsidRDefault="000D6343" w:rsidP="000D6343">
      <w:pPr>
        <w:spacing w:after="0" w:line="240" w:lineRule="auto"/>
      </w:pPr>
    </w:p>
    <w:p w14:paraId="708CEFA8" w14:textId="77777777" w:rsidR="000D6343" w:rsidRPr="000D6343" w:rsidRDefault="000D6343" w:rsidP="000D6343">
      <w:pPr>
        <w:spacing w:after="60" w:line="240" w:lineRule="auto"/>
        <w:ind w:left="360"/>
      </w:pPr>
      <w:r>
        <w:t>The short form consent document may be used only in the following circumstance:</w:t>
      </w:r>
    </w:p>
    <w:p w14:paraId="69D2E2B6" w14:textId="77777777" w:rsidR="000D6343" w:rsidRPr="000D6343" w:rsidRDefault="000D6343" w:rsidP="00A07209">
      <w:pPr>
        <w:numPr>
          <w:ilvl w:val="0"/>
          <w:numId w:val="238"/>
        </w:numPr>
        <w:tabs>
          <w:tab w:val="num" w:pos="1080"/>
        </w:tabs>
        <w:spacing w:after="60" w:line="240" w:lineRule="auto"/>
        <w:ind w:left="1080"/>
      </w:pPr>
      <w:r>
        <w:t>The participant or legally authorized representative does not speak/understand English,</w:t>
      </w:r>
    </w:p>
    <w:p w14:paraId="5A50427F" w14:textId="77777777" w:rsidR="000D6343" w:rsidRPr="000D6343" w:rsidRDefault="000D6343" w:rsidP="00A07209">
      <w:pPr>
        <w:numPr>
          <w:ilvl w:val="0"/>
          <w:numId w:val="238"/>
        </w:numPr>
        <w:tabs>
          <w:tab w:val="num" w:pos="1080"/>
        </w:tabs>
        <w:spacing w:after="60" w:line="240" w:lineRule="auto"/>
        <w:ind w:left="1080"/>
      </w:pPr>
      <w:r>
        <w:t>The participant or legally authorized representative speaks only a language(s) that was not anticipated in the study population or location (i.e., “unexpectedly encountered”),</w:t>
      </w:r>
    </w:p>
    <w:p w14:paraId="5413EEEF" w14:textId="77777777" w:rsidR="000D6343" w:rsidRPr="000D6343" w:rsidRDefault="000D6343" w:rsidP="00A07209">
      <w:pPr>
        <w:numPr>
          <w:ilvl w:val="0"/>
          <w:numId w:val="238"/>
        </w:numPr>
        <w:tabs>
          <w:tab w:val="num" w:pos="1080"/>
        </w:tabs>
        <w:spacing w:after="60" w:line="240" w:lineRule="auto"/>
        <w:ind w:left="1080"/>
      </w:pPr>
      <w:r>
        <w:t>An appropriately translated consent form in the participant’s language has not been approved by the IRB, and</w:t>
      </w:r>
    </w:p>
    <w:p w14:paraId="1BC216C6" w14:textId="77777777" w:rsidR="000D6343" w:rsidRPr="000D6343" w:rsidRDefault="000D6343" w:rsidP="00A07209">
      <w:pPr>
        <w:numPr>
          <w:ilvl w:val="0"/>
          <w:numId w:val="238"/>
        </w:numPr>
        <w:tabs>
          <w:tab w:val="num" w:pos="1080"/>
        </w:tabs>
        <w:spacing w:after="0" w:line="240" w:lineRule="auto"/>
        <w:ind w:left="1080"/>
      </w:pPr>
      <w:r>
        <w:t>There is not adequate time for preparation and IRB review and approval of a translated consent form.</w:t>
      </w:r>
    </w:p>
    <w:p w14:paraId="7FF07C7F" w14:textId="77777777" w:rsidR="000D6343" w:rsidRPr="000D6343" w:rsidRDefault="000D6343" w:rsidP="000D6343">
      <w:pPr>
        <w:spacing w:after="0" w:line="240" w:lineRule="auto"/>
        <w:ind w:left="360"/>
      </w:pPr>
    </w:p>
    <w:p w14:paraId="47E51AC8" w14:textId="77777777" w:rsidR="000D6343" w:rsidRPr="000D6343" w:rsidRDefault="000D6343" w:rsidP="00076836">
      <w:pPr>
        <w:spacing w:after="0" w:line="240" w:lineRule="auto"/>
        <w:ind w:left="360"/>
      </w:pPr>
      <w:r>
        <w:t xml:space="preserve">When the study population or location includes people who speak a language other than English, or where the circumstances of subject enrollment provide sufficient time for preparation and IRB review of translated documents, the short form should not be used. </w:t>
      </w:r>
    </w:p>
    <w:p w14:paraId="3B41543B" w14:textId="77777777" w:rsidR="000D6343" w:rsidRPr="000D6343" w:rsidRDefault="000D6343" w:rsidP="000D6343">
      <w:pPr>
        <w:spacing w:after="0" w:line="240" w:lineRule="auto"/>
        <w:ind w:left="360"/>
        <w:rPr>
          <w:b/>
        </w:rPr>
      </w:pPr>
    </w:p>
    <w:p w14:paraId="544932A6" w14:textId="77777777" w:rsidR="000D6343" w:rsidRPr="000D6343" w:rsidRDefault="000D6343" w:rsidP="00A07209">
      <w:pPr>
        <w:numPr>
          <w:ilvl w:val="0"/>
          <w:numId w:val="242"/>
        </w:numPr>
        <w:spacing w:after="0" w:line="240" w:lineRule="auto"/>
        <w:rPr>
          <w:b/>
        </w:rPr>
      </w:pPr>
      <w:r>
        <w:rPr>
          <w:b/>
        </w:rPr>
        <w:t>Informed Consent Process Using the Short Form</w:t>
      </w:r>
    </w:p>
    <w:p w14:paraId="1728F4A1" w14:textId="77777777" w:rsidR="000D6343" w:rsidRPr="000D6343" w:rsidRDefault="000D6343" w:rsidP="000D6343">
      <w:pPr>
        <w:spacing w:after="0" w:line="240" w:lineRule="auto"/>
      </w:pPr>
    </w:p>
    <w:p w14:paraId="193D94AA" w14:textId="77777777" w:rsidR="000D6343" w:rsidRPr="000D6343" w:rsidRDefault="000D6343" w:rsidP="000D6343">
      <w:pPr>
        <w:spacing w:after="60" w:line="240" w:lineRule="auto"/>
        <w:ind w:left="360"/>
      </w:pPr>
      <w:r>
        <w:t>When informed consent is obtained using the short form, an oral translation of the approved English language consent form is presented. If needed, an interpreter should be available to assist with any questions from prospective participants during the consent process. Participants must also receive both of the following:</w:t>
      </w:r>
    </w:p>
    <w:p w14:paraId="6A7CFEDE" w14:textId="77777777" w:rsidR="000D6343" w:rsidRPr="000D6343" w:rsidRDefault="000D6343" w:rsidP="00A07209">
      <w:pPr>
        <w:numPr>
          <w:ilvl w:val="0"/>
          <w:numId w:val="239"/>
        </w:numPr>
        <w:tabs>
          <w:tab w:val="num" w:pos="900"/>
        </w:tabs>
        <w:spacing w:after="60" w:line="240" w:lineRule="auto"/>
        <w:ind w:left="1080"/>
      </w:pPr>
      <w:r>
        <w:t>The written short form consent document translated into the appropriate language</w:t>
      </w:r>
    </w:p>
    <w:p w14:paraId="584A84EE" w14:textId="77777777" w:rsidR="004A6252" w:rsidRDefault="000D6343" w:rsidP="00A07209">
      <w:pPr>
        <w:numPr>
          <w:ilvl w:val="0"/>
          <w:numId w:val="239"/>
        </w:numPr>
        <w:tabs>
          <w:tab w:val="num" w:pos="900"/>
        </w:tabs>
        <w:spacing w:after="0" w:line="240" w:lineRule="auto"/>
        <w:ind w:left="1080"/>
      </w:pPr>
      <w:r>
        <w:t>A copy of the IRB-approved English language consent form to serve as the written summary of the research</w:t>
      </w:r>
    </w:p>
    <w:p w14:paraId="3DDA8916" w14:textId="77777777" w:rsidR="000D6343" w:rsidRPr="004A6252" w:rsidRDefault="000D6343" w:rsidP="00A07209">
      <w:pPr>
        <w:numPr>
          <w:ilvl w:val="0"/>
          <w:numId w:val="239"/>
        </w:numPr>
        <w:tabs>
          <w:tab w:val="num" w:pos="900"/>
        </w:tabs>
        <w:spacing w:after="0" w:line="240" w:lineRule="auto"/>
        <w:ind w:left="1080"/>
      </w:pPr>
      <w:r>
        <w:t>A witness to the oral presentation of the informed consent information is required as described below.</w:t>
      </w:r>
    </w:p>
    <w:p w14:paraId="03C9D6AE" w14:textId="77777777" w:rsidR="000D6343" w:rsidRPr="000D6343" w:rsidRDefault="000D6343" w:rsidP="000D6343">
      <w:pPr>
        <w:spacing w:after="0" w:line="240" w:lineRule="auto"/>
      </w:pPr>
    </w:p>
    <w:p w14:paraId="713D81D6" w14:textId="77777777" w:rsidR="000D6343" w:rsidRPr="000D6343" w:rsidRDefault="000D6343" w:rsidP="00A07209">
      <w:pPr>
        <w:numPr>
          <w:ilvl w:val="2"/>
          <w:numId w:val="242"/>
        </w:numPr>
        <w:tabs>
          <w:tab w:val="left" w:pos="720"/>
        </w:tabs>
        <w:spacing w:after="0" w:line="240" w:lineRule="auto"/>
        <w:ind w:left="720"/>
        <w:rPr>
          <w:b/>
        </w:rPr>
      </w:pPr>
      <w:r>
        <w:rPr>
          <w:b/>
        </w:rPr>
        <w:t>Witness Requirements</w:t>
      </w:r>
    </w:p>
    <w:p w14:paraId="5FAAEA86" w14:textId="77777777" w:rsidR="000D6343" w:rsidRPr="000D6343" w:rsidRDefault="000D6343" w:rsidP="000D6343">
      <w:pPr>
        <w:spacing w:after="0" w:line="240" w:lineRule="auto"/>
      </w:pPr>
    </w:p>
    <w:p w14:paraId="3AF3F337" w14:textId="77777777" w:rsidR="000D6343" w:rsidRPr="000D6343" w:rsidRDefault="000D6343" w:rsidP="000D6343">
      <w:pPr>
        <w:spacing w:after="0" w:line="240" w:lineRule="auto"/>
        <w:ind w:left="720"/>
      </w:pPr>
      <w:r>
        <w:lastRenderedPageBreak/>
        <w:t>An adult who is fluent in both English and the language understandable to the prospective participant must witness the entire consent process. The witness is required to verify the adequacy of the informed consent process and the participant’s voluntary consent. An individual who assists as an interpreter may also serve as the witness. The individual obtaining consent may not serve as a witness to the process.</w:t>
      </w:r>
    </w:p>
    <w:p w14:paraId="3BC66B55" w14:textId="77777777" w:rsidR="000D6343" w:rsidRPr="000D6343" w:rsidRDefault="000D6343" w:rsidP="000D6343">
      <w:pPr>
        <w:spacing w:after="0" w:line="240" w:lineRule="auto"/>
        <w:rPr>
          <w:b/>
        </w:rPr>
      </w:pPr>
    </w:p>
    <w:p w14:paraId="46107A5D" w14:textId="77777777" w:rsidR="000D6343" w:rsidRPr="000D6343" w:rsidRDefault="000D6343" w:rsidP="00A07209">
      <w:pPr>
        <w:numPr>
          <w:ilvl w:val="1"/>
          <w:numId w:val="242"/>
        </w:numPr>
        <w:tabs>
          <w:tab w:val="left" w:pos="720"/>
          <w:tab w:val="left" w:pos="1260"/>
        </w:tabs>
        <w:spacing w:after="0" w:line="240" w:lineRule="auto"/>
        <w:rPr>
          <w:b/>
        </w:rPr>
      </w:pPr>
      <w:r>
        <w:rPr>
          <w:b/>
        </w:rPr>
        <w:t>Interpreter Requirements</w:t>
      </w:r>
    </w:p>
    <w:p w14:paraId="01331D80" w14:textId="77777777" w:rsidR="000D6343" w:rsidRPr="000D6343" w:rsidRDefault="000D6343" w:rsidP="000D6343">
      <w:pPr>
        <w:tabs>
          <w:tab w:val="left" w:pos="1260"/>
        </w:tabs>
        <w:spacing w:after="0" w:line="240" w:lineRule="auto"/>
        <w:ind w:left="720"/>
        <w:rPr>
          <w:b/>
        </w:rPr>
      </w:pPr>
    </w:p>
    <w:p w14:paraId="20FF7791" w14:textId="77777777" w:rsidR="000D6343" w:rsidRPr="000D6343" w:rsidRDefault="000D6343" w:rsidP="000D6343">
      <w:pPr>
        <w:tabs>
          <w:tab w:val="left" w:pos="1260"/>
        </w:tabs>
        <w:spacing w:after="0" w:line="240" w:lineRule="auto"/>
        <w:ind w:left="720"/>
      </w:pPr>
      <w:r>
        <w:t xml:space="preserve">A qualified healthcare interpreter with specific training in medical interpretation should be used in research involving complex diagnostic or medical procedures. Family members may not serve as interpreters for the consent process except in emergency, life-threatening situations. </w:t>
      </w:r>
    </w:p>
    <w:p w14:paraId="039AB4C5" w14:textId="77777777" w:rsidR="000D6343" w:rsidRPr="000D6343" w:rsidRDefault="000D6343" w:rsidP="000D6343">
      <w:pPr>
        <w:tabs>
          <w:tab w:val="left" w:pos="1260"/>
        </w:tabs>
        <w:spacing w:after="0" w:line="240" w:lineRule="auto"/>
        <w:ind w:left="720"/>
        <w:rPr>
          <w:b/>
        </w:rPr>
      </w:pPr>
    </w:p>
    <w:p w14:paraId="6115A64B" w14:textId="77777777" w:rsidR="000D6343" w:rsidRPr="000D6343" w:rsidRDefault="000D6343" w:rsidP="00A07209">
      <w:pPr>
        <w:numPr>
          <w:ilvl w:val="1"/>
          <w:numId w:val="243"/>
        </w:numPr>
        <w:tabs>
          <w:tab w:val="left" w:pos="720"/>
          <w:tab w:val="left" w:pos="1260"/>
        </w:tabs>
        <w:spacing w:after="0" w:line="240" w:lineRule="auto"/>
        <w:rPr>
          <w:b/>
        </w:rPr>
      </w:pPr>
      <w:r>
        <w:rPr>
          <w:b/>
        </w:rPr>
        <w:t>Signature Requirements</w:t>
      </w:r>
    </w:p>
    <w:p w14:paraId="169980B3" w14:textId="77777777" w:rsidR="000D6343" w:rsidRPr="000D6343" w:rsidRDefault="000D6343" w:rsidP="000D6343">
      <w:pPr>
        <w:spacing w:after="0" w:line="240" w:lineRule="auto"/>
      </w:pPr>
    </w:p>
    <w:p w14:paraId="19EB0EF9" w14:textId="77777777" w:rsidR="000D6343" w:rsidRPr="000D6343" w:rsidRDefault="000D6343" w:rsidP="000D6343">
      <w:pPr>
        <w:spacing w:after="0" w:line="240" w:lineRule="auto"/>
        <w:ind w:left="720"/>
      </w:pPr>
      <w:r>
        <w:t>The subject or the subject’s legally authorized representative and the witness must sign and date the short form consent document. The witness and the individual obtaining the informed consent of the participant must sign and date a copy of the summary document (i.e., IRB-approved English language consent form).</w:t>
      </w:r>
    </w:p>
    <w:p w14:paraId="69AA25EB" w14:textId="77777777" w:rsidR="000D6343" w:rsidRPr="000D6343" w:rsidRDefault="000D6343" w:rsidP="000D6343">
      <w:pPr>
        <w:spacing w:after="0" w:line="240" w:lineRule="auto"/>
      </w:pPr>
    </w:p>
    <w:p w14:paraId="3F7DA2CE" w14:textId="77777777" w:rsidR="000D6343" w:rsidRPr="000D6343" w:rsidRDefault="000D6343" w:rsidP="00A07209">
      <w:pPr>
        <w:numPr>
          <w:ilvl w:val="1"/>
          <w:numId w:val="244"/>
        </w:numPr>
        <w:tabs>
          <w:tab w:val="num" w:pos="720"/>
        </w:tabs>
        <w:spacing w:after="0" w:line="240" w:lineRule="auto"/>
        <w:rPr>
          <w:b/>
        </w:rPr>
      </w:pPr>
      <w:r>
        <w:rPr>
          <w:b/>
        </w:rPr>
        <w:t>Copies</w:t>
      </w:r>
    </w:p>
    <w:p w14:paraId="51DB8B08" w14:textId="77777777" w:rsidR="000D6343" w:rsidRPr="000D6343" w:rsidRDefault="000D6343" w:rsidP="000D6343">
      <w:pPr>
        <w:spacing w:after="0" w:line="240" w:lineRule="auto"/>
      </w:pPr>
    </w:p>
    <w:p w14:paraId="6E7195B5" w14:textId="77777777" w:rsidR="000D6343" w:rsidRPr="000D6343" w:rsidRDefault="000D6343" w:rsidP="000D6343">
      <w:pPr>
        <w:spacing w:after="0" w:line="240" w:lineRule="auto"/>
        <w:ind w:left="720"/>
        <w:rPr>
          <w:b/>
        </w:rPr>
      </w:pPr>
      <w:r>
        <w:t>Copies of the signed and dated short form and the summary document (i.e., IRB-approved English language consent form) must be given to the subject or the subject’s legally authorized representative.</w:t>
      </w:r>
    </w:p>
    <w:p w14:paraId="16893EDC" w14:textId="77777777" w:rsidR="000D6343" w:rsidRPr="000D6343" w:rsidRDefault="000D6343" w:rsidP="000D6343">
      <w:pPr>
        <w:spacing w:after="0" w:line="240" w:lineRule="auto"/>
        <w:rPr>
          <w:b/>
        </w:rPr>
      </w:pPr>
    </w:p>
    <w:p w14:paraId="2A3D4C60" w14:textId="77777777" w:rsidR="000D6343" w:rsidRPr="000D6343" w:rsidRDefault="000D6343" w:rsidP="00A07209">
      <w:pPr>
        <w:numPr>
          <w:ilvl w:val="0"/>
          <w:numId w:val="245"/>
        </w:numPr>
        <w:spacing w:after="0" w:line="240" w:lineRule="auto"/>
        <w:rPr>
          <w:b/>
        </w:rPr>
      </w:pPr>
      <w:r>
        <w:rPr>
          <w:b/>
        </w:rPr>
        <w:t>Short Form Document Requirements</w:t>
      </w:r>
    </w:p>
    <w:p w14:paraId="0CA7B92C" w14:textId="77777777" w:rsidR="000D6343" w:rsidRPr="000D6343" w:rsidRDefault="000D6343" w:rsidP="000D6343">
      <w:pPr>
        <w:spacing w:after="0" w:line="240" w:lineRule="auto"/>
      </w:pPr>
    </w:p>
    <w:p w14:paraId="19778C9A" w14:textId="77777777" w:rsidR="000D6343" w:rsidRPr="000D6343" w:rsidRDefault="000D6343" w:rsidP="000D6343">
      <w:pPr>
        <w:spacing w:after="0" w:line="240" w:lineRule="auto"/>
        <w:ind w:left="360"/>
        <w:rPr>
          <w:b/>
        </w:rPr>
      </w:pPr>
      <w:r>
        <w:t xml:space="preserve">Translations of the short form consent document must receive IRB approval before use. The IRB-approved English language short form template and approved translations are available on the Office of Responsible Research Practices (ORRP) website. Investigators who require a short form consent document in a language not previously approved are advised to contact ORRP staff for assistance with translation costs. New translations of the approved English language short form may receive expedited IRB review. As additional versions of the short form are approved, they will be made available for general use. </w:t>
      </w:r>
    </w:p>
    <w:p w14:paraId="1A59AB97" w14:textId="77777777" w:rsidR="000D6343" w:rsidRPr="000D6343" w:rsidRDefault="000D6343" w:rsidP="000D6343">
      <w:pPr>
        <w:spacing w:after="0" w:line="240" w:lineRule="auto"/>
        <w:rPr>
          <w:b/>
        </w:rPr>
      </w:pPr>
    </w:p>
    <w:p w14:paraId="7D1889CE" w14:textId="77777777" w:rsidR="000D6343" w:rsidRPr="000D6343" w:rsidRDefault="000D6343" w:rsidP="00A07209">
      <w:pPr>
        <w:numPr>
          <w:ilvl w:val="0"/>
          <w:numId w:val="245"/>
        </w:numPr>
        <w:spacing w:after="0" w:line="240" w:lineRule="auto"/>
        <w:rPr>
          <w:b/>
        </w:rPr>
      </w:pPr>
      <w:r>
        <w:rPr>
          <w:b/>
        </w:rPr>
        <w:t xml:space="preserve">Follow-up Translation Requirements </w:t>
      </w:r>
    </w:p>
    <w:p w14:paraId="316BAEC1" w14:textId="77777777" w:rsidR="000D6343" w:rsidRPr="000D6343" w:rsidRDefault="000D6343" w:rsidP="000D6343">
      <w:pPr>
        <w:spacing w:after="0" w:line="240" w:lineRule="auto"/>
      </w:pPr>
    </w:p>
    <w:p w14:paraId="0B1BF2F7" w14:textId="77777777" w:rsidR="000D6343" w:rsidRPr="000D6343" w:rsidRDefault="000D6343" w:rsidP="000D6343">
      <w:pPr>
        <w:spacing w:after="0" w:line="240" w:lineRule="auto"/>
        <w:ind w:left="360"/>
      </w:pPr>
      <w:r>
        <w:t>The full IRB-approved English language consent form must be translated into a written document in the language of the subject or the subject’s legally authorized representative. Translation into a language other than English must be performed by a qualified translator (e.g., native speaker in the language, professional translation services, etc.). The IRB may request verification by an independent expert in that language, as necessary. The translated document, as well as documentation of the qualifications of the translator, must be submitted to the IRB for final approval. This document must be provided to the participant or representative as a reference for the study within a reasonable time, usually no more than 90 days following use of the short form. The costs associated with translation of the full consent form will not be borne by ORRP.</w:t>
      </w:r>
    </w:p>
    <w:p w14:paraId="4A44A0D5" w14:textId="77777777" w:rsidR="000D6343" w:rsidRPr="000D6343" w:rsidRDefault="000D6343" w:rsidP="000D6343">
      <w:pPr>
        <w:spacing w:after="0" w:line="240" w:lineRule="auto"/>
      </w:pPr>
    </w:p>
    <w:p w14:paraId="45DAE093" w14:textId="77777777" w:rsidR="000D6343" w:rsidRPr="000D6343" w:rsidRDefault="000D6343" w:rsidP="000D6343">
      <w:pPr>
        <w:spacing w:after="0" w:line="240" w:lineRule="auto"/>
        <w:ind w:left="360"/>
      </w:pPr>
      <w:r>
        <w:t>Subsequent participants speaking the same language who enroll in the research must be presented with the translated written consent document. Routine oral presentation of informed consent information documented by use of the short form may not be substituted for fully translated written materials.</w:t>
      </w:r>
    </w:p>
    <w:p w14:paraId="78E62F08" w14:textId="77777777" w:rsidR="000D6343" w:rsidRPr="000D6343" w:rsidRDefault="000D6343" w:rsidP="000D6343">
      <w:pPr>
        <w:spacing w:after="0" w:line="240" w:lineRule="auto"/>
      </w:pPr>
    </w:p>
    <w:p w14:paraId="31A7389F" w14:textId="77777777" w:rsidR="000D6343" w:rsidRPr="000D6343" w:rsidRDefault="000D6343" w:rsidP="00A07209">
      <w:pPr>
        <w:numPr>
          <w:ilvl w:val="0"/>
          <w:numId w:val="245"/>
        </w:numPr>
        <w:spacing w:after="0" w:line="240" w:lineRule="auto"/>
      </w:pPr>
      <w:r>
        <w:rPr>
          <w:b/>
        </w:rPr>
        <w:t>Applicable Regulations/Guidance</w:t>
      </w:r>
    </w:p>
    <w:p w14:paraId="77340932" w14:textId="77777777" w:rsidR="000D6343" w:rsidRPr="000D6343" w:rsidRDefault="000D6343" w:rsidP="000D6343">
      <w:pPr>
        <w:spacing w:after="0" w:line="240" w:lineRule="auto"/>
        <w:ind w:left="360"/>
      </w:pPr>
    </w:p>
    <w:p w14:paraId="2251B069" w14:textId="77777777" w:rsidR="000D6343" w:rsidRPr="000D6343" w:rsidRDefault="000D6343" w:rsidP="000D6343">
      <w:pPr>
        <w:spacing w:after="0" w:line="240" w:lineRule="auto"/>
        <w:ind w:left="360"/>
      </w:pPr>
      <w:r>
        <w:t xml:space="preserve">45 CFR 46.117(b)(2), 21 CFR 50.27(b)(2), OHRP Guidance “Obtaining and Documenting Informed Consent of Subjects Who Do Not Speak English” (11/09/95), FDA Information Sheets “A Guide to Informed Consent” (09/98), </w:t>
      </w:r>
      <w:r>
        <w:lastRenderedPageBreak/>
        <w:t>“Interpretation &amp; Translation Services” The Ohio State University Policy and Procedure Manuals for University Hospitals and James Cancer Hospital and Solove Research Institute (# 03-05, revised 2012)</w:t>
      </w:r>
    </w:p>
    <w:p w14:paraId="32E97FB1" w14:textId="77777777" w:rsidR="000D6343" w:rsidRPr="000D6343" w:rsidRDefault="000D6343" w:rsidP="000D6343">
      <w:pPr>
        <w:spacing w:after="0" w:line="240" w:lineRule="auto"/>
        <w:ind w:left="360"/>
      </w:pPr>
    </w:p>
    <w:p w14:paraId="42D47115" w14:textId="77777777" w:rsidR="000D6343" w:rsidRPr="000D6343" w:rsidRDefault="000D6343" w:rsidP="00A07209">
      <w:pPr>
        <w:numPr>
          <w:ilvl w:val="0"/>
          <w:numId w:val="245"/>
        </w:numPr>
        <w:spacing w:after="0" w:line="240" w:lineRule="auto"/>
        <w:rPr>
          <w:b/>
        </w:rPr>
      </w:pPr>
      <w:r>
        <w:rPr>
          <w:b/>
        </w:rPr>
        <w:t>History</w:t>
      </w:r>
    </w:p>
    <w:p w14:paraId="6B030CEA" w14:textId="77777777" w:rsidR="000D6343" w:rsidRPr="000D6343" w:rsidRDefault="000D6343" w:rsidP="000D6343">
      <w:pPr>
        <w:spacing w:after="0" w:line="240" w:lineRule="auto"/>
        <w:rPr>
          <w:b/>
        </w:rPr>
      </w:pPr>
    </w:p>
    <w:p w14:paraId="6F13687D" w14:textId="77777777" w:rsidR="000D6343" w:rsidRPr="000D6343" w:rsidRDefault="000D6343" w:rsidP="000D6343">
      <w:pPr>
        <w:spacing w:after="0" w:line="240" w:lineRule="auto"/>
        <w:ind w:left="360"/>
      </w:pPr>
      <w:r>
        <w:t>Issued: 05/21/2007</w:t>
      </w:r>
    </w:p>
    <w:p w14:paraId="569C6A6F" w14:textId="77777777" w:rsidR="000D6343" w:rsidRPr="000D6343" w:rsidRDefault="000D6343" w:rsidP="000D6343">
      <w:pPr>
        <w:spacing w:after="0" w:line="240" w:lineRule="auto"/>
        <w:ind w:left="360"/>
      </w:pPr>
      <w:r>
        <w:t>Revised: 07/25/2010, 05/25/2012, 12/17/2018</w:t>
      </w:r>
    </w:p>
    <w:p w14:paraId="49AC1B3C" w14:textId="77777777" w:rsidR="000D6343" w:rsidRPr="000D6343" w:rsidRDefault="000D6343" w:rsidP="000D6343">
      <w:pPr>
        <w:spacing w:after="0" w:line="240" w:lineRule="auto"/>
        <w:ind w:left="360"/>
      </w:pPr>
      <w:r>
        <w:t>Edited: 09/19/2016, 02/06/2019, 01/21/2022, 04/20/2022</w:t>
      </w:r>
    </w:p>
    <w:p w14:paraId="6A9DB0C0" w14:textId="77777777" w:rsidR="000D6343" w:rsidRPr="000D6343" w:rsidRDefault="000D6343" w:rsidP="000D6343">
      <w:pPr>
        <w:spacing w:after="0" w:line="240" w:lineRule="auto"/>
      </w:pPr>
    </w:p>
    <w:p w14:paraId="3E929B6E" w14:textId="77777777" w:rsidR="6A761706" w:rsidRDefault="6A761706" w:rsidP="000D6343">
      <w:pPr>
        <w:pStyle w:val="Heading2"/>
      </w:pPr>
    </w:p>
    <w:p w14:paraId="19619119" w14:textId="77777777" w:rsidR="00331664" w:rsidRDefault="00331664">
      <w:r>
        <w:br w:type="page"/>
      </w:r>
    </w:p>
    <w:p w14:paraId="4F082028" w14:textId="77777777" w:rsidR="000D6343" w:rsidRPr="000D6343" w:rsidRDefault="2D292D03" w:rsidP="00471B9E">
      <w:pPr>
        <w:pStyle w:val="Heading2"/>
      </w:pPr>
      <w:bookmarkStart w:id="308" w:name="_Toc1108758658"/>
      <w:bookmarkStart w:id="309" w:name="B18"/>
      <w:bookmarkStart w:id="310" w:name="_Toc212142215"/>
      <w:bookmarkStart w:id="311" w:name="_Toc225507755"/>
      <w:r>
        <w:lastRenderedPageBreak/>
        <w:t>Appendix B-18</w:t>
      </w:r>
      <w:bookmarkEnd w:id="308"/>
      <w:r>
        <w:t xml:space="preserve">  </w:t>
      </w:r>
      <w:bookmarkEnd w:id="309"/>
      <w:r>
        <w:tab/>
        <w:t>Data and Safety Monitoring</w:t>
      </w:r>
      <w:bookmarkEnd w:id="310"/>
      <w:bookmarkEnd w:id="311"/>
    </w:p>
    <w:p w14:paraId="05C68197" w14:textId="77777777" w:rsidR="000D6343" w:rsidRPr="000D6343" w:rsidRDefault="000D6343" w:rsidP="000D6343">
      <w:pPr>
        <w:spacing w:after="0" w:line="240" w:lineRule="auto"/>
        <w:rPr>
          <w:b/>
          <w:smallCaps/>
        </w:rPr>
      </w:pPr>
    </w:p>
    <w:p w14:paraId="2B663647" w14:textId="77777777" w:rsidR="000D6343" w:rsidRPr="000D6343" w:rsidRDefault="000D6343" w:rsidP="00A07209">
      <w:pPr>
        <w:numPr>
          <w:ilvl w:val="0"/>
          <w:numId w:val="249"/>
        </w:numPr>
        <w:tabs>
          <w:tab w:val="num" w:pos="360"/>
        </w:tabs>
        <w:spacing w:after="0" w:line="240" w:lineRule="auto"/>
        <w:ind w:left="360"/>
        <w:rPr>
          <w:b/>
          <w:smallCaps/>
        </w:rPr>
      </w:pPr>
      <w:r>
        <w:rPr>
          <w:b/>
        </w:rPr>
        <w:t>Overview</w:t>
      </w:r>
    </w:p>
    <w:p w14:paraId="0B3D1305" w14:textId="77777777" w:rsidR="000D6343" w:rsidRPr="000D6343" w:rsidRDefault="000D6343" w:rsidP="000D6343">
      <w:pPr>
        <w:spacing w:after="0" w:line="240" w:lineRule="auto"/>
        <w:rPr>
          <w:b/>
        </w:rPr>
      </w:pPr>
    </w:p>
    <w:p w14:paraId="410F5665" w14:textId="77777777" w:rsidR="000D6343" w:rsidRPr="000D6343" w:rsidRDefault="000D6343" w:rsidP="000D6343">
      <w:pPr>
        <w:widowControl w:val="0"/>
        <w:autoSpaceDE w:val="0"/>
        <w:autoSpaceDN w:val="0"/>
        <w:adjustRightInd w:val="0"/>
        <w:spacing w:after="0" w:line="240" w:lineRule="auto"/>
        <w:ind w:left="360"/>
      </w:pPr>
      <w:r>
        <w:t>For research involving human subjects federal regulations require that, when appropriate, research plans make adequate provisions for monitoring data to ensure the safety of research participants. This policy describes when such provisions are necessary and the range and types of monitoring to be considered.</w:t>
      </w:r>
    </w:p>
    <w:p w14:paraId="047247A6" w14:textId="77777777" w:rsidR="000D6343" w:rsidRPr="000D6343" w:rsidRDefault="000D6343" w:rsidP="000D6343">
      <w:pPr>
        <w:spacing w:after="0" w:line="240" w:lineRule="auto"/>
      </w:pPr>
    </w:p>
    <w:p w14:paraId="2F334E73" w14:textId="77777777" w:rsidR="000D6343" w:rsidRPr="000D6343" w:rsidRDefault="000D6343" w:rsidP="00A07209">
      <w:pPr>
        <w:numPr>
          <w:ilvl w:val="0"/>
          <w:numId w:val="249"/>
        </w:numPr>
        <w:tabs>
          <w:tab w:val="num" w:pos="360"/>
        </w:tabs>
        <w:spacing w:after="0" w:line="240" w:lineRule="auto"/>
        <w:ind w:left="360"/>
      </w:pPr>
      <w:r>
        <w:rPr>
          <w:b/>
        </w:rPr>
        <w:t>Definitions</w:t>
      </w:r>
    </w:p>
    <w:p w14:paraId="5E554C85" w14:textId="77777777" w:rsidR="000D6343" w:rsidRPr="000D6343" w:rsidRDefault="000D6343" w:rsidP="000D6343">
      <w:pPr>
        <w:spacing w:after="0" w:line="240" w:lineRule="auto"/>
        <w:ind w:left="360"/>
        <w:rPr>
          <w:b/>
        </w:rPr>
      </w:pPr>
    </w:p>
    <w:p w14:paraId="096573BF" w14:textId="77777777" w:rsidR="000D6343" w:rsidRPr="000D6343" w:rsidRDefault="000D6343" w:rsidP="000D6343">
      <w:pPr>
        <w:spacing w:after="0" w:line="240" w:lineRule="auto"/>
        <w:ind w:left="360"/>
      </w:pPr>
      <w:r>
        <w:rPr>
          <w:b/>
        </w:rPr>
        <w:t xml:space="preserve">Data and Safety Monitoring: </w:t>
      </w:r>
      <w:r>
        <w:t>The process for reviewing data collected as research progresses to ensure the continued safety of current and future participants as well as the scientific validity and integrity of the research.</w:t>
      </w:r>
    </w:p>
    <w:p w14:paraId="1416094E" w14:textId="77777777" w:rsidR="000D6343" w:rsidRPr="000D6343" w:rsidRDefault="000D6343" w:rsidP="000D6343">
      <w:pPr>
        <w:spacing w:after="0" w:line="240" w:lineRule="auto"/>
        <w:ind w:left="360"/>
      </w:pPr>
    </w:p>
    <w:p w14:paraId="2C6FC18A" w14:textId="77777777" w:rsidR="000D6343" w:rsidRPr="000D6343" w:rsidRDefault="000D6343" w:rsidP="000D6343">
      <w:pPr>
        <w:spacing w:after="0" w:line="240" w:lineRule="auto"/>
        <w:ind w:left="360"/>
        <w:rPr>
          <w:i/>
        </w:rPr>
      </w:pPr>
      <w:r>
        <w:rPr>
          <w:b/>
        </w:rPr>
        <w:t xml:space="preserve">Data and Safety Monitoring Plan: </w:t>
      </w:r>
      <w:r>
        <w:t xml:space="preserve">The plan for reviewing research data to ensure the safety of participants and scientific validity of the research, including who will perform the monitoring, the type and frequency of review, and procedures for notifying appropriate entities (e.g., investigators, sponsor, etc.) of the results. </w:t>
      </w:r>
      <w:r>
        <w:rPr>
          <w:i/>
        </w:rPr>
        <w:t>Note: Monitoring performed by a data and safety monitoring board is one type of data and safety monitoring plan.</w:t>
      </w:r>
    </w:p>
    <w:p w14:paraId="56609A8E" w14:textId="77777777" w:rsidR="000D6343" w:rsidRPr="000D6343" w:rsidRDefault="000D6343" w:rsidP="000D6343">
      <w:pPr>
        <w:spacing w:after="0" w:line="240" w:lineRule="auto"/>
        <w:rPr>
          <w:i/>
        </w:rPr>
      </w:pPr>
    </w:p>
    <w:p w14:paraId="5316281B" w14:textId="77777777" w:rsidR="000D6343" w:rsidRPr="000D6343" w:rsidRDefault="000D6343" w:rsidP="000D6343">
      <w:pPr>
        <w:spacing w:after="0" w:line="240" w:lineRule="auto"/>
        <w:ind w:left="360"/>
      </w:pPr>
      <w:r>
        <w:rPr>
          <w:b/>
        </w:rPr>
        <w:t xml:space="preserve">Data and Safety Monitoring Board (DSMB) or Committee (DSMC): </w:t>
      </w:r>
      <w:r>
        <w:t xml:space="preserve">A group comprised of expert(s) in the field of medicine and/or science applicable to the research, statistician(s), lay representative(s), and others as necessary to monitor study progress. A data and safety monitoring board reviews study-specific data periodically throughout the research to ensure continued participant safety and scientific validity and to make recommendations whether to continue, modify, or terminate the study. </w:t>
      </w:r>
      <w:r>
        <w:rPr>
          <w:i/>
        </w:rPr>
        <w:t>Note: The following terms are interchangeable – data and safety monitoring board, data and safety monitoring committee, and data monitoring committee.</w:t>
      </w:r>
    </w:p>
    <w:p w14:paraId="140D6A94" w14:textId="77777777" w:rsidR="000D6343" w:rsidRPr="000D6343" w:rsidRDefault="000D6343" w:rsidP="000D6343">
      <w:pPr>
        <w:spacing w:after="0" w:line="240" w:lineRule="auto"/>
      </w:pPr>
    </w:p>
    <w:p w14:paraId="61BE7047" w14:textId="77777777" w:rsidR="000D6343" w:rsidRPr="000D6343" w:rsidRDefault="000D6343" w:rsidP="00A07209">
      <w:pPr>
        <w:numPr>
          <w:ilvl w:val="0"/>
          <w:numId w:val="249"/>
        </w:numPr>
        <w:tabs>
          <w:tab w:val="num" w:pos="360"/>
        </w:tabs>
        <w:spacing w:after="0" w:line="240" w:lineRule="auto"/>
        <w:ind w:left="360"/>
        <w:rPr>
          <w:b/>
        </w:rPr>
      </w:pPr>
      <w:r>
        <w:rPr>
          <w:b/>
        </w:rPr>
        <w:t>General Information</w:t>
      </w:r>
    </w:p>
    <w:p w14:paraId="61E63CB1" w14:textId="77777777" w:rsidR="000D6343" w:rsidRPr="000D6343" w:rsidRDefault="000D6343" w:rsidP="000D6343">
      <w:pPr>
        <w:spacing w:after="0" w:line="240" w:lineRule="auto"/>
        <w:ind w:left="720"/>
        <w:rPr>
          <w:b/>
        </w:rPr>
      </w:pPr>
    </w:p>
    <w:p w14:paraId="58B33787" w14:textId="77777777" w:rsidR="000D6343" w:rsidRPr="000D6343" w:rsidRDefault="000D6343" w:rsidP="00A07209">
      <w:pPr>
        <w:numPr>
          <w:ilvl w:val="0"/>
          <w:numId w:val="250"/>
        </w:numPr>
        <w:tabs>
          <w:tab w:val="left" w:pos="720"/>
        </w:tabs>
        <w:spacing w:after="0" w:line="240" w:lineRule="auto"/>
        <w:ind w:left="1080"/>
      </w:pPr>
      <w:r>
        <w:t>Federal regulations require as a criterion for IRB approval that, when appropriate, the research plan makes adequate provisions for monitoring collected data to ensure the safety of research participants. The regulations do not prescribe specifically when and how this monitoring should occur. Investigators and IRBs must determine what type of monitoring is needed in a proposed study to assure research participant safety and well-being.</w:t>
      </w:r>
    </w:p>
    <w:p w14:paraId="6E661F17" w14:textId="77777777" w:rsidR="000D6343" w:rsidRPr="000D6343" w:rsidRDefault="000D6343" w:rsidP="00076836">
      <w:pPr>
        <w:tabs>
          <w:tab w:val="left" w:pos="720"/>
        </w:tabs>
        <w:spacing w:after="0" w:line="240" w:lineRule="auto"/>
      </w:pPr>
    </w:p>
    <w:p w14:paraId="5EC3A885" w14:textId="77777777" w:rsidR="000D6343" w:rsidRPr="000D6343" w:rsidRDefault="000D6343" w:rsidP="00A07209">
      <w:pPr>
        <w:numPr>
          <w:ilvl w:val="0"/>
          <w:numId w:val="250"/>
        </w:numPr>
        <w:tabs>
          <w:tab w:val="left" w:pos="720"/>
        </w:tabs>
        <w:spacing w:after="0" w:line="240" w:lineRule="auto"/>
        <w:ind w:left="1080"/>
      </w:pPr>
      <w:r>
        <w:t>Data and safety monitoring plans can range from monitoring performed by the principal investigator or a group of investigators to the establishment of an independent data and safety monitoring board. The type of monitoring chosen should be based on the nature and complexity of the research, expected risks of participation, and population to be studied.</w:t>
      </w:r>
    </w:p>
    <w:p w14:paraId="1324D734" w14:textId="77777777" w:rsidR="000D6343" w:rsidRPr="000D6343" w:rsidRDefault="000D6343" w:rsidP="000D6343">
      <w:pPr>
        <w:widowControl w:val="0"/>
        <w:tabs>
          <w:tab w:val="left" w:pos="720"/>
        </w:tabs>
        <w:autoSpaceDE w:val="0"/>
        <w:autoSpaceDN w:val="0"/>
        <w:adjustRightInd w:val="0"/>
        <w:spacing w:after="0" w:line="240" w:lineRule="auto"/>
      </w:pPr>
    </w:p>
    <w:p w14:paraId="0760940D" w14:textId="77777777" w:rsidR="000D6343" w:rsidRPr="000D6343" w:rsidRDefault="000D6343" w:rsidP="00A07209">
      <w:pPr>
        <w:numPr>
          <w:ilvl w:val="0"/>
          <w:numId w:val="255"/>
        </w:numPr>
        <w:tabs>
          <w:tab w:val="num" w:pos="360"/>
        </w:tabs>
        <w:spacing w:after="0" w:line="240" w:lineRule="auto"/>
        <w:ind w:left="360"/>
        <w:rPr>
          <w:b/>
          <w:color w:val="000000"/>
        </w:rPr>
      </w:pPr>
      <w:r>
        <w:rPr>
          <w:b/>
          <w:color w:val="000000"/>
        </w:rPr>
        <w:t>Types of Data and Safety Monitoring Plans</w:t>
      </w:r>
    </w:p>
    <w:p w14:paraId="1F1C6601" w14:textId="77777777" w:rsidR="000D6343" w:rsidRPr="000D6343" w:rsidRDefault="000D6343" w:rsidP="000D6343">
      <w:pPr>
        <w:spacing w:after="0" w:line="240" w:lineRule="auto"/>
        <w:ind w:left="360"/>
        <w:rPr>
          <w:b/>
        </w:rPr>
      </w:pPr>
    </w:p>
    <w:p w14:paraId="1F81FF72" w14:textId="77777777" w:rsidR="000D6343" w:rsidRPr="000D6343" w:rsidRDefault="000D6343" w:rsidP="000D6343">
      <w:pPr>
        <w:spacing w:after="60" w:line="240" w:lineRule="auto"/>
        <w:ind w:left="360"/>
      </w:pPr>
      <w:r>
        <w:t>The type of monitoring required depends on the nature, size, and complexity of the research. Options include (but are not limited to) the following:</w:t>
      </w:r>
    </w:p>
    <w:p w14:paraId="59316C0A" w14:textId="77777777" w:rsidR="000D6343" w:rsidRPr="000D6343" w:rsidRDefault="000D6343" w:rsidP="00A07209">
      <w:pPr>
        <w:numPr>
          <w:ilvl w:val="0"/>
          <w:numId w:val="448"/>
        </w:numPr>
        <w:spacing w:after="60" w:line="240" w:lineRule="auto"/>
      </w:pPr>
      <w:r>
        <w:rPr>
          <w:b/>
        </w:rPr>
        <w:t xml:space="preserve">Monitoring by an individual investigator – </w:t>
      </w:r>
      <w:r>
        <w:t>for studies that involve small numbers of research participants at a single site and interventions unlikely to lead to major changes in risks and benefits. Close, continuous monitoring by the investigator (often the principal investigator) and prompt reporting of unanticipated problems to the IRB and sponsor are generally considered to be adequate.</w:t>
      </w:r>
    </w:p>
    <w:p w14:paraId="580A9B3D" w14:textId="77777777" w:rsidR="000D6343" w:rsidRPr="000D6343" w:rsidRDefault="000D6343" w:rsidP="00A07209">
      <w:pPr>
        <w:numPr>
          <w:ilvl w:val="0"/>
          <w:numId w:val="448"/>
        </w:numPr>
        <w:spacing w:after="60" w:line="240" w:lineRule="auto"/>
      </w:pPr>
      <w:r>
        <w:rPr>
          <w:b/>
        </w:rPr>
        <w:t>Monitoring by an individual or group other than the investigator</w:t>
      </w:r>
      <w:r>
        <w:t xml:space="preserve"> – for studies where assessments may require additional expertise or objectivity from individual(s) not directly involved with the design and/or conduct of the study. The individual(s) may be a safety officer or monitor associated with the sponsor in some situations, depending on potential conflict of interest considerations. Studies overseen by a monitor or </w:t>
      </w:r>
      <w:r>
        <w:lastRenderedPageBreak/>
        <w:t>monitoring group of this type are generally short-term in nature (e.g., a few days to a few months), study endpoints are not serious irreversible events, and risks to participants can be assessed through simple comparisons.</w:t>
      </w:r>
    </w:p>
    <w:p w14:paraId="29F26AAC" w14:textId="77777777" w:rsidR="000D6343" w:rsidRPr="000D6343" w:rsidRDefault="000D6343" w:rsidP="00A07209">
      <w:pPr>
        <w:numPr>
          <w:ilvl w:val="0"/>
          <w:numId w:val="448"/>
        </w:numPr>
        <w:spacing w:after="0" w:line="240" w:lineRule="auto"/>
      </w:pPr>
      <w:r>
        <w:rPr>
          <w:b/>
        </w:rPr>
        <w:t xml:space="preserve">Data and safety monitoring board or committee – </w:t>
      </w:r>
      <w:r>
        <w:t xml:space="preserve">for studies involving large numbers of research participants, particularly vulnerable populations, multiple performance sites, blinded study groups, particularly high-risk interventions where death or severe disability is a major risk of participation or a study endpoint, or when sophisticated data monitoring/statistical analysis is required. Studies in which suspension or early termination may be required because of </w:t>
      </w:r>
      <w:r>
        <w:rPr>
          <w:i/>
        </w:rPr>
        <w:t>a priori</w:t>
      </w:r>
      <w:r>
        <w:t xml:space="preserve"> concerns about participant safety or possible observance of significant differences between study groups are usually overseen by a data and safety monitoring board. (See also “</w:t>
      </w:r>
      <w:hyperlink w:anchor="sec6" w:history="1">
        <w:r>
          <w:rPr>
            <w:color w:val="0000FF"/>
            <w:u w:val="single"/>
          </w:rPr>
          <w:t>When Data and Safety Monitoring Boards are Required</w:t>
        </w:r>
      </w:hyperlink>
      <w:r>
        <w:t>” below.)</w:t>
      </w:r>
    </w:p>
    <w:p w14:paraId="53F31775" w14:textId="77777777" w:rsidR="000D6343" w:rsidRPr="000D6343" w:rsidRDefault="000D6343" w:rsidP="000D6343">
      <w:pPr>
        <w:spacing w:after="0" w:line="240" w:lineRule="auto"/>
      </w:pPr>
    </w:p>
    <w:p w14:paraId="2FD7CE94" w14:textId="77777777" w:rsidR="000D6343" w:rsidRPr="000D6343" w:rsidRDefault="000D6343" w:rsidP="00A07209">
      <w:pPr>
        <w:numPr>
          <w:ilvl w:val="0"/>
          <w:numId w:val="256"/>
        </w:numPr>
        <w:tabs>
          <w:tab w:val="num" w:pos="360"/>
        </w:tabs>
        <w:spacing w:after="0" w:line="240" w:lineRule="auto"/>
        <w:ind w:left="360"/>
        <w:rPr>
          <w:b/>
        </w:rPr>
      </w:pPr>
      <w:r>
        <w:rPr>
          <w:b/>
        </w:rPr>
        <w:t>Components of Data and Safety Monitoring Plans</w:t>
      </w:r>
    </w:p>
    <w:p w14:paraId="051CCCE6" w14:textId="77777777" w:rsidR="000D6343" w:rsidRPr="000D6343" w:rsidRDefault="000D6343" w:rsidP="000D6343">
      <w:pPr>
        <w:spacing w:after="0" w:line="240" w:lineRule="auto"/>
      </w:pPr>
    </w:p>
    <w:p w14:paraId="3CED51D2" w14:textId="77777777" w:rsidR="000D6343" w:rsidRPr="000D6343" w:rsidRDefault="000D6343" w:rsidP="000D6343">
      <w:pPr>
        <w:spacing w:after="60" w:line="240" w:lineRule="auto"/>
        <w:ind w:left="360"/>
      </w:pPr>
      <w:r>
        <w:t>Data and safety monitoring plans should generally describe the following:</w:t>
      </w:r>
    </w:p>
    <w:p w14:paraId="7768BCF4" w14:textId="77777777" w:rsidR="000D6343" w:rsidRPr="000D6343" w:rsidRDefault="000D6343" w:rsidP="00A07209">
      <w:pPr>
        <w:numPr>
          <w:ilvl w:val="0"/>
          <w:numId w:val="247"/>
        </w:numPr>
        <w:tabs>
          <w:tab w:val="num" w:pos="1080"/>
        </w:tabs>
        <w:spacing w:after="60" w:line="240" w:lineRule="auto"/>
        <w:ind w:left="1080"/>
      </w:pPr>
      <w:r>
        <w:t>Who (individual or entity) will be conducting the monitoring and any relationship to the research (e.g., principal investigator, independent safety monitor)</w:t>
      </w:r>
    </w:p>
    <w:p w14:paraId="0825CA6A" w14:textId="77777777" w:rsidR="000D6343" w:rsidRPr="000D6343" w:rsidRDefault="000D6343" w:rsidP="00A07209">
      <w:pPr>
        <w:numPr>
          <w:ilvl w:val="0"/>
          <w:numId w:val="247"/>
        </w:numPr>
        <w:tabs>
          <w:tab w:val="num" w:pos="1080"/>
        </w:tabs>
        <w:spacing w:after="60" w:line="240" w:lineRule="auto"/>
        <w:ind w:left="1080"/>
      </w:pPr>
      <w:r>
        <w:t>Specific data/events to be monitored</w:t>
      </w:r>
    </w:p>
    <w:p w14:paraId="2CD2FC08" w14:textId="77777777" w:rsidR="000D6343" w:rsidRPr="000D6343" w:rsidRDefault="000D6343" w:rsidP="00A07209">
      <w:pPr>
        <w:numPr>
          <w:ilvl w:val="0"/>
          <w:numId w:val="247"/>
        </w:numPr>
        <w:tabs>
          <w:tab w:val="num" w:pos="1080"/>
        </w:tabs>
        <w:spacing w:after="60" w:line="240" w:lineRule="auto"/>
        <w:ind w:left="1080"/>
      </w:pPr>
      <w:r>
        <w:t>Monitoring frequency (e.g., at specified intervals, after a specific number of participants has been enrolled)</w:t>
      </w:r>
    </w:p>
    <w:p w14:paraId="351B893C" w14:textId="77777777" w:rsidR="000D6343" w:rsidRPr="000D6343" w:rsidRDefault="000D6343" w:rsidP="00A07209">
      <w:pPr>
        <w:numPr>
          <w:ilvl w:val="0"/>
          <w:numId w:val="247"/>
        </w:numPr>
        <w:tabs>
          <w:tab w:val="num" w:pos="1080"/>
        </w:tabs>
        <w:spacing w:after="60" w:line="240" w:lineRule="auto"/>
        <w:ind w:left="1080"/>
      </w:pPr>
      <w:r>
        <w:t>Reporting mechanisms and timeframe for reporting data/events to the monitoring entity</w:t>
      </w:r>
    </w:p>
    <w:p w14:paraId="7C6CA3D3" w14:textId="77777777" w:rsidR="000D6343" w:rsidRPr="000D6343" w:rsidRDefault="000D6343" w:rsidP="00A07209">
      <w:pPr>
        <w:numPr>
          <w:ilvl w:val="0"/>
          <w:numId w:val="247"/>
        </w:numPr>
        <w:tabs>
          <w:tab w:val="num" w:pos="1080"/>
        </w:tabs>
        <w:spacing w:after="60" w:line="240" w:lineRule="auto"/>
        <w:ind w:left="1080"/>
      </w:pPr>
      <w:r>
        <w:t>Procedures for analysis and interpretation of the data</w:t>
      </w:r>
    </w:p>
    <w:p w14:paraId="6ED5DE78" w14:textId="77777777" w:rsidR="000D6343" w:rsidRPr="000D6343" w:rsidRDefault="000D6343" w:rsidP="00A07209">
      <w:pPr>
        <w:numPr>
          <w:ilvl w:val="0"/>
          <w:numId w:val="247"/>
        </w:numPr>
        <w:tabs>
          <w:tab w:val="num" w:pos="1080"/>
        </w:tabs>
        <w:spacing w:after="60" w:line="240" w:lineRule="auto"/>
        <w:ind w:left="1080"/>
      </w:pPr>
      <w:r>
        <w:t>Definitions of specific events or endpoints requiring that an action be taken (e.g., “stopping rules,” changes in drug dosage made in response to observed risks)</w:t>
      </w:r>
    </w:p>
    <w:p w14:paraId="1DC49583" w14:textId="77777777" w:rsidR="000D6343" w:rsidRPr="000D6343" w:rsidRDefault="000D6343" w:rsidP="00A07209">
      <w:pPr>
        <w:numPr>
          <w:ilvl w:val="0"/>
          <w:numId w:val="247"/>
        </w:numPr>
        <w:tabs>
          <w:tab w:val="num" w:pos="1080"/>
        </w:tabs>
        <w:spacing w:after="0" w:line="240" w:lineRule="auto"/>
        <w:ind w:left="1080"/>
      </w:pPr>
      <w:r>
        <w:t>Procedures for and frequency of communication to appropriate entities (e.g., investigators, sponsor, IRBs)</w:t>
      </w:r>
    </w:p>
    <w:p w14:paraId="19A87611" w14:textId="77777777" w:rsidR="000D6343" w:rsidRPr="000D6343" w:rsidRDefault="000D6343" w:rsidP="000D6343">
      <w:pPr>
        <w:spacing w:after="0" w:line="240" w:lineRule="auto"/>
      </w:pPr>
    </w:p>
    <w:p w14:paraId="6EC63BD8" w14:textId="77777777" w:rsidR="000D6343" w:rsidRPr="000D6343" w:rsidRDefault="000D6343" w:rsidP="00A07209">
      <w:pPr>
        <w:numPr>
          <w:ilvl w:val="0"/>
          <w:numId w:val="256"/>
        </w:numPr>
        <w:tabs>
          <w:tab w:val="num" w:pos="360"/>
        </w:tabs>
        <w:spacing w:after="0" w:line="240" w:lineRule="auto"/>
        <w:ind w:left="360"/>
        <w:rPr>
          <w:b/>
        </w:rPr>
      </w:pPr>
      <w:bookmarkStart w:id="312" w:name="sec6"/>
      <w:bookmarkEnd w:id="312"/>
      <w:r>
        <w:rPr>
          <w:b/>
        </w:rPr>
        <w:t>When Data and Safety Monitoring Plans are Required</w:t>
      </w:r>
    </w:p>
    <w:p w14:paraId="45F2CD39" w14:textId="77777777" w:rsidR="000D6343" w:rsidRPr="000D6343" w:rsidRDefault="000D6343" w:rsidP="000D6343">
      <w:pPr>
        <w:tabs>
          <w:tab w:val="left" w:pos="540"/>
        </w:tabs>
        <w:spacing w:after="0" w:line="240" w:lineRule="auto"/>
      </w:pPr>
    </w:p>
    <w:p w14:paraId="0EB7D203" w14:textId="77777777" w:rsidR="000D6343" w:rsidRPr="000D6343" w:rsidRDefault="000D6343" w:rsidP="00A07209">
      <w:pPr>
        <w:numPr>
          <w:ilvl w:val="0"/>
          <w:numId w:val="251"/>
        </w:numPr>
        <w:tabs>
          <w:tab w:val="left" w:pos="720"/>
        </w:tabs>
        <w:spacing w:after="0" w:line="240" w:lineRule="auto"/>
        <w:ind w:left="1080"/>
      </w:pPr>
      <w:r>
        <w:t>At Ohio State, all human subjects research that involves greater than minimal risk requires a data and safety monitoring plan. Sponsors, investigators, and/or IRBs may also recommend data and safety monitoring for any proposed research regardless of risk, as warranted. In all research, regardless of whether a formal data and safety monitoring plan is required, investigators are responsible for providing ongoing oversight to protect the safety and welfare of study participants.</w:t>
      </w:r>
    </w:p>
    <w:p w14:paraId="3D006973" w14:textId="77777777" w:rsidR="000D6343" w:rsidRPr="000D6343" w:rsidRDefault="000D6343" w:rsidP="00076836">
      <w:pPr>
        <w:tabs>
          <w:tab w:val="left" w:pos="720"/>
        </w:tabs>
        <w:spacing w:after="0" w:line="240" w:lineRule="auto"/>
      </w:pPr>
    </w:p>
    <w:p w14:paraId="53DA28A2" w14:textId="77777777" w:rsidR="000D6343" w:rsidRPr="000D6343" w:rsidRDefault="000D6343" w:rsidP="00A07209">
      <w:pPr>
        <w:widowControl w:val="0"/>
        <w:numPr>
          <w:ilvl w:val="0"/>
          <w:numId w:val="251"/>
        </w:numPr>
        <w:tabs>
          <w:tab w:val="left" w:pos="720"/>
        </w:tabs>
        <w:autoSpaceDE w:val="0"/>
        <w:autoSpaceDN w:val="0"/>
        <w:adjustRightInd w:val="0"/>
        <w:spacing w:after="0" w:line="240" w:lineRule="auto"/>
        <w:ind w:left="1080"/>
      </w:pPr>
      <w:r>
        <w:t>The type of monitoring plan required depends in part on the research being performed. All clinical trials and other biomedical or behavioral interventional studies involving greater than minimal risk require safety monitoring, but not all of these studies require monitoring by a data and safety monitoring board. For some research, federal regulations or federal policy specifically require establishment of a data and safety monitoring board. The circumstances in which data and safety monitoring boards are required are described below.</w:t>
      </w:r>
    </w:p>
    <w:p w14:paraId="7355B01B" w14:textId="77777777" w:rsidR="000D6343" w:rsidRPr="000D6343" w:rsidRDefault="000D6343" w:rsidP="000D6343">
      <w:pPr>
        <w:spacing w:after="0" w:line="240" w:lineRule="auto"/>
      </w:pPr>
    </w:p>
    <w:p w14:paraId="3951F32C" w14:textId="77777777" w:rsidR="000D6343" w:rsidRPr="000D6343" w:rsidRDefault="000D6343" w:rsidP="00A07209">
      <w:pPr>
        <w:numPr>
          <w:ilvl w:val="0"/>
          <w:numId w:val="256"/>
        </w:numPr>
        <w:tabs>
          <w:tab w:val="num" w:pos="360"/>
        </w:tabs>
        <w:spacing w:after="0" w:line="240" w:lineRule="auto"/>
        <w:ind w:left="360"/>
      </w:pPr>
      <w:r>
        <w:rPr>
          <w:b/>
        </w:rPr>
        <w:t>When Data and Safety Monitoring Boards are Required</w:t>
      </w:r>
    </w:p>
    <w:p w14:paraId="17EAA01A" w14:textId="77777777" w:rsidR="000D6343" w:rsidRPr="000D6343" w:rsidRDefault="000D6343" w:rsidP="000D6343">
      <w:pPr>
        <w:spacing w:after="0" w:line="240" w:lineRule="auto"/>
        <w:ind w:left="360"/>
        <w:rPr>
          <w:b/>
        </w:rPr>
      </w:pPr>
    </w:p>
    <w:p w14:paraId="1F0CB301" w14:textId="77777777" w:rsidR="000D6343" w:rsidRPr="000D6343" w:rsidRDefault="000D6343" w:rsidP="00A07209">
      <w:pPr>
        <w:numPr>
          <w:ilvl w:val="0"/>
          <w:numId w:val="254"/>
        </w:numPr>
        <w:spacing w:after="0" w:line="240" w:lineRule="auto"/>
        <w:ind w:left="1080"/>
      </w:pPr>
      <w:r>
        <w:t>Data and safety monitoring boards are generally established for large, randomized multi-site studies that evaluate interventions intended to prolong life, delay progression of a serious disease or medical condition, or reduce the risk of a major adverse health outcome (e.g., a cardiovascular event), or for clinical trials of any size that compare rates of mortality or major morbidity. By contrast, data and safety monitoring boards are not generally involved in reviewing data from studies intended to evaluate interventions to relieve less serious symptoms or conditions (e.g., nausea and vomiting), unless additional expertise, objectivity, or oversight is needed.</w:t>
      </w:r>
    </w:p>
    <w:p w14:paraId="453BF19F" w14:textId="77777777" w:rsidR="000D6343" w:rsidRPr="000D6343" w:rsidRDefault="000D6343" w:rsidP="00076836">
      <w:pPr>
        <w:spacing w:after="0" w:line="240" w:lineRule="auto"/>
      </w:pPr>
    </w:p>
    <w:p w14:paraId="27B14CCF" w14:textId="77777777" w:rsidR="000D6343" w:rsidRPr="000D6343" w:rsidRDefault="000D6343" w:rsidP="00A07209">
      <w:pPr>
        <w:numPr>
          <w:ilvl w:val="0"/>
          <w:numId w:val="254"/>
        </w:numPr>
        <w:spacing w:after="60" w:line="240" w:lineRule="auto"/>
        <w:ind w:left="1080"/>
      </w:pPr>
      <w:r>
        <w:lastRenderedPageBreak/>
        <w:t>Data and safety monitoring boards are generally required in studies with one or more of the following characteristics:</w:t>
      </w:r>
    </w:p>
    <w:p w14:paraId="57DC7831" w14:textId="77777777" w:rsidR="000D6343" w:rsidRPr="000D6343" w:rsidRDefault="000D6343" w:rsidP="00A07209">
      <w:pPr>
        <w:numPr>
          <w:ilvl w:val="0"/>
          <w:numId w:val="257"/>
        </w:numPr>
        <w:tabs>
          <w:tab w:val="num" w:pos="1440"/>
        </w:tabs>
        <w:spacing w:after="60" w:line="240" w:lineRule="auto"/>
        <w:ind w:left="1440"/>
      </w:pPr>
      <w:r>
        <w:t>A study endpoint involves a highly favorable or unfavorable result that might ethically require termination of the study before its planned completion.</w:t>
      </w:r>
    </w:p>
    <w:p w14:paraId="3FFBC538" w14:textId="77777777" w:rsidR="000D6343" w:rsidRPr="000D6343" w:rsidRDefault="000D6343" w:rsidP="00A07209">
      <w:pPr>
        <w:numPr>
          <w:ilvl w:val="0"/>
          <w:numId w:val="257"/>
        </w:numPr>
        <w:tabs>
          <w:tab w:val="num" w:pos="1440"/>
        </w:tabs>
        <w:spacing w:after="60" w:line="240" w:lineRule="auto"/>
        <w:ind w:left="1440"/>
      </w:pPr>
      <w:r>
        <w:t xml:space="preserve">There are </w:t>
      </w:r>
      <w:r>
        <w:rPr>
          <w:i/>
          <w:iCs/>
        </w:rPr>
        <w:t xml:space="preserve">a priori </w:t>
      </w:r>
      <w:r>
        <w:t>reasons for specific safety concerns (e.g., when study procedures are particularly invasive).</w:t>
      </w:r>
    </w:p>
    <w:p w14:paraId="38C9D1E2" w14:textId="77777777" w:rsidR="000D6343" w:rsidRPr="000D6343" w:rsidRDefault="000D6343" w:rsidP="00A07209">
      <w:pPr>
        <w:numPr>
          <w:ilvl w:val="0"/>
          <w:numId w:val="257"/>
        </w:numPr>
        <w:tabs>
          <w:tab w:val="num" w:pos="1440"/>
        </w:tabs>
        <w:spacing w:after="60" w:line="240" w:lineRule="auto"/>
        <w:ind w:left="1440"/>
      </w:pPr>
      <w:r>
        <w:t>Existing information suggests the possibility of serious toxicity resulting from the study procedures.</w:t>
      </w:r>
    </w:p>
    <w:p w14:paraId="31858B17" w14:textId="77777777" w:rsidR="000D6343" w:rsidRPr="000D6343" w:rsidRDefault="000D6343" w:rsidP="00A07209">
      <w:pPr>
        <w:numPr>
          <w:ilvl w:val="0"/>
          <w:numId w:val="257"/>
        </w:numPr>
        <w:tabs>
          <w:tab w:val="num" w:pos="1440"/>
        </w:tabs>
        <w:spacing w:after="60" w:line="240" w:lineRule="auto"/>
        <w:ind w:left="1440"/>
      </w:pPr>
      <w:r>
        <w:t>The study is being performed in a category of participants that is vulnerable to coercion or undue influence, such as children, individuals with impaired decision-making capacity, economically or educationally disadvantaged persons, the very elderly, terminally ill, or other vulnerable population requiring additional protections.</w:t>
      </w:r>
    </w:p>
    <w:p w14:paraId="6B35CFD6" w14:textId="77777777" w:rsidR="000D6343" w:rsidRPr="000D6343" w:rsidRDefault="000D6343" w:rsidP="00A07209">
      <w:pPr>
        <w:numPr>
          <w:ilvl w:val="0"/>
          <w:numId w:val="257"/>
        </w:numPr>
        <w:tabs>
          <w:tab w:val="num" w:pos="1440"/>
        </w:tabs>
        <w:spacing w:after="60" w:line="240" w:lineRule="auto"/>
        <w:ind w:left="1440"/>
      </w:pPr>
      <w:r>
        <w:t>The study is being performed in a population at increased risk of death or other serious outcome (i.e., even when the study objective is not to intended to evaluate this outcome).</w:t>
      </w:r>
    </w:p>
    <w:p w14:paraId="0A7346D2" w14:textId="77777777" w:rsidR="000D6343" w:rsidRPr="000D6343" w:rsidRDefault="000D6343" w:rsidP="00A07209">
      <w:pPr>
        <w:numPr>
          <w:ilvl w:val="0"/>
          <w:numId w:val="257"/>
        </w:numPr>
        <w:tabs>
          <w:tab w:val="num" w:pos="1440"/>
        </w:tabs>
        <w:spacing w:after="0" w:line="240" w:lineRule="auto"/>
        <w:ind w:left="1440"/>
      </w:pPr>
      <w:r>
        <w:t>The study is large, of long duration, and involves multiple performance sites.</w:t>
      </w:r>
    </w:p>
    <w:p w14:paraId="0370A65B" w14:textId="77777777" w:rsidR="000D6343" w:rsidRPr="000D6343" w:rsidRDefault="000D6343" w:rsidP="000D6343">
      <w:pPr>
        <w:spacing w:after="0" w:line="240" w:lineRule="auto"/>
      </w:pPr>
    </w:p>
    <w:p w14:paraId="13AAB027" w14:textId="77777777" w:rsidR="000D6343" w:rsidRPr="000D6343" w:rsidRDefault="000D6343" w:rsidP="00A07209">
      <w:pPr>
        <w:widowControl w:val="0"/>
        <w:numPr>
          <w:ilvl w:val="0"/>
          <w:numId w:val="254"/>
        </w:numPr>
        <w:tabs>
          <w:tab w:val="left" w:pos="720"/>
        </w:tabs>
        <w:autoSpaceDE w:val="0"/>
        <w:autoSpaceDN w:val="0"/>
        <w:adjustRightInd w:val="0"/>
        <w:spacing w:after="0" w:line="240" w:lineRule="auto"/>
        <w:ind w:left="1080"/>
      </w:pPr>
      <w:r>
        <w:t>The National Institutes of Health (NIH) requires oversight and monitoring of all NIH-supported or NIH-conducted clinical intervention studies to ensure the safety of participants and the validity and integrity of the data. Data and safety monitoring boards are generally required by NIH for phase III clinical trials (except for low-risk behavioral and nutritional trials) and are recommended for certain other studies (phase I and II) if the research involves multiple clinical sites, is blinded, or includes particularly high-risk interventions or vulnerable populations. (See also “</w:t>
      </w:r>
      <w:hyperlink w:anchor="sec9" w:history="1">
        <w:r>
          <w:rPr>
            <w:color w:val="0000FF"/>
            <w:u w:val="single"/>
          </w:rPr>
          <w:t>Additional Information on Data and Safety Monitoring</w:t>
        </w:r>
      </w:hyperlink>
      <w:r>
        <w:t>” below.)</w:t>
      </w:r>
    </w:p>
    <w:p w14:paraId="16347966" w14:textId="77777777" w:rsidR="000D6343" w:rsidRPr="000D6343" w:rsidRDefault="000D6343" w:rsidP="000D6343">
      <w:pPr>
        <w:widowControl w:val="0"/>
        <w:tabs>
          <w:tab w:val="left" w:pos="720"/>
        </w:tabs>
        <w:autoSpaceDE w:val="0"/>
        <w:autoSpaceDN w:val="0"/>
        <w:adjustRightInd w:val="0"/>
        <w:spacing w:after="0" w:line="240" w:lineRule="auto"/>
      </w:pPr>
    </w:p>
    <w:p w14:paraId="7621FE7D" w14:textId="77777777" w:rsidR="000D6343" w:rsidRPr="000D6343" w:rsidRDefault="000D6343" w:rsidP="00A07209">
      <w:pPr>
        <w:widowControl w:val="0"/>
        <w:numPr>
          <w:ilvl w:val="0"/>
          <w:numId w:val="254"/>
        </w:numPr>
        <w:tabs>
          <w:tab w:val="left" w:pos="720"/>
        </w:tabs>
        <w:autoSpaceDE w:val="0"/>
        <w:autoSpaceDN w:val="0"/>
        <w:adjustRightInd w:val="0"/>
        <w:spacing w:after="0" w:line="240" w:lineRule="auto"/>
        <w:ind w:left="1080"/>
      </w:pPr>
      <w:r>
        <w:t>Federal regulations require establishment of an independent data monitoring committee to oversee planned emergency research in life-threatening situations where a waiver of informed consent has been approved by the IRB. For additional information on the requirements for planned emergency research, see HRPP policy [</w:t>
      </w:r>
      <w:hyperlink r:id="rId243" w:history="1">
        <w:r>
          <w:rPr>
            <w:color w:val="0000FF"/>
            <w:u w:val="single"/>
          </w:rPr>
          <w:t>Planned Emergency Research</w:t>
        </w:r>
      </w:hyperlink>
      <w:r>
        <w:t>].</w:t>
      </w:r>
    </w:p>
    <w:p w14:paraId="112D09B5" w14:textId="77777777" w:rsidR="000D6343" w:rsidRPr="000D6343" w:rsidRDefault="000D6343" w:rsidP="00076836">
      <w:pPr>
        <w:spacing w:after="0" w:line="240" w:lineRule="auto"/>
      </w:pPr>
    </w:p>
    <w:p w14:paraId="07DA27D2" w14:textId="77777777" w:rsidR="000D6343" w:rsidRPr="000D6343" w:rsidRDefault="000D6343" w:rsidP="00A07209">
      <w:pPr>
        <w:numPr>
          <w:ilvl w:val="0"/>
          <w:numId w:val="256"/>
        </w:numPr>
        <w:spacing w:after="0" w:line="240" w:lineRule="auto"/>
        <w:ind w:left="360"/>
      </w:pPr>
      <w:r>
        <w:rPr>
          <w:b/>
        </w:rPr>
        <w:t>Monitoring Information Provided to and Reviewed by the IRB</w:t>
      </w:r>
    </w:p>
    <w:p w14:paraId="57364634" w14:textId="77777777" w:rsidR="000D6343" w:rsidRPr="000D6343" w:rsidRDefault="000D6343" w:rsidP="000D6343">
      <w:pPr>
        <w:spacing w:after="0" w:line="240" w:lineRule="auto"/>
      </w:pPr>
      <w:r>
        <w:rPr>
          <w:b/>
        </w:rPr>
        <w:t xml:space="preserve"> </w:t>
      </w:r>
    </w:p>
    <w:p w14:paraId="58302B74" w14:textId="77777777" w:rsidR="000D6343" w:rsidRPr="000D6343" w:rsidRDefault="000D6343" w:rsidP="00A07209">
      <w:pPr>
        <w:numPr>
          <w:ilvl w:val="0"/>
          <w:numId w:val="252"/>
        </w:numPr>
        <w:spacing w:after="0" w:line="240" w:lineRule="auto"/>
      </w:pPr>
      <w:r>
        <w:t xml:space="preserve">When appropriate, at the time of the </w:t>
      </w:r>
      <w:r>
        <w:rPr>
          <w:b/>
        </w:rPr>
        <w:t>initial</w:t>
      </w:r>
      <w:r>
        <w:t xml:space="preserve"> review investigators are responsible for providing detailed information (as described in “</w:t>
      </w:r>
      <w:hyperlink w:anchor="sec5" w:history="1">
        <w:r>
          <w:rPr>
            <w:color w:val="0000FF"/>
            <w:u w:val="single"/>
          </w:rPr>
          <w:t>Components of Data and Safety Monitoring Plans</w:t>
        </w:r>
      </w:hyperlink>
      <w:r>
        <w:t>” above) to the IRB regarding their plans to oversee the research, monitor data collected to ensure participant safety and data integrity, and communicate findings from monitoring to the IRB.</w:t>
      </w:r>
    </w:p>
    <w:p w14:paraId="4AFFF6ED" w14:textId="77777777" w:rsidR="000D6343" w:rsidRPr="000D6343" w:rsidRDefault="000D6343" w:rsidP="000D6343">
      <w:pPr>
        <w:spacing w:after="0" w:line="240" w:lineRule="auto"/>
        <w:ind w:left="720"/>
      </w:pPr>
    </w:p>
    <w:p w14:paraId="58B0D09E" w14:textId="77777777" w:rsidR="000D6343" w:rsidRPr="000D6343" w:rsidRDefault="000D6343" w:rsidP="00A07209">
      <w:pPr>
        <w:numPr>
          <w:ilvl w:val="0"/>
          <w:numId w:val="252"/>
        </w:numPr>
        <w:spacing w:after="60" w:line="240" w:lineRule="auto"/>
      </w:pPr>
      <w:r>
        <w:t xml:space="preserve">For research with a data and safety monitoring plan, at </w:t>
      </w:r>
      <w:r>
        <w:rPr>
          <w:b/>
        </w:rPr>
        <w:t>continuing review</w:t>
      </w:r>
      <w:r>
        <w:t xml:space="preserve"> the IRB is responsible for confirming that the plan that was approved for monitoring data was implemented and continues to be appropriate for the research. Investigators are responsible for providing the following information to the IRB regarding the findings from monitoring, depending on the type of monitoring plan in place:</w:t>
      </w:r>
    </w:p>
    <w:p w14:paraId="1240142B" w14:textId="77777777" w:rsidR="000D6343" w:rsidRPr="000D6343" w:rsidRDefault="000D6343" w:rsidP="00A07209">
      <w:pPr>
        <w:numPr>
          <w:ilvl w:val="0"/>
          <w:numId w:val="248"/>
        </w:numPr>
        <w:tabs>
          <w:tab w:val="left" w:pos="1440"/>
        </w:tabs>
        <w:spacing w:after="60" w:line="240" w:lineRule="auto"/>
        <w:ind w:left="2160"/>
      </w:pPr>
      <w:r>
        <w:t>If a data and safety monitoring board is in place, the most current report from the DSMB, including the information reviewed (e.g., study-wide adverse events, interim findings, and any literature or other information that may be relevant to the research), date of review, and assessment of the information</w:t>
      </w:r>
    </w:p>
    <w:p w14:paraId="3F527622" w14:textId="77777777" w:rsidR="000D6343" w:rsidRPr="000D6343" w:rsidRDefault="000D6343" w:rsidP="00A07209">
      <w:pPr>
        <w:numPr>
          <w:ilvl w:val="0"/>
          <w:numId w:val="248"/>
        </w:numPr>
        <w:tabs>
          <w:tab w:val="left" w:pos="1440"/>
        </w:tabs>
        <w:spacing w:after="0" w:line="240" w:lineRule="auto"/>
        <w:ind w:left="2160"/>
      </w:pPr>
      <w:r>
        <w:t>If the plan for data and safety monitoring does not include a DSMB, a summary of any unanticipated problems and/or adverse events (e.g., whether adverse events have occurred at the expected frequency and level of severity), along with any literature or other information that may be relevant to the research</w:t>
      </w:r>
    </w:p>
    <w:p w14:paraId="598ADF40" w14:textId="77777777" w:rsidR="000D6343" w:rsidRPr="000D6343" w:rsidRDefault="000D6343" w:rsidP="00076836">
      <w:pPr>
        <w:spacing w:after="0" w:line="240" w:lineRule="auto"/>
        <w:ind w:left="720"/>
      </w:pPr>
    </w:p>
    <w:p w14:paraId="3FA37F7A" w14:textId="77777777" w:rsidR="000D6343" w:rsidRPr="000D6343" w:rsidRDefault="000D6343" w:rsidP="00A07209">
      <w:pPr>
        <w:numPr>
          <w:ilvl w:val="0"/>
          <w:numId w:val="256"/>
        </w:numPr>
        <w:tabs>
          <w:tab w:val="num" w:pos="360"/>
        </w:tabs>
        <w:spacing w:after="0" w:line="240" w:lineRule="auto"/>
        <w:ind w:left="360"/>
      </w:pPr>
      <w:bookmarkStart w:id="313" w:name="sec9"/>
      <w:bookmarkEnd w:id="313"/>
      <w:r>
        <w:rPr>
          <w:b/>
        </w:rPr>
        <w:t>Additional Information on Data and Safety Monitoring</w:t>
      </w:r>
    </w:p>
    <w:p w14:paraId="7E5E545E" w14:textId="77777777" w:rsidR="000D6343" w:rsidRPr="000D6343" w:rsidRDefault="000D6343" w:rsidP="000D6343">
      <w:pPr>
        <w:spacing w:after="0" w:line="240" w:lineRule="auto"/>
        <w:ind w:left="360"/>
        <w:rPr>
          <w:b/>
        </w:rPr>
      </w:pPr>
    </w:p>
    <w:p w14:paraId="03D78D51" w14:textId="77777777" w:rsidR="000D6343" w:rsidRPr="000D6343" w:rsidRDefault="000D6343" w:rsidP="00A07209">
      <w:pPr>
        <w:numPr>
          <w:ilvl w:val="0"/>
          <w:numId w:val="253"/>
        </w:numPr>
        <w:tabs>
          <w:tab w:val="left" w:pos="720"/>
        </w:tabs>
        <w:spacing w:after="0" w:line="240" w:lineRule="auto"/>
      </w:pPr>
      <w:r>
        <w:lastRenderedPageBreak/>
        <w:t xml:space="preserve">For more information on NIH requirements for data and safety monitoring, see </w:t>
      </w:r>
      <w:hyperlink r:id="rId244" w:history="1">
        <w:r>
          <w:rPr>
            <w:color w:val="0000FF"/>
            <w:u w:val="single"/>
          </w:rPr>
          <w:t>NIH Policy for Data and Safety Monitoring</w:t>
        </w:r>
      </w:hyperlink>
      <w:r>
        <w:t xml:space="preserve"> and </w:t>
      </w:r>
      <w:hyperlink r:id="rId245" w:history="1">
        <w:r>
          <w:rPr>
            <w:color w:val="0000FF"/>
            <w:u w:val="single"/>
          </w:rPr>
          <w:t>Further Guidance on a Data and Safety Monitoring for Phase I and Phase II Trials</w:t>
        </w:r>
      </w:hyperlink>
      <w:r>
        <w:t>.</w:t>
      </w:r>
    </w:p>
    <w:p w14:paraId="7F5516F1" w14:textId="77777777" w:rsidR="000D6343" w:rsidRPr="000D6343" w:rsidRDefault="000D6343" w:rsidP="000D6343">
      <w:pPr>
        <w:tabs>
          <w:tab w:val="left" w:pos="720"/>
        </w:tabs>
        <w:spacing w:after="0" w:line="240" w:lineRule="auto"/>
        <w:ind w:left="360"/>
      </w:pPr>
    </w:p>
    <w:p w14:paraId="7E5E166E" w14:textId="77777777" w:rsidR="000D6343" w:rsidRPr="000D6343" w:rsidRDefault="000D6343" w:rsidP="00A07209">
      <w:pPr>
        <w:numPr>
          <w:ilvl w:val="0"/>
          <w:numId w:val="253"/>
        </w:numPr>
        <w:tabs>
          <w:tab w:val="left" w:pos="720"/>
        </w:tabs>
        <w:spacing w:after="0" w:line="240" w:lineRule="auto"/>
      </w:pPr>
      <w:r>
        <w:t xml:space="preserve">For information on requirements for cancer clinical trials funded by the National Cancer Institute (NCI) see NCI guidance, </w:t>
      </w:r>
      <w:hyperlink r:id="rId246" w:history="1">
        <w:r>
          <w:rPr>
            <w:color w:val="0000FF"/>
            <w:u w:val="single"/>
          </w:rPr>
          <w:t>Data and Safety Monitoring Guidelines</w:t>
        </w:r>
      </w:hyperlink>
      <w:r>
        <w:t>.</w:t>
      </w:r>
    </w:p>
    <w:p w14:paraId="7A8F75F7" w14:textId="77777777" w:rsidR="000D6343" w:rsidRPr="000D6343" w:rsidRDefault="000D6343" w:rsidP="000D6343">
      <w:pPr>
        <w:tabs>
          <w:tab w:val="left" w:pos="720"/>
        </w:tabs>
        <w:spacing w:after="0" w:line="240" w:lineRule="auto"/>
      </w:pPr>
    </w:p>
    <w:p w14:paraId="6CAD763F" w14:textId="77777777" w:rsidR="000D6343" w:rsidRPr="000D6343" w:rsidRDefault="000D6343" w:rsidP="00A07209">
      <w:pPr>
        <w:numPr>
          <w:ilvl w:val="0"/>
          <w:numId w:val="253"/>
        </w:numPr>
        <w:tabs>
          <w:tab w:val="left" w:pos="720"/>
        </w:tabs>
        <w:spacing w:after="0" w:line="240" w:lineRule="auto"/>
      </w:pPr>
      <w:r>
        <w:t xml:space="preserve">For more information on the roles, responsibilities, and operating procedures of data and safety monitoring boards/committees see FDA guidance, </w:t>
      </w:r>
      <w:hyperlink r:id="rId247" w:history="1">
        <w:r>
          <w:rPr>
            <w:color w:val="0000FF"/>
            <w:u w:val="single"/>
          </w:rPr>
          <w:t>Establishment and Operation of Clinical Trial Data Monitoring Committees</w:t>
        </w:r>
      </w:hyperlink>
      <w:r>
        <w:t>.</w:t>
      </w:r>
    </w:p>
    <w:p w14:paraId="559E2FEB" w14:textId="77777777" w:rsidR="000D6343" w:rsidRPr="000D6343" w:rsidRDefault="000D6343" w:rsidP="000D6343">
      <w:pPr>
        <w:spacing w:after="0" w:line="240" w:lineRule="auto"/>
      </w:pPr>
    </w:p>
    <w:p w14:paraId="30A12CE7" w14:textId="77777777" w:rsidR="000D6343" w:rsidRPr="000D6343" w:rsidRDefault="000D6343" w:rsidP="00A07209">
      <w:pPr>
        <w:numPr>
          <w:ilvl w:val="0"/>
          <w:numId w:val="256"/>
        </w:numPr>
        <w:tabs>
          <w:tab w:val="num" w:pos="360"/>
        </w:tabs>
        <w:spacing w:after="0" w:line="240" w:lineRule="auto"/>
        <w:ind w:left="360" w:hanging="540"/>
      </w:pPr>
      <w:r>
        <w:rPr>
          <w:b/>
        </w:rPr>
        <w:t>Applicable Regulations/Guidance</w:t>
      </w:r>
    </w:p>
    <w:p w14:paraId="32446E4A" w14:textId="77777777" w:rsidR="000D6343" w:rsidRPr="000D6343" w:rsidRDefault="000D6343" w:rsidP="000D6343">
      <w:pPr>
        <w:spacing w:after="0" w:line="240" w:lineRule="auto"/>
      </w:pPr>
    </w:p>
    <w:p w14:paraId="0647D498" w14:textId="77777777" w:rsidR="000D6343" w:rsidRPr="000D6343" w:rsidRDefault="000D6343" w:rsidP="000D6343">
      <w:pPr>
        <w:spacing w:after="0" w:line="240" w:lineRule="auto"/>
        <w:ind w:left="360"/>
      </w:pPr>
      <w:r>
        <w:t>21 CFR 50.24, 21 CFR 56.111, 45 CFR 46.111, Federal Register, Vol. 61, No. 192, p. 51531-51533 (10/02/96), FDA “Guidance for Clinical Trial Sponsors: Establishment and Operation of Clinical Trial Data Monitoring Committees” (03/27/06), “NIH Policy for Data and Safety Monitoring” (06/10/98), NIH “Further Guidance On a Data and Safety Monitoring for Phase I and Phase II Trials” (06/05/00), OHRP Guidance “Guidance on Reviewing and Reporting Unanticipated Problems Involving Risks to Subjects or Others and Adverse Events” (01/15/07), “Policy of the National Cancer Institute for Data and Safety Monitoring of Clinical Trials” (09/30/14)</w:t>
      </w:r>
    </w:p>
    <w:p w14:paraId="0CB3782E" w14:textId="77777777" w:rsidR="000D6343" w:rsidRPr="000D6343" w:rsidRDefault="000D6343" w:rsidP="000D6343">
      <w:pPr>
        <w:spacing w:after="0" w:line="240" w:lineRule="auto"/>
        <w:ind w:left="360"/>
      </w:pPr>
    </w:p>
    <w:p w14:paraId="5C162F96" w14:textId="77777777" w:rsidR="000D6343" w:rsidRPr="000D6343" w:rsidRDefault="000D6343" w:rsidP="00A07209">
      <w:pPr>
        <w:numPr>
          <w:ilvl w:val="0"/>
          <w:numId w:val="256"/>
        </w:numPr>
        <w:spacing w:after="0" w:line="240" w:lineRule="auto"/>
        <w:ind w:left="360"/>
        <w:rPr>
          <w:b/>
        </w:rPr>
      </w:pPr>
      <w:r>
        <w:rPr>
          <w:b/>
        </w:rPr>
        <w:t>History</w:t>
      </w:r>
    </w:p>
    <w:p w14:paraId="5A2C7425" w14:textId="77777777" w:rsidR="000D6343" w:rsidRPr="000D6343" w:rsidRDefault="000D6343" w:rsidP="000D6343">
      <w:pPr>
        <w:spacing w:after="0" w:line="240" w:lineRule="auto"/>
        <w:rPr>
          <w:b/>
        </w:rPr>
      </w:pPr>
    </w:p>
    <w:p w14:paraId="7670836F" w14:textId="77777777" w:rsidR="000D6343" w:rsidRPr="000D6343" w:rsidRDefault="000D6343" w:rsidP="000D6343">
      <w:pPr>
        <w:spacing w:after="0" w:line="240" w:lineRule="auto"/>
        <w:ind w:left="360"/>
      </w:pPr>
      <w:r>
        <w:t>Issued: 10/14/2008</w:t>
      </w:r>
    </w:p>
    <w:p w14:paraId="556F2AEA" w14:textId="77777777" w:rsidR="000D6343" w:rsidRPr="000D6343" w:rsidRDefault="000D6343" w:rsidP="000D6343">
      <w:pPr>
        <w:spacing w:after="0" w:line="240" w:lineRule="auto"/>
        <w:ind w:left="360"/>
      </w:pPr>
      <w:r>
        <w:t xml:space="preserve">Revised: 04/28/2009, 05/01/2012, 09/19/2016 </w:t>
      </w:r>
    </w:p>
    <w:p w14:paraId="24CE3AEF" w14:textId="77777777" w:rsidR="000D6343" w:rsidRPr="000D6343" w:rsidRDefault="000D6343" w:rsidP="000D6343">
      <w:pPr>
        <w:spacing w:after="0" w:line="240" w:lineRule="auto"/>
        <w:ind w:left="360"/>
      </w:pPr>
      <w:r>
        <w:t>Edited: 05/01/2019, 01/21/2022, 04/20/2022</w:t>
      </w:r>
    </w:p>
    <w:p w14:paraId="16B7BA32" w14:textId="77777777" w:rsidR="00471B9E" w:rsidRDefault="00471B9E">
      <w:pPr>
        <w:rPr>
          <w:b/>
          <w:bCs/>
          <w:i/>
          <w:iCs/>
          <w:sz w:val="28"/>
          <w:szCs w:val="28"/>
        </w:rPr>
      </w:pPr>
      <w:r>
        <w:br w:type="page"/>
      </w:r>
    </w:p>
    <w:p w14:paraId="216EBBB3" w14:textId="77777777" w:rsidR="0097217E" w:rsidRPr="0097217E" w:rsidRDefault="728B1985" w:rsidP="00471B9E">
      <w:pPr>
        <w:pStyle w:val="Heading2"/>
      </w:pPr>
      <w:bookmarkStart w:id="314" w:name="_Toc735418747"/>
      <w:bookmarkStart w:id="315" w:name="B19"/>
      <w:bookmarkStart w:id="316" w:name="_Toc212142216"/>
      <w:bookmarkStart w:id="317" w:name="_Toc225507756"/>
      <w:r>
        <w:lastRenderedPageBreak/>
        <w:t>Appendix B-19</w:t>
      </w:r>
      <w:bookmarkEnd w:id="314"/>
      <w:r>
        <w:t xml:space="preserve">  </w:t>
      </w:r>
      <w:bookmarkEnd w:id="315"/>
      <w:r>
        <w:tab/>
        <w:t>Event Reporting- Unanticipated Problems Involving Risks to Subjects or Others, Adverse Events, and Other Problems</w:t>
      </w:r>
      <w:bookmarkEnd w:id="316"/>
      <w:bookmarkEnd w:id="317"/>
    </w:p>
    <w:p w14:paraId="302389F6" w14:textId="77777777" w:rsidR="0097217E" w:rsidRPr="0097217E" w:rsidRDefault="0097217E" w:rsidP="0097217E">
      <w:pPr>
        <w:spacing w:after="0" w:line="240" w:lineRule="auto"/>
        <w:rPr>
          <w:b/>
          <w:smallCaps/>
        </w:rPr>
      </w:pPr>
    </w:p>
    <w:p w14:paraId="5E70643A" w14:textId="77777777" w:rsidR="0097217E" w:rsidRPr="0097217E" w:rsidRDefault="0097217E" w:rsidP="00A07209">
      <w:pPr>
        <w:numPr>
          <w:ilvl w:val="0"/>
          <w:numId w:val="268"/>
        </w:numPr>
        <w:spacing w:after="0" w:line="240" w:lineRule="auto"/>
        <w:rPr>
          <w:b/>
          <w:smallCaps/>
        </w:rPr>
      </w:pPr>
      <w:r>
        <w:rPr>
          <w:b/>
        </w:rPr>
        <w:t>Overview</w:t>
      </w:r>
    </w:p>
    <w:p w14:paraId="18C1F850" w14:textId="77777777" w:rsidR="0097217E" w:rsidRPr="0097217E" w:rsidRDefault="0097217E" w:rsidP="0097217E">
      <w:pPr>
        <w:spacing w:after="0" w:line="240" w:lineRule="auto"/>
        <w:ind w:left="360"/>
        <w:rPr>
          <w:b/>
          <w:smallCaps/>
        </w:rPr>
      </w:pPr>
    </w:p>
    <w:p w14:paraId="645FD679" w14:textId="77777777" w:rsidR="0097217E" w:rsidRPr="0097217E" w:rsidRDefault="0097217E" w:rsidP="0097217E">
      <w:pPr>
        <w:spacing w:after="0" w:line="240" w:lineRule="auto"/>
        <w:ind w:left="360"/>
      </w:pPr>
      <w:r>
        <w:t xml:space="preserve">Federal regulations require the university to have written procedures for ensuring that unanticipated problems involving risks to subjects or others are reported to the IRBs, appropriate institutional officials, and federal agencies. The IRB has the authority to suspend or terminate approval of research that is not conducted in accordance with the IRB's requirements or that has been associated with unexpected serious harm to subjects. </w:t>
      </w:r>
    </w:p>
    <w:p w14:paraId="4BB3CFC0" w14:textId="77777777" w:rsidR="0097217E" w:rsidRPr="0097217E" w:rsidRDefault="0097217E" w:rsidP="0097217E">
      <w:pPr>
        <w:spacing w:after="0" w:line="240" w:lineRule="auto"/>
        <w:ind w:left="360"/>
      </w:pPr>
    </w:p>
    <w:p w14:paraId="4C35D2E3" w14:textId="77777777" w:rsidR="0097217E" w:rsidRPr="0097217E" w:rsidRDefault="0097217E" w:rsidP="0097217E">
      <w:pPr>
        <w:spacing w:after="0" w:line="240" w:lineRule="auto"/>
        <w:ind w:left="360"/>
      </w:pPr>
      <w:r>
        <w:t>Unanticipated problems can occur in any type of research (medical or non-medical) and may include occurrences such as adverse events, subject complaints, protocol deviations, and other untoward events involving risk. Events requiring reporting by investigators and research staff may involve physical, psychological, social, legal, or economic harms.</w:t>
      </w:r>
    </w:p>
    <w:p w14:paraId="47E83C03" w14:textId="77777777" w:rsidR="0097217E" w:rsidRPr="0097217E" w:rsidRDefault="0097217E" w:rsidP="0097217E">
      <w:pPr>
        <w:spacing w:after="0" w:line="240" w:lineRule="auto"/>
        <w:rPr>
          <w:b/>
          <w:smallCaps/>
        </w:rPr>
      </w:pPr>
    </w:p>
    <w:p w14:paraId="335307FF" w14:textId="77777777" w:rsidR="0097217E" w:rsidRPr="0097217E" w:rsidRDefault="0097217E" w:rsidP="00A07209">
      <w:pPr>
        <w:numPr>
          <w:ilvl w:val="0"/>
          <w:numId w:val="268"/>
        </w:numPr>
        <w:spacing w:after="0" w:line="240" w:lineRule="auto"/>
        <w:ind w:left="360" w:hanging="360"/>
        <w:rPr>
          <w:b/>
          <w:smallCaps/>
        </w:rPr>
      </w:pPr>
      <w:r>
        <w:rPr>
          <w:b/>
        </w:rPr>
        <w:t>Definitions</w:t>
      </w:r>
    </w:p>
    <w:p w14:paraId="1366915D" w14:textId="77777777" w:rsidR="0097217E" w:rsidRPr="0097217E" w:rsidRDefault="0097217E" w:rsidP="0097217E">
      <w:pPr>
        <w:spacing w:after="0" w:line="240" w:lineRule="auto"/>
        <w:rPr>
          <w:b/>
        </w:rPr>
      </w:pPr>
    </w:p>
    <w:p w14:paraId="60E35A73" w14:textId="77777777" w:rsidR="0097217E" w:rsidRPr="0097217E" w:rsidRDefault="0097217E" w:rsidP="0097217E">
      <w:pPr>
        <w:ind w:left="360"/>
        <w:contextualSpacing/>
      </w:pPr>
      <w:r>
        <w:rPr>
          <w:b/>
        </w:rPr>
        <w:t>Unanticipated problems involving risks to subjects or others (UPIRSO)</w:t>
      </w:r>
      <w:r>
        <w:t xml:space="preserve">: An incident, experience, or other problem that meets all of the following criteria: </w:t>
      </w:r>
    </w:p>
    <w:p w14:paraId="0D11DA6D" w14:textId="77777777" w:rsidR="0097217E" w:rsidRPr="0097217E" w:rsidRDefault="0097217E" w:rsidP="00A07209">
      <w:pPr>
        <w:numPr>
          <w:ilvl w:val="1"/>
          <w:numId w:val="266"/>
        </w:numPr>
        <w:spacing w:after="0" w:line="240" w:lineRule="auto"/>
        <w:contextualSpacing/>
      </w:pPr>
      <w:r>
        <w:t xml:space="preserve">Unexpected (in terms of nature, severity, or frequency) given (a) the research procedures that are described in the protocol-related documents, such as the IRB-approved research protocol and informed consent document; and (b) the characteristics of the subject population being studied </w:t>
      </w:r>
    </w:p>
    <w:p w14:paraId="00F5499D" w14:textId="77777777" w:rsidR="0097217E" w:rsidRPr="0097217E" w:rsidRDefault="0097217E" w:rsidP="00A07209">
      <w:pPr>
        <w:numPr>
          <w:ilvl w:val="1"/>
          <w:numId w:val="266"/>
        </w:numPr>
        <w:spacing w:after="0" w:line="240" w:lineRule="auto"/>
        <w:contextualSpacing/>
      </w:pPr>
      <w:r>
        <w:t xml:space="preserve">Related or possibly related to participation in the research (in this guidance document, possibly related means there is a reasonable possibility that the incident, experience, or outcome may have been caused by the procedures involved in the research) </w:t>
      </w:r>
    </w:p>
    <w:p w14:paraId="5D15C07C" w14:textId="77777777" w:rsidR="0097217E" w:rsidRPr="0097217E" w:rsidRDefault="0097217E" w:rsidP="00A07209">
      <w:pPr>
        <w:numPr>
          <w:ilvl w:val="1"/>
          <w:numId w:val="266"/>
        </w:numPr>
        <w:spacing w:after="0" w:line="240" w:lineRule="auto"/>
        <w:contextualSpacing/>
        <w:rPr>
          <w:sz w:val="24"/>
          <w:szCs w:val="20"/>
        </w:rPr>
      </w:pPr>
      <w:r>
        <w:t>Suggests that the research places subjects or others at a greater risk of harm (including physical, psychological, economic, or social harm) than was previously known or recognized, even if no harm actually occurred</w:t>
      </w:r>
    </w:p>
    <w:p w14:paraId="26863495" w14:textId="77777777" w:rsidR="0097217E" w:rsidRPr="0097217E" w:rsidRDefault="0097217E" w:rsidP="0097217E">
      <w:pPr>
        <w:ind w:left="360"/>
        <w:contextualSpacing/>
      </w:pPr>
      <w:r>
        <w:t xml:space="preserve">Unanticipated problems involving risks to subjects or others may be medical or non-medical in nature, and include – but are not limited to – serious, unexpected, and related adverse drug events and unanticipated adverse device effects (see </w:t>
      </w:r>
      <w:hyperlink w:anchor="section3" w:history="1">
        <w:r>
          <w:rPr>
            <w:color w:val="0000FF"/>
            <w:u w:val="single"/>
          </w:rPr>
          <w:t>below</w:t>
        </w:r>
      </w:hyperlink>
      <w:r>
        <w:t xml:space="preserve">). </w:t>
      </w:r>
      <w:hyperlink r:id="rId248" w:history="1">
        <w:r w:rsidR="0008698A" w:rsidRPr="0008698A">
          <w:rPr>
            <w:rStyle w:val="Hyperlink"/>
          </w:rPr>
          <w:t xml:space="preserve">View </w:t>
        </w:r>
        <w:r w:rsidRPr="0008698A">
          <w:rPr>
            <w:rStyle w:val="Hyperlink"/>
          </w:rPr>
          <w:t>OHRP guidance examples of events that constitute a UPIRSO</w:t>
        </w:r>
      </w:hyperlink>
      <w:r>
        <w:t>.</w:t>
      </w:r>
    </w:p>
    <w:p w14:paraId="059C0DC7" w14:textId="77777777" w:rsidR="0097217E" w:rsidRPr="0097217E" w:rsidRDefault="0097217E" w:rsidP="0097217E">
      <w:pPr>
        <w:spacing w:after="0" w:line="240" w:lineRule="auto"/>
      </w:pPr>
    </w:p>
    <w:p w14:paraId="4EC93002" w14:textId="77777777" w:rsidR="0097217E" w:rsidRPr="0097217E" w:rsidRDefault="0097217E" w:rsidP="0097217E">
      <w:pPr>
        <w:spacing w:after="0" w:line="240" w:lineRule="auto"/>
        <w:ind w:left="360"/>
      </w:pPr>
      <w:r>
        <w:rPr>
          <w:b/>
        </w:rPr>
        <w:t>Adverse event (AE)</w:t>
      </w:r>
      <w:r>
        <w:t xml:space="preserve">: Any undesirable and unintended (although not necessarily unexpected) effect occurring as a result of interventions, interactions, or collection of identifiable private information in research. In medical research, any untoward physical or psychological occurrence in research, including abnormal laboratory finding, symptom, or disease temporally associated with the use of (although not necessarily related to) a medical treatment or procedure. Adverse events involving drugs are also referred to as </w:t>
      </w:r>
      <w:r>
        <w:rPr>
          <w:i/>
        </w:rPr>
        <w:t>adverse drug experiences</w:t>
      </w:r>
      <w:r>
        <w:t>.</w:t>
      </w:r>
    </w:p>
    <w:p w14:paraId="174396B8" w14:textId="77777777" w:rsidR="0097217E" w:rsidRPr="0097217E" w:rsidRDefault="0097217E" w:rsidP="0097217E">
      <w:pPr>
        <w:spacing w:after="0" w:line="240" w:lineRule="auto"/>
      </w:pPr>
    </w:p>
    <w:p w14:paraId="16F9CA18"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pPr>
      <w:r>
        <w:rPr>
          <w:b/>
        </w:rPr>
        <w:t>Serious adverse event (SAE)</w:t>
      </w:r>
      <w:r>
        <w:t>: An adverse event that is fatal or life threatening, permanently disabling, requires or prolongs hospitalization, or results in significant disability, congenital anomaly, or birth defect.</w:t>
      </w:r>
    </w:p>
    <w:p w14:paraId="07CAA582"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b/>
          <w:i/>
        </w:rPr>
      </w:pPr>
    </w:p>
    <w:p w14:paraId="043C14D7"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pPr>
      <w:r>
        <w:rPr>
          <w:b/>
        </w:rPr>
        <w:t>Unexpected adverse event</w:t>
      </w:r>
      <w:r>
        <w:t>: An adverse event that has not been previously observed or is not consistent in nature, severity, or frequency with existing risk information, such as in the investigator’s brochure, research protocol, consent form, or other available information (e.g., IND application for an investigational drug).</w:t>
      </w:r>
    </w:p>
    <w:p w14:paraId="0FF840D1" w14:textId="77777777" w:rsidR="0097217E" w:rsidRPr="0097217E" w:rsidRDefault="0097217E" w:rsidP="0097217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i/>
        </w:rPr>
      </w:pPr>
    </w:p>
    <w:p w14:paraId="41DB5B0E" w14:textId="77777777" w:rsidR="0097217E" w:rsidRPr="0097217E" w:rsidRDefault="0097217E" w:rsidP="0097217E">
      <w:pPr>
        <w:spacing w:after="0" w:line="240" w:lineRule="auto"/>
        <w:ind w:left="360"/>
      </w:pPr>
      <w:r>
        <w:rPr>
          <w:b/>
        </w:rPr>
        <w:t>Unanticipated adverse device effect</w:t>
      </w:r>
      <w:r>
        <w:t xml:space="preserve">: Any serious adverse effect on health or safety, or any life-threatening problem or death caused by (or associated with) a device, if that effect, problem, or death was not previously identified in nature, severity, or degree of </w:t>
      </w:r>
      <w:r>
        <w:br/>
        <w:t>incidence in the investigational plan or application; any other unanticipated, serious problem associated with a device that relates to the rights, safety, or welfare of subjects.</w:t>
      </w:r>
    </w:p>
    <w:p w14:paraId="17410CB8" w14:textId="77777777" w:rsidR="0097217E" w:rsidRPr="0097217E" w:rsidRDefault="0097217E" w:rsidP="0097217E">
      <w:pPr>
        <w:spacing w:after="0" w:line="240" w:lineRule="auto"/>
        <w:ind w:left="360"/>
        <w:rPr>
          <w:b/>
        </w:rPr>
      </w:pPr>
    </w:p>
    <w:p w14:paraId="3591A026" w14:textId="77777777" w:rsidR="0097217E" w:rsidRPr="0097217E" w:rsidRDefault="0097217E" w:rsidP="0097217E">
      <w:pPr>
        <w:spacing w:after="0" w:line="240" w:lineRule="auto"/>
        <w:ind w:left="360"/>
      </w:pPr>
      <w:r>
        <w:rPr>
          <w:b/>
        </w:rPr>
        <w:t>Related</w:t>
      </w:r>
      <w:r>
        <w:t>:</w:t>
      </w:r>
      <w:r>
        <w:rPr>
          <w:b/>
        </w:rPr>
        <w:t xml:space="preserve"> </w:t>
      </w:r>
      <w:r>
        <w:t>Associated or having a timely relationship with; a reasonable possibility exists that an outcome may have been caused or influenced by the event in question (e.g., administration of a study drug), although an alternative cause/influence may also be present. Related</w:t>
      </w:r>
      <w:r>
        <w:rPr>
          <w:b/>
        </w:rPr>
        <w:t xml:space="preserve"> </w:t>
      </w:r>
      <w:r>
        <w:t xml:space="preserve">events may be </w:t>
      </w:r>
      <w:r>
        <w:rPr>
          <w:i/>
        </w:rPr>
        <w:t>definitely</w:t>
      </w:r>
      <w:r>
        <w:t xml:space="preserve">, </w:t>
      </w:r>
      <w:r>
        <w:rPr>
          <w:i/>
        </w:rPr>
        <w:t>probably</w:t>
      </w:r>
      <w:r>
        <w:t xml:space="preserve">, or </w:t>
      </w:r>
      <w:r>
        <w:rPr>
          <w:i/>
        </w:rPr>
        <w:t>possibly</w:t>
      </w:r>
      <w:r>
        <w:t xml:space="preserve"> related.</w:t>
      </w:r>
    </w:p>
    <w:p w14:paraId="2EB99936" w14:textId="77777777" w:rsidR="0097217E" w:rsidRPr="0097217E" w:rsidRDefault="0097217E" w:rsidP="0097217E">
      <w:pPr>
        <w:spacing w:after="0" w:line="240" w:lineRule="auto"/>
      </w:pPr>
    </w:p>
    <w:p w14:paraId="21378A6E" w14:textId="77777777" w:rsidR="0097217E" w:rsidRPr="0097217E" w:rsidRDefault="0097217E" w:rsidP="0097217E">
      <w:pPr>
        <w:spacing w:after="0" w:line="240" w:lineRule="auto"/>
        <w:ind w:left="360"/>
      </w:pPr>
      <w:r>
        <w:rPr>
          <w:b/>
        </w:rPr>
        <w:t>Unrelated</w:t>
      </w:r>
      <w:r>
        <w:t>: Unassociated or without a timely relationship; evidence exists that an outcome is definitely related to a cause other than the event in question.</w:t>
      </w:r>
    </w:p>
    <w:p w14:paraId="6AC66152" w14:textId="77777777" w:rsidR="0097217E" w:rsidRPr="0097217E" w:rsidRDefault="0097217E" w:rsidP="0097217E">
      <w:pPr>
        <w:spacing w:after="0" w:line="240" w:lineRule="auto"/>
        <w:ind w:left="360"/>
      </w:pPr>
    </w:p>
    <w:p w14:paraId="57906BF1" w14:textId="77777777" w:rsidR="0097217E" w:rsidRPr="0097217E" w:rsidRDefault="0097217E" w:rsidP="0097217E">
      <w:pPr>
        <w:spacing w:after="0" w:line="240" w:lineRule="auto"/>
        <w:ind w:left="360"/>
      </w:pPr>
      <w:r>
        <w:rPr>
          <w:b/>
        </w:rPr>
        <w:t xml:space="preserve">Ohio State IRB jurisdiction: </w:t>
      </w:r>
      <w:r>
        <w:t>Research reviewed and approved by the Cancer, Biomedical Sciences, or Social and Behavioral Sciences IRB.</w:t>
      </w:r>
    </w:p>
    <w:p w14:paraId="5A89DEC8" w14:textId="77777777" w:rsidR="0097217E" w:rsidRPr="0097217E" w:rsidRDefault="0097217E" w:rsidP="0097217E">
      <w:pPr>
        <w:spacing w:after="0" w:line="240" w:lineRule="auto"/>
        <w:ind w:left="360"/>
      </w:pPr>
    </w:p>
    <w:p w14:paraId="76347D83" w14:textId="77777777" w:rsidR="0097217E" w:rsidRPr="0097217E" w:rsidRDefault="0097217E" w:rsidP="0097217E">
      <w:pPr>
        <w:spacing w:after="0" w:line="240" w:lineRule="auto"/>
        <w:ind w:left="360"/>
      </w:pPr>
      <w:r>
        <w:rPr>
          <w:b/>
        </w:rPr>
        <w:t>Internal event</w:t>
      </w:r>
      <w:r>
        <w:t>: An event occurring in Ohio State research at a site(s) under an Ohio State IRB’s jurisdiction.</w:t>
      </w:r>
    </w:p>
    <w:p w14:paraId="56C00925" w14:textId="77777777" w:rsidR="0097217E" w:rsidRPr="0097217E" w:rsidRDefault="0097217E" w:rsidP="0097217E">
      <w:pPr>
        <w:spacing w:before="100" w:beforeAutospacing="1" w:after="100" w:afterAutospacing="1" w:line="240" w:lineRule="auto"/>
        <w:ind w:left="360"/>
        <w:rPr>
          <w:u w:val="single"/>
        </w:rPr>
      </w:pPr>
      <w:r>
        <w:rPr>
          <w:b/>
        </w:rPr>
        <w:t>External event</w:t>
      </w:r>
      <w:r>
        <w:t xml:space="preserve">: </w:t>
      </w:r>
      <w:r>
        <w:rPr>
          <w:bCs/>
        </w:rPr>
        <w:t xml:space="preserve">An event occurring at a non-Ohio State </w:t>
      </w:r>
      <w:r>
        <w:t>site over which another IRB has jurisdiction in research that is also occurring at Ohio State.</w:t>
      </w:r>
    </w:p>
    <w:p w14:paraId="202BA257" w14:textId="77777777" w:rsidR="0097217E" w:rsidRPr="0097217E" w:rsidRDefault="0097217E" w:rsidP="00A07209">
      <w:pPr>
        <w:numPr>
          <w:ilvl w:val="0"/>
          <w:numId w:val="268"/>
        </w:numPr>
        <w:spacing w:after="0" w:line="240" w:lineRule="auto"/>
        <w:ind w:left="360" w:hanging="360"/>
        <w:rPr>
          <w:u w:val="single"/>
        </w:rPr>
      </w:pPr>
      <w:r>
        <w:rPr>
          <w:b/>
        </w:rPr>
        <w:t>Events Requiring Reporting</w:t>
      </w:r>
    </w:p>
    <w:p w14:paraId="44FFAB89" w14:textId="77777777" w:rsidR="0097217E" w:rsidRPr="0097217E" w:rsidRDefault="0097217E" w:rsidP="0097217E">
      <w:pPr>
        <w:spacing w:after="0" w:line="240" w:lineRule="auto"/>
        <w:rPr>
          <w:b/>
        </w:rPr>
      </w:pPr>
    </w:p>
    <w:p w14:paraId="1F648EFF" w14:textId="77777777" w:rsidR="0097217E" w:rsidRPr="0097217E" w:rsidRDefault="0097217E" w:rsidP="00A07209">
      <w:pPr>
        <w:numPr>
          <w:ilvl w:val="0"/>
          <w:numId w:val="267"/>
        </w:numPr>
        <w:spacing w:after="0" w:line="240" w:lineRule="auto"/>
      </w:pPr>
      <w:r>
        <w:t>Investigators and research staff are responsible for reporting to the IRB unanticipated problems involving risks to subjects or others. Such reports may include adverse events (regardless of severity), subject complaints, protocol deviations, and other untoward events involving risk. Reports may also include events that are not categorized as adverse events and are not directly related to an individual subject’s participation in a study, but represent risk to others. Events that do not cause detectable harm or adverse effects to subjects or others may still represent unanticipated problems.</w:t>
      </w:r>
    </w:p>
    <w:p w14:paraId="6FCE9983" w14:textId="77777777" w:rsidR="0097217E" w:rsidRPr="0097217E" w:rsidRDefault="0097217E" w:rsidP="0097217E">
      <w:pPr>
        <w:spacing w:after="0" w:line="240" w:lineRule="auto"/>
        <w:ind w:left="720"/>
        <w:rPr>
          <w:sz w:val="24"/>
          <w:szCs w:val="20"/>
        </w:rPr>
      </w:pPr>
      <w:r>
        <w:t xml:space="preserve"> </w:t>
      </w:r>
    </w:p>
    <w:p w14:paraId="63E41E5D" w14:textId="77777777" w:rsidR="0097217E" w:rsidRPr="0097217E" w:rsidRDefault="0097217E" w:rsidP="00A07209">
      <w:pPr>
        <w:numPr>
          <w:ilvl w:val="0"/>
          <w:numId w:val="267"/>
        </w:numPr>
        <w:spacing w:after="0" w:line="240" w:lineRule="auto"/>
        <w:rPr>
          <w:sz w:val="24"/>
          <w:szCs w:val="20"/>
        </w:rPr>
      </w:pPr>
      <w:bookmarkStart w:id="318" w:name="section3b"/>
      <w:bookmarkEnd w:id="318"/>
      <w:r>
        <w:t xml:space="preserve">Events that occur in Ohio State research that may represent unanticipated problems involving risks to subjects or others should be reported. For the timeframe for such reporting, see </w:t>
      </w:r>
      <w:hyperlink w:anchor="section4" w:history="1">
        <w:r>
          <w:rPr>
            <w:color w:val="0000FF"/>
            <w:u w:val="single"/>
          </w:rPr>
          <w:t>section 4</w:t>
        </w:r>
      </w:hyperlink>
      <w:r>
        <w:t xml:space="preserve"> below. The following events may represent unanticipated problems involving risks to subjects or others: </w:t>
      </w:r>
    </w:p>
    <w:p w14:paraId="416DC5A7" w14:textId="77777777" w:rsidR="0097217E" w:rsidRPr="0097217E" w:rsidRDefault="0097217E" w:rsidP="00A07209">
      <w:pPr>
        <w:numPr>
          <w:ilvl w:val="0"/>
          <w:numId w:val="258"/>
        </w:numPr>
        <w:tabs>
          <w:tab w:val="num" w:pos="1440"/>
        </w:tabs>
        <w:spacing w:after="60" w:line="240" w:lineRule="auto"/>
        <w:ind w:left="1440"/>
      </w:pPr>
      <w:r>
        <w:t xml:space="preserve">Adverse device effects that are serious, unanticipated, </w:t>
      </w:r>
      <w:r>
        <w:rPr>
          <w:b/>
          <w:i/>
        </w:rPr>
        <w:t>and</w:t>
      </w:r>
      <w:r>
        <w:t xml:space="preserve"> related</w:t>
      </w:r>
    </w:p>
    <w:p w14:paraId="2B4478C7" w14:textId="77777777" w:rsidR="0097217E" w:rsidRPr="0097217E" w:rsidRDefault="0097217E" w:rsidP="00A07209">
      <w:pPr>
        <w:numPr>
          <w:ilvl w:val="0"/>
          <w:numId w:val="258"/>
        </w:numPr>
        <w:tabs>
          <w:tab w:val="num" w:pos="1440"/>
        </w:tabs>
        <w:spacing w:after="60" w:line="240" w:lineRule="auto"/>
        <w:ind w:left="1440"/>
      </w:pPr>
      <w:r>
        <w:t xml:space="preserve">Adverse events or injuries that are serious, unexpected, </w:t>
      </w:r>
      <w:r>
        <w:rPr>
          <w:b/>
          <w:i/>
        </w:rPr>
        <w:t>and</w:t>
      </w:r>
      <w:r>
        <w:t xml:space="preserve"> related</w:t>
      </w:r>
    </w:p>
    <w:p w14:paraId="7CDA2D5A" w14:textId="77777777" w:rsidR="0097217E" w:rsidRPr="0097217E" w:rsidRDefault="0097217E" w:rsidP="00A07209">
      <w:pPr>
        <w:numPr>
          <w:ilvl w:val="0"/>
          <w:numId w:val="258"/>
        </w:numPr>
        <w:tabs>
          <w:tab w:val="num" w:pos="1440"/>
        </w:tabs>
        <w:spacing w:after="60" w:line="240" w:lineRule="auto"/>
        <w:ind w:left="1440"/>
      </w:pPr>
      <w:r>
        <w:t>Breaches of confidentiality involving risks</w:t>
      </w:r>
    </w:p>
    <w:p w14:paraId="590AC556" w14:textId="77777777" w:rsidR="0097217E" w:rsidRPr="0097217E" w:rsidRDefault="0097217E" w:rsidP="00A07209">
      <w:pPr>
        <w:numPr>
          <w:ilvl w:val="0"/>
          <w:numId w:val="258"/>
        </w:numPr>
        <w:tabs>
          <w:tab w:val="num" w:pos="1440"/>
        </w:tabs>
        <w:spacing w:after="60" w:line="240" w:lineRule="auto"/>
        <w:ind w:left="1440"/>
      </w:pPr>
      <w:r>
        <w:t>Data and safety monitoring board (DSMB) reports, interim analyses, or other oversight committee/monitoring reports altering the risk/benefit profile</w:t>
      </w:r>
    </w:p>
    <w:p w14:paraId="0D4166F6" w14:textId="77777777" w:rsidR="0097217E" w:rsidRPr="0097217E" w:rsidRDefault="0097217E" w:rsidP="00A07209">
      <w:pPr>
        <w:numPr>
          <w:ilvl w:val="0"/>
          <w:numId w:val="258"/>
        </w:numPr>
        <w:tabs>
          <w:tab w:val="num" w:pos="1440"/>
        </w:tabs>
        <w:spacing w:after="60" w:line="240" w:lineRule="auto"/>
        <w:ind w:left="1440"/>
      </w:pPr>
      <w:r>
        <w:t>Events requiring reporting according to the protocol, sponsor, or funding agency</w:t>
      </w:r>
    </w:p>
    <w:p w14:paraId="2117A25E" w14:textId="77777777" w:rsidR="0097217E" w:rsidRPr="0097217E" w:rsidRDefault="0097217E" w:rsidP="00A07209">
      <w:pPr>
        <w:numPr>
          <w:ilvl w:val="0"/>
          <w:numId w:val="258"/>
        </w:numPr>
        <w:tabs>
          <w:tab w:val="num" w:pos="1440"/>
        </w:tabs>
        <w:spacing w:after="60" w:line="240" w:lineRule="auto"/>
        <w:ind w:left="1440"/>
      </w:pPr>
      <w:r>
        <w:t>New information indicating an unexpected change in risks or potential benefits (e.g., literature/scientific reports or other published findings)</w:t>
      </w:r>
    </w:p>
    <w:p w14:paraId="22BCB010" w14:textId="77777777" w:rsidR="0097217E" w:rsidRPr="0097217E" w:rsidRDefault="0097217E" w:rsidP="00A07209">
      <w:pPr>
        <w:numPr>
          <w:ilvl w:val="0"/>
          <w:numId w:val="258"/>
        </w:numPr>
        <w:tabs>
          <w:tab w:val="num" w:pos="1440"/>
        </w:tabs>
        <w:spacing w:after="60" w:line="240" w:lineRule="auto"/>
        <w:ind w:left="1440"/>
        <w:rPr>
          <w:i/>
        </w:rPr>
      </w:pPr>
      <w:r>
        <w:t>Protocol deviations, violations, or other accidental or unintentional changes to the protocol or procedures possibly involving risks or with the potential to recur, even if no harm has actually occurred</w:t>
      </w:r>
    </w:p>
    <w:p w14:paraId="3BBB2D54" w14:textId="77777777" w:rsidR="0097217E" w:rsidRPr="0097217E" w:rsidRDefault="0097217E" w:rsidP="00A07209">
      <w:pPr>
        <w:numPr>
          <w:ilvl w:val="0"/>
          <w:numId w:val="258"/>
        </w:numPr>
        <w:tabs>
          <w:tab w:val="num" w:pos="1440"/>
        </w:tabs>
        <w:spacing w:after="60" w:line="240" w:lineRule="auto"/>
        <w:ind w:left="1440"/>
      </w:pPr>
      <w:r>
        <w:t>Subject complaints indicating an unanticipated risk, or complaints that cannot be resolved by the research staff</w:t>
      </w:r>
    </w:p>
    <w:p w14:paraId="16C6CF5A" w14:textId="77777777" w:rsidR="0097217E" w:rsidRPr="0097217E" w:rsidRDefault="0097217E" w:rsidP="00A07209">
      <w:pPr>
        <w:numPr>
          <w:ilvl w:val="0"/>
          <w:numId w:val="258"/>
        </w:numPr>
        <w:tabs>
          <w:tab w:val="num" w:pos="1440"/>
        </w:tabs>
        <w:spacing w:after="60" w:line="240" w:lineRule="auto"/>
        <w:ind w:left="1440"/>
      </w:pPr>
      <w:r>
        <w:t xml:space="preserve">Unapproved changes made to the research to eliminate an apparent immediate hazard to a subject </w:t>
      </w:r>
    </w:p>
    <w:p w14:paraId="640D6F62" w14:textId="77777777" w:rsidR="0097217E" w:rsidRPr="0097217E" w:rsidRDefault="0097217E" w:rsidP="00A07209">
      <w:pPr>
        <w:numPr>
          <w:ilvl w:val="0"/>
          <w:numId w:val="258"/>
        </w:numPr>
        <w:tabs>
          <w:tab w:val="num" w:pos="1440"/>
        </w:tabs>
        <w:spacing w:after="60" w:line="240" w:lineRule="auto"/>
        <w:ind w:left="1440"/>
      </w:pPr>
      <w:r>
        <w:t>Audit findings, inquiry, or written report by a federal agency (e.g., FDA Form 483)</w:t>
      </w:r>
    </w:p>
    <w:p w14:paraId="7276EB93" w14:textId="77777777" w:rsidR="0097217E" w:rsidRPr="0097217E" w:rsidRDefault="0097217E" w:rsidP="00A07209">
      <w:pPr>
        <w:numPr>
          <w:ilvl w:val="0"/>
          <w:numId w:val="258"/>
        </w:numPr>
        <w:tabs>
          <w:tab w:val="num" w:pos="1440"/>
        </w:tabs>
        <w:spacing w:after="60" w:line="240" w:lineRule="auto"/>
        <w:ind w:left="1440"/>
      </w:pPr>
      <w:r>
        <w:t>Suspension by the sponsor, investigator, or institutional entity</w:t>
      </w:r>
    </w:p>
    <w:p w14:paraId="57385299" w14:textId="77777777" w:rsidR="0097217E" w:rsidRPr="0097217E" w:rsidRDefault="0097217E" w:rsidP="00A07209">
      <w:pPr>
        <w:numPr>
          <w:ilvl w:val="0"/>
          <w:numId w:val="258"/>
        </w:numPr>
        <w:tabs>
          <w:tab w:val="num" w:pos="1440"/>
        </w:tabs>
        <w:spacing w:after="0" w:line="240" w:lineRule="auto"/>
        <w:ind w:left="1440"/>
      </w:pPr>
      <w:r>
        <w:t>Other problem or finding (e.g., loss of study data or forms, a subject becomes a prisoner while participating in research, etc.) that an investigator or research staff member believes could influence the safe conduct of the research</w:t>
      </w:r>
    </w:p>
    <w:p w14:paraId="26C59C83" w14:textId="77777777" w:rsidR="0097217E" w:rsidRPr="0097217E" w:rsidRDefault="0097217E" w:rsidP="0097217E">
      <w:pPr>
        <w:spacing w:after="0" w:line="240" w:lineRule="auto"/>
        <w:ind w:left="1440"/>
      </w:pPr>
    </w:p>
    <w:p w14:paraId="06121AC5" w14:textId="77777777" w:rsidR="0097217E" w:rsidRPr="0097217E" w:rsidRDefault="0097217E" w:rsidP="0097217E">
      <w:pPr>
        <w:spacing w:after="0" w:line="240" w:lineRule="auto"/>
        <w:ind w:left="720"/>
        <w:rPr>
          <w:i/>
        </w:rPr>
      </w:pPr>
      <w:r>
        <w:rPr>
          <w:i/>
        </w:rPr>
        <w:lastRenderedPageBreak/>
        <w:t>Note: Concerns of noncompliance should be reported to the IRB via an event report application in Buck-IRB, regardless of the incident’s potential effect on risk level. For more information on noncompliance reporting, refer to HRPP policy [</w:t>
      </w:r>
      <w:hyperlink r:id="rId249" w:history="1">
        <w:r>
          <w:rPr>
            <w:i/>
            <w:color w:val="0000FF"/>
            <w:u w:val="single"/>
          </w:rPr>
          <w:t>Noncompliance</w:t>
        </w:r>
      </w:hyperlink>
      <w:r>
        <w:rPr>
          <w:i/>
        </w:rPr>
        <w:t>].</w:t>
      </w:r>
    </w:p>
    <w:p w14:paraId="7F99AE7C" w14:textId="77777777" w:rsidR="0097217E" w:rsidRPr="0097217E" w:rsidRDefault="0097217E" w:rsidP="0097217E">
      <w:pPr>
        <w:spacing w:after="0" w:line="240" w:lineRule="auto"/>
        <w:ind w:left="720"/>
      </w:pPr>
      <w:r>
        <w:br/>
      </w:r>
      <w:hyperlink r:id="rId250" w:history="1">
        <w:r w:rsidR="0008698A" w:rsidRPr="0008698A">
          <w:rPr>
            <w:rStyle w:val="Hyperlink"/>
          </w:rPr>
          <w:t>View</w:t>
        </w:r>
        <w:r w:rsidRPr="0008698A">
          <w:rPr>
            <w:rStyle w:val="Hyperlink"/>
          </w:rPr>
          <w:t xml:space="preserve"> event reporting examples</w:t>
        </w:r>
      </w:hyperlink>
      <w:r w:rsidR="0008698A">
        <w:t>.</w:t>
      </w:r>
    </w:p>
    <w:p w14:paraId="45C7D0B8" w14:textId="77777777" w:rsidR="0097217E" w:rsidRPr="0097217E" w:rsidRDefault="0097217E" w:rsidP="0097217E">
      <w:pPr>
        <w:spacing w:after="0" w:line="240" w:lineRule="auto"/>
        <w:ind w:left="360"/>
      </w:pPr>
    </w:p>
    <w:p w14:paraId="1D9EFE7C" w14:textId="77777777" w:rsidR="0097217E" w:rsidRPr="0097217E" w:rsidRDefault="0097217E" w:rsidP="00A07209">
      <w:pPr>
        <w:numPr>
          <w:ilvl w:val="0"/>
          <w:numId w:val="268"/>
        </w:numPr>
        <w:spacing w:after="0" w:line="240" w:lineRule="auto"/>
        <w:ind w:left="360" w:hanging="360"/>
        <w:rPr>
          <w:u w:val="single"/>
        </w:rPr>
      </w:pPr>
      <w:bookmarkStart w:id="319" w:name="section4"/>
      <w:bookmarkEnd w:id="319"/>
      <w:r>
        <w:rPr>
          <w:b/>
        </w:rPr>
        <w:t>Timeframes for Reporting</w:t>
      </w:r>
    </w:p>
    <w:p w14:paraId="77959424" w14:textId="77777777" w:rsidR="0097217E" w:rsidRPr="0097217E" w:rsidRDefault="0097217E" w:rsidP="0097217E">
      <w:pPr>
        <w:spacing w:after="0" w:line="240" w:lineRule="auto"/>
        <w:ind w:left="360"/>
        <w:rPr>
          <w:u w:val="single"/>
        </w:rPr>
      </w:pPr>
    </w:p>
    <w:p w14:paraId="406112A7" w14:textId="77777777" w:rsidR="0097217E" w:rsidRPr="0097217E" w:rsidRDefault="0097217E" w:rsidP="00A07209">
      <w:pPr>
        <w:numPr>
          <w:ilvl w:val="0"/>
          <w:numId w:val="265"/>
        </w:numPr>
        <w:spacing w:after="0" w:line="240" w:lineRule="auto"/>
      </w:pPr>
      <w:r>
        <w:t xml:space="preserve">The events described above should be reported to the IRB using the Event Report application in Buck-IRB </w:t>
      </w:r>
      <w:r>
        <w:rPr>
          <w:b/>
        </w:rPr>
        <w:t>within 10 days</w:t>
      </w:r>
      <w:r>
        <w:t xml:space="preserve"> of the investigator’s or research staff member’s learning of the event.</w:t>
      </w:r>
    </w:p>
    <w:p w14:paraId="671567F5" w14:textId="77777777" w:rsidR="0097217E" w:rsidRPr="0097217E" w:rsidRDefault="0097217E" w:rsidP="0097217E">
      <w:pPr>
        <w:spacing w:after="0" w:line="240" w:lineRule="auto"/>
      </w:pPr>
    </w:p>
    <w:p w14:paraId="3B42134C" w14:textId="77777777" w:rsidR="0097217E" w:rsidRPr="0097217E" w:rsidRDefault="0097217E" w:rsidP="00A07209">
      <w:pPr>
        <w:numPr>
          <w:ilvl w:val="0"/>
          <w:numId w:val="265"/>
        </w:numPr>
        <w:spacing w:after="0" w:line="240" w:lineRule="auto"/>
      </w:pPr>
      <w:r>
        <w:t>Events resulting in temporary or permanent interruption of study activities by the investigator, sponsor, or DSMB to avoid potential harm to subjects should be reported</w:t>
      </w:r>
      <w:r>
        <w:rPr>
          <w:b/>
        </w:rPr>
        <w:t xml:space="preserve"> within 48 hours.</w:t>
      </w:r>
    </w:p>
    <w:p w14:paraId="70EB16A9" w14:textId="77777777" w:rsidR="0097217E" w:rsidRPr="0097217E" w:rsidRDefault="0097217E" w:rsidP="0097217E">
      <w:pPr>
        <w:spacing w:after="0" w:line="240" w:lineRule="auto"/>
        <w:ind w:left="360"/>
      </w:pPr>
    </w:p>
    <w:p w14:paraId="05D13940" w14:textId="77777777" w:rsidR="0097217E" w:rsidRPr="0097217E" w:rsidRDefault="0097217E" w:rsidP="00A07209">
      <w:pPr>
        <w:numPr>
          <w:ilvl w:val="0"/>
          <w:numId w:val="265"/>
        </w:numPr>
        <w:spacing w:after="0" w:line="240" w:lineRule="auto"/>
        <w:rPr>
          <w:bCs/>
        </w:rPr>
      </w:pPr>
      <w:r>
        <w:t xml:space="preserve">Events that may represent unanticipated problems involving risks to subjects or others should be reported (as described in </w:t>
      </w:r>
      <w:hyperlink w:anchor="section3b" w:history="1">
        <w:r>
          <w:rPr>
            <w:color w:val="0000FF"/>
            <w:u w:val="single"/>
          </w:rPr>
          <w:t>section 3.B.</w:t>
        </w:r>
      </w:hyperlink>
      <w:r>
        <w:t xml:space="preserve">), regardless of whether they occur during or after the study, or involve a subject who has withdrawn from or completed study participation. If changes to the research or consent process are proposed as a result of the event, </w:t>
      </w:r>
      <w:r>
        <w:rPr>
          <w:bCs/>
        </w:rPr>
        <w:t xml:space="preserve">or if additional information will be provided to current and/or past participants, an amendment request must also be submitted for IRB review. </w:t>
      </w:r>
    </w:p>
    <w:p w14:paraId="468DF66F" w14:textId="77777777" w:rsidR="0097217E" w:rsidRPr="0097217E" w:rsidRDefault="0097217E" w:rsidP="0097217E">
      <w:pPr>
        <w:spacing w:after="0" w:line="240" w:lineRule="auto"/>
        <w:ind w:left="720"/>
        <w:rPr>
          <w:bCs/>
        </w:rPr>
      </w:pPr>
    </w:p>
    <w:p w14:paraId="4F33E447" w14:textId="77777777" w:rsidR="0097217E" w:rsidRPr="0097217E" w:rsidRDefault="0097217E" w:rsidP="00A07209">
      <w:pPr>
        <w:numPr>
          <w:ilvl w:val="0"/>
          <w:numId w:val="265"/>
        </w:numPr>
        <w:spacing w:after="0" w:line="240" w:lineRule="auto"/>
        <w:rPr>
          <w:bCs/>
        </w:rPr>
      </w:pPr>
      <w:r>
        <w:rPr>
          <w:bCs/>
        </w:rPr>
        <w:t xml:space="preserve">Additional sponsor reporting requirements and timeframes may exist that are not outlined in this policy. </w:t>
      </w:r>
      <w:r>
        <w:rPr>
          <w:bCs/>
        </w:rPr>
        <w:br/>
      </w:r>
    </w:p>
    <w:p w14:paraId="14C95D79" w14:textId="77777777" w:rsidR="0097217E" w:rsidRPr="0097217E" w:rsidRDefault="0097217E" w:rsidP="0097217E">
      <w:pPr>
        <w:spacing w:after="0" w:line="240" w:lineRule="auto"/>
        <w:rPr>
          <w:u w:val="single"/>
        </w:rPr>
      </w:pPr>
    </w:p>
    <w:p w14:paraId="0C13B118" w14:textId="77777777" w:rsidR="0097217E" w:rsidRPr="0097217E" w:rsidRDefault="0097217E" w:rsidP="00A07209">
      <w:pPr>
        <w:numPr>
          <w:ilvl w:val="0"/>
          <w:numId w:val="268"/>
        </w:numPr>
        <w:spacing w:after="0" w:line="240" w:lineRule="auto"/>
        <w:ind w:left="360" w:hanging="360"/>
        <w:rPr>
          <w:u w:val="single"/>
        </w:rPr>
      </w:pPr>
      <w:r>
        <w:rPr>
          <w:b/>
        </w:rPr>
        <w:t>Events Not Requiring Reporting</w:t>
      </w:r>
    </w:p>
    <w:p w14:paraId="6A7D99CB" w14:textId="77777777" w:rsidR="0097217E" w:rsidRPr="0097217E" w:rsidRDefault="0097217E" w:rsidP="0097217E">
      <w:pPr>
        <w:spacing w:after="0" w:line="240" w:lineRule="auto"/>
        <w:ind w:left="360"/>
        <w:rPr>
          <w:u w:val="single"/>
        </w:rPr>
      </w:pPr>
    </w:p>
    <w:p w14:paraId="6F81E3CC" w14:textId="77777777" w:rsidR="0097217E" w:rsidRPr="0097217E" w:rsidRDefault="0097217E" w:rsidP="00A07209">
      <w:pPr>
        <w:numPr>
          <w:ilvl w:val="0"/>
          <w:numId w:val="264"/>
        </w:numPr>
        <w:spacing w:after="60" w:line="240" w:lineRule="auto"/>
      </w:pPr>
      <w:r>
        <w:t xml:space="preserve">Potential risks and adverse events that may be reasonably anticipated (i.e., “expected”) should be described in the informed consent process/form and do not require reporting to the IRB by investigators and/or research staff. The following are examples of events that </w:t>
      </w:r>
      <w:r>
        <w:rPr>
          <w:b/>
          <w:i/>
        </w:rPr>
        <w:t>do not</w:t>
      </w:r>
      <w:r>
        <w:t xml:space="preserve"> require reporting:</w:t>
      </w:r>
    </w:p>
    <w:p w14:paraId="650D0E41" w14:textId="77777777" w:rsidR="0097217E" w:rsidRPr="0097217E" w:rsidRDefault="0097217E" w:rsidP="00A07209">
      <w:pPr>
        <w:numPr>
          <w:ilvl w:val="0"/>
          <w:numId w:val="259"/>
        </w:numPr>
        <w:tabs>
          <w:tab w:val="num" w:pos="1440"/>
        </w:tabs>
        <w:spacing w:after="60" w:line="240" w:lineRule="auto"/>
        <w:ind w:left="1800"/>
      </w:pPr>
      <w:r>
        <w:t xml:space="preserve">Adverse device effects that are non-serious, anticipated, </w:t>
      </w:r>
      <w:r>
        <w:rPr>
          <w:b/>
          <w:i/>
        </w:rPr>
        <w:t>or</w:t>
      </w:r>
      <w:r>
        <w:t xml:space="preserve"> unrelated</w:t>
      </w:r>
    </w:p>
    <w:p w14:paraId="40E8CB46" w14:textId="77777777" w:rsidR="0097217E" w:rsidRPr="0097217E" w:rsidRDefault="0097217E" w:rsidP="00A07209">
      <w:pPr>
        <w:numPr>
          <w:ilvl w:val="0"/>
          <w:numId w:val="259"/>
        </w:numPr>
        <w:tabs>
          <w:tab w:val="num" w:pos="1440"/>
        </w:tabs>
        <w:spacing w:after="60" w:line="240" w:lineRule="auto"/>
        <w:ind w:left="1800"/>
      </w:pPr>
      <w:r>
        <w:t xml:space="preserve">Adverse events or injuries that are non-serious, expected, </w:t>
      </w:r>
      <w:r>
        <w:rPr>
          <w:b/>
          <w:i/>
        </w:rPr>
        <w:t>or</w:t>
      </w:r>
      <w:r>
        <w:t xml:space="preserve"> unrelated</w:t>
      </w:r>
    </w:p>
    <w:p w14:paraId="3DCB1957" w14:textId="77777777" w:rsidR="0097217E" w:rsidRPr="0097217E" w:rsidRDefault="0097217E" w:rsidP="00A07209">
      <w:pPr>
        <w:numPr>
          <w:ilvl w:val="0"/>
          <w:numId w:val="259"/>
        </w:numPr>
        <w:tabs>
          <w:tab w:val="num" w:pos="1440"/>
        </w:tabs>
        <w:spacing w:after="60" w:line="240" w:lineRule="auto"/>
        <w:ind w:left="1800"/>
      </w:pPr>
      <w:r>
        <w:t>Deaths not attributed to the research, e.g., from “natural causes,” accidents, or underlying disease and the investigator has ruled out any connection between the study procedures and the participant’s death</w:t>
      </w:r>
    </w:p>
    <w:p w14:paraId="33980170" w14:textId="77777777" w:rsidR="0097217E" w:rsidRPr="0097217E" w:rsidRDefault="0097217E" w:rsidP="00A07209">
      <w:pPr>
        <w:numPr>
          <w:ilvl w:val="0"/>
          <w:numId w:val="259"/>
        </w:numPr>
        <w:tabs>
          <w:tab w:val="num" w:pos="1440"/>
        </w:tabs>
        <w:spacing w:after="60" w:line="240" w:lineRule="auto"/>
        <w:ind w:left="1800"/>
      </w:pPr>
      <w:r>
        <w:t>DSMB reports; interim analyses; or other reports, findings, or new information not altering the risk/benefit profile</w:t>
      </w:r>
    </w:p>
    <w:p w14:paraId="697BEF91" w14:textId="77777777" w:rsidR="0097217E" w:rsidRPr="0097217E" w:rsidRDefault="0097217E" w:rsidP="00A07209">
      <w:pPr>
        <w:numPr>
          <w:ilvl w:val="0"/>
          <w:numId w:val="259"/>
        </w:numPr>
        <w:tabs>
          <w:tab w:val="num" w:pos="1440"/>
        </w:tabs>
        <w:spacing w:after="60" w:line="240" w:lineRule="auto"/>
        <w:ind w:left="1800"/>
      </w:pPr>
      <w:r>
        <w:t>Investigator’s brochure updates not involving safety information</w:t>
      </w:r>
    </w:p>
    <w:p w14:paraId="52A26B43" w14:textId="77777777" w:rsidR="0097217E" w:rsidRPr="0097217E" w:rsidRDefault="0097217E" w:rsidP="00A07209">
      <w:pPr>
        <w:numPr>
          <w:ilvl w:val="0"/>
          <w:numId w:val="259"/>
        </w:numPr>
        <w:spacing w:after="60" w:line="240" w:lineRule="auto"/>
        <w:ind w:left="1800"/>
      </w:pPr>
      <w:r>
        <w:t xml:space="preserve">IND safety reports from external sites not involving Ohio State research  </w:t>
      </w:r>
    </w:p>
    <w:p w14:paraId="3BF9BE29" w14:textId="77777777" w:rsidR="0097217E" w:rsidRPr="0097217E" w:rsidRDefault="0097217E" w:rsidP="00A07209">
      <w:pPr>
        <w:numPr>
          <w:ilvl w:val="0"/>
          <w:numId w:val="259"/>
        </w:numPr>
        <w:tabs>
          <w:tab w:val="num" w:pos="1440"/>
        </w:tabs>
        <w:spacing w:after="60" w:line="240" w:lineRule="auto"/>
        <w:ind w:left="1800"/>
      </w:pPr>
      <w:r>
        <w:t>Protocol deviations or violations unlikely to recur or not involving the possibility of risks to subjects</w:t>
      </w:r>
    </w:p>
    <w:p w14:paraId="7700F60B" w14:textId="77777777" w:rsidR="0097217E" w:rsidRPr="0097217E" w:rsidRDefault="0097217E" w:rsidP="00A07209">
      <w:pPr>
        <w:numPr>
          <w:ilvl w:val="0"/>
          <w:numId w:val="259"/>
        </w:numPr>
        <w:tabs>
          <w:tab w:val="num" w:pos="1440"/>
        </w:tabs>
        <w:spacing w:after="60" w:line="240" w:lineRule="auto"/>
        <w:ind w:left="1800"/>
      </w:pPr>
      <w:r>
        <w:t>Subject complaints that were resolved or complaints not involving risks</w:t>
      </w:r>
    </w:p>
    <w:p w14:paraId="7AEC0B50" w14:textId="77777777" w:rsidR="0097217E" w:rsidRPr="0097217E" w:rsidRDefault="0097217E" w:rsidP="00A07209">
      <w:pPr>
        <w:numPr>
          <w:ilvl w:val="0"/>
          <w:numId w:val="259"/>
        </w:numPr>
        <w:tabs>
          <w:tab w:val="num" w:pos="1440"/>
        </w:tabs>
        <w:spacing w:after="0" w:line="240" w:lineRule="auto"/>
        <w:ind w:left="1800"/>
      </w:pPr>
      <w:r>
        <w:t>Problems or findings not involving risk (unless the investigator or research staff member believes the information could affect participants’ willingness to continue in the research)</w:t>
      </w:r>
    </w:p>
    <w:p w14:paraId="4C7AFE10" w14:textId="77777777" w:rsidR="0097217E" w:rsidRPr="0097217E" w:rsidRDefault="0097217E" w:rsidP="0097217E">
      <w:pPr>
        <w:spacing w:after="0" w:line="240" w:lineRule="auto"/>
      </w:pPr>
    </w:p>
    <w:p w14:paraId="25718B59" w14:textId="77777777" w:rsidR="0097217E" w:rsidRPr="0097217E" w:rsidRDefault="0097217E" w:rsidP="00A07209">
      <w:pPr>
        <w:numPr>
          <w:ilvl w:val="0"/>
          <w:numId w:val="264"/>
        </w:numPr>
        <w:spacing w:after="60" w:line="240" w:lineRule="auto"/>
      </w:pPr>
      <w:r>
        <w:t xml:space="preserve">Events that occur at external sites that </w:t>
      </w:r>
      <w:r>
        <w:rPr>
          <w:b/>
        </w:rPr>
        <w:t xml:space="preserve">do not involve </w:t>
      </w:r>
      <w:r>
        <w:t xml:space="preserve">research conducted at Ohio State are not required to be reported via an event report. If the investigator plans to change the research protocol or informed consent document as a result of an external event, an amendment should be submitted through Buck-IRB. Investigators should retain copies of all external reports and are responsible for assessing whether the report meets reporting requirements. Any change to the risk benefit ratio should be explained in summary at the time of continuing review; individual external reports should </w:t>
      </w:r>
      <w:r>
        <w:rPr>
          <w:b/>
        </w:rPr>
        <w:t>not</w:t>
      </w:r>
      <w:r>
        <w:t xml:space="preserve"> be provided as part of the continuing review submission. </w:t>
      </w:r>
    </w:p>
    <w:p w14:paraId="0FFB9F84" w14:textId="77777777" w:rsidR="0097217E" w:rsidRPr="0097217E" w:rsidRDefault="0097217E" w:rsidP="0097217E">
      <w:pPr>
        <w:spacing w:after="0" w:line="240" w:lineRule="auto"/>
        <w:ind w:left="720"/>
      </w:pPr>
    </w:p>
    <w:p w14:paraId="432337AF" w14:textId="77777777" w:rsidR="0097217E" w:rsidRPr="0097217E" w:rsidRDefault="0008698A" w:rsidP="00601F8D">
      <w:pPr>
        <w:spacing w:after="0" w:line="240" w:lineRule="auto"/>
        <w:ind w:left="1080"/>
      </w:pPr>
      <w:hyperlink r:id="rId251" w:history="1">
        <w:r w:rsidRPr="0008698A">
          <w:rPr>
            <w:rStyle w:val="Hyperlink"/>
          </w:rPr>
          <w:t>View event reporting examples</w:t>
        </w:r>
      </w:hyperlink>
      <w:r>
        <w:t>.</w:t>
      </w:r>
    </w:p>
    <w:p w14:paraId="391C1F46" w14:textId="77777777" w:rsidR="0097217E" w:rsidRPr="0097217E" w:rsidRDefault="0097217E" w:rsidP="0097217E">
      <w:pPr>
        <w:spacing w:after="0" w:line="240" w:lineRule="auto"/>
        <w:ind w:left="720"/>
        <w:rPr>
          <w:u w:val="single"/>
        </w:rPr>
      </w:pPr>
      <w:r>
        <w:t xml:space="preserve"> </w:t>
      </w:r>
    </w:p>
    <w:p w14:paraId="06E88D16" w14:textId="77777777" w:rsidR="0097217E" w:rsidRPr="0097217E" w:rsidRDefault="0097217E" w:rsidP="00A07209">
      <w:pPr>
        <w:numPr>
          <w:ilvl w:val="0"/>
          <w:numId w:val="268"/>
        </w:numPr>
        <w:spacing w:after="0" w:line="240" w:lineRule="auto"/>
        <w:ind w:left="360" w:hanging="360"/>
        <w:rPr>
          <w:u w:val="single"/>
        </w:rPr>
      </w:pPr>
      <w:r>
        <w:rPr>
          <w:b/>
        </w:rPr>
        <w:t>Review Process</w:t>
      </w:r>
    </w:p>
    <w:p w14:paraId="22793180" w14:textId="77777777" w:rsidR="0097217E" w:rsidRPr="0097217E" w:rsidRDefault="0097217E" w:rsidP="0097217E">
      <w:pPr>
        <w:spacing w:after="0" w:line="240" w:lineRule="auto"/>
        <w:ind w:left="360"/>
      </w:pPr>
    </w:p>
    <w:p w14:paraId="1E6CD14C" w14:textId="77777777" w:rsidR="0097217E" w:rsidRPr="0097217E" w:rsidRDefault="0097217E" w:rsidP="00601F8D">
      <w:pPr>
        <w:spacing w:after="0" w:line="240" w:lineRule="auto"/>
        <w:ind w:left="360"/>
      </w:pPr>
      <w:r>
        <w:t>Event reports and accompanying information will be screened for completeness by ORRP staff members, additional clarifications will be requested from the investigator as necessary. ORRP staff members will make an initial determination about whether the event represents a possible unanticipated problem involving risks to subjects or others and/or potential noncompliance. Reports of events determined during screening to represent possible unanticipated problems involving risks to subjects or others and/or serious/continuing noncompliance will be forwarded to the IRB for convened review. Reports of events that do not meet the requirements for reporting will not be forwarded for IRB review. All other event reports will be reviewed by expedited procedure.</w:t>
      </w:r>
    </w:p>
    <w:p w14:paraId="4FA60343" w14:textId="77777777" w:rsidR="0097217E" w:rsidRPr="0097217E" w:rsidRDefault="0097217E" w:rsidP="0097217E">
      <w:pPr>
        <w:spacing w:after="0" w:line="240" w:lineRule="auto"/>
        <w:ind w:left="360"/>
        <w:rPr>
          <w:u w:val="single"/>
        </w:rPr>
      </w:pPr>
    </w:p>
    <w:p w14:paraId="2ED7F317" w14:textId="77777777" w:rsidR="0097217E" w:rsidRDefault="0097217E" w:rsidP="00A07209">
      <w:pPr>
        <w:numPr>
          <w:ilvl w:val="1"/>
          <w:numId w:val="261"/>
        </w:numPr>
        <w:tabs>
          <w:tab w:val="num" w:pos="720"/>
        </w:tabs>
        <w:spacing w:after="0" w:line="240" w:lineRule="auto"/>
      </w:pPr>
      <w:r>
        <w:rPr>
          <w:b/>
        </w:rPr>
        <w:t>Expedited Review</w:t>
      </w:r>
    </w:p>
    <w:p w14:paraId="2D95735A" w14:textId="77777777" w:rsidR="00601F8D" w:rsidRPr="00601F8D" w:rsidRDefault="00601F8D" w:rsidP="00601F8D">
      <w:pPr>
        <w:spacing w:after="0" w:line="240" w:lineRule="auto"/>
        <w:ind w:left="792"/>
      </w:pPr>
    </w:p>
    <w:p w14:paraId="59770DCC" w14:textId="77777777" w:rsidR="0097217E" w:rsidRPr="0097217E" w:rsidRDefault="0097217E" w:rsidP="0097217E">
      <w:pPr>
        <w:spacing w:after="0" w:line="240" w:lineRule="auto"/>
        <w:ind w:left="720"/>
      </w:pPr>
      <w:r>
        <w:t>Event reports and accompanying information will be forwarded by ORRP staff members to the appropriate IRB chairperson, vice chair, or one of the experienced members with relevant expertise designated by the chair for expedited review. Reviewers will have access to the complete protocol file, including previously reported events, for review. The chairperson or designee will determine if the report raises new concerns about risks and will recommend further review by the convened IRB, as necessary, for a final determination. The IRB chair or vice chair may suspend or terminate approval of an investigator’s research if necessary to assure the protection of research participants. The chair or vice chair will consider the rights and welfare of participants when suspending, terminating, or modifying research.</w:t>
      </w:r>
    </w:p>
    <w:p w14:paraId="47593D9A" w14:textId="77777777" w:rsidR="0097217E" w:rsidRPr="0097217E" w:rsidRDefault="0097217E" w:rsidP="0097217E">
      <w:pPr>
        <w:spacing w:after="0" w:line="240" w:lineRule="auto"/>
        <w:ind w:left="720"/>
      </w:pPr>
    </w:p>
    <w:p w14:paraId="459D0567" w14:textId="77777777" w:rsidR="0097217E" w:rsidRPr="0097217E" w:rsidRDefault="0097217E" w:rsidP="0097217E">
      <w:pPr>
        <w:spacing w:after="0" w:line="240" w:lineRule="auto"/>
        <w:ind w:left="720"/>
      </w:pPr>
      <w:r>
        <w:t xml:space="preserve">If during expedited review the event is determined not to be an unanticipated problem involving risks to subjects or others, the reviewer will make any necessary recommendations for action (see </w:t>
      </w:r>
      <w:hyperlink w:anchor="section6c" w:history="1">
        <w:r>
          <w:rPr>
            <w:color w:val="0000FF"/>
            <w:u w:val="single"/>
          </w:rPr>
          <w:t>below</w:t>
        </w:r>
      </w:hyperlink>
      <w:r>
        <w:t>), which will be communicated to the principal investigator by ORRP staff. Further actions proposed by the investigator or IRB reviewer that represent minor changes will also be reviewed by the expedited procedure. IRB members will be informed of these expedited reviews as described in HRPP policy [</w:t>
      </w:r>
      <w:hyperlink r:id="rId252" w:history="1">
        <w:r>
          <w:rPr>
            <w:color w:val="0000FF"/>
            <w:u w:val="single"/>
          </w:rPr>
          <w:t>Expedited and Administrative Review Procedures</w:t>
        </w:r>
      </w:hyperlink>
      <w:r>
        <w:t>].</w:t>
      </w:r>
    </w:p>
    <w:p w14:paraId="33E50CB2" w14:textId="77777777" w:rsidR="0097217E" w:rsidRPr="0097217E" w:rsidRDefault="0097217E" w:rsidP="0097217E">
      <w:pPr>
        <w:spacing w:after="0" w:line="240" w:lineRule="auto"/>
      </w:pPr>
    </w:p>
    <w:p w14:paraId="7524DF0E" w14:textId="77777777" w:rsidR="0097217E" w:rsidRPr="0097217E" w:rsidRDefault="0097217E" w:rsidP="00A07209">
      <w:pPr>
        <w:numPr>
          <w:ilvl w:val="1"/>
          <w:numId w:val="262"/>
        </w:numPr>
        <w:tabs>
          <w:tab w:val="num" w:pos="720"/>
          <w:tab w:val="left" w:pos="1080"/>
        </w:tabs>
        <w:spacing w:after="0" w:line="240" w:lineRule="auto"/>
      </w:pPr>
      <w:r>
        <w:rPr>
          <w:b/>
        </w:rPr>
        <w:t>Convened Review</w:t>
      </w:r>
    </w:p>
    <w:p w14:paraId="228E067C" w14:textId="77777777" w:rsidR="0097217E" w:rsidRPr="0097217E" w:rsidRDefault="0097217E" w:rsidP="0097217E">
      <w:pPr>
        <w:tabs>
          <w:tab w:val="left" w:pos="1080"/>
        </w:tabs>
        <w:spacing w:after="0" w:line="240" w:lineRule="auto"/>
        <w:ind w:left="360"/>
      </w:pPr>
    </w:p>
    <w:p w14:paraId="3D9B9A30" w14:textId="77777777" w:rsidR="0097217E" w:rsidRPr="0097217E" w:rsidRDefault="0097217E" w:rsidP="0097217E">
      <w:pPr>
        <w:spacing w:after="0" w:line="240" w:lineRule="auto"/>
        <w:ind w:left="720"/>
        <w:rPr>
          <w:i/>
        </w:rPr>
      </w:pPr>
      <w:r>
        <w:t xml:space="preserve">Reports of events determined during screening or expedited IRB review to represent possible unanticipated problems involving risks to subjects or others and/or serious/continuing noncompliance will be forwarded to the IRB for convened review. Further actions proposed by the investigator or IRB reviewer that represent more than minor changes will be reviewed by the convened IRB. The chair, vice chair, or other member with relevant expertise will serve as the primary reviewer. Copies of the reports, all other information provided by the investigator, and current consent documents (or verbal scripts) with any proposed changes will be included in the review materials for each IRB member. Sections from the protocol, previous event reports, and other relevant information or reference materials will also be included, as applicable. The complete protocol file will be available to any IRB member upon request prior to or during the convened IRB meeting. </w:t>
      </w:r>
      <w:r>
        <w:rPr>
          <w:i/>
        </w:rPr>
        <w:t>Note: Further actions proposed by the investigator or IRB reviewer that represent minor changes can be reviewed by expedited procedure.</w:t>
      </w:r>
    </w:p>
    <w:p w14:paraId="157706CC" w14:textId="77777777" w:rsidR="0097217E" w:rsidRPr="0097217E" w:rsidRDefault="0097217E" w:rsidP="0097217E">
      <w:pPr>
        <w:spacing w:after="0" w:line="240" w:lineRule="auto"/>
        <w:ind w:left="360"/>
      </w:pPr>
    </w:p>
    <w:p w14:paraId="124C6E0B" w14:textId="77777777" w:rsidR="0097217E" w:rsidRPr="0097217E" w:rsidRDefault="0097217E" w:rsidP="0097217E">
      <w:pPr>
        <w:spacing w:after="0" w:line="240" w:lineRule="auto"/>
        <w:ind w:left="720"/>
      </w:pPr>
      <w:r>
        <w:t xml:space="preserve">The IRB will determine by convened review whether the event is an unanticipated problem involving risks to subjects or others and if the event represents serious and/or continuing noncompliance. Action(s) will be based on the nature of the event, degree to which research participants are placed at risk, occurrence of previous problems, etc. The IRB will consider the rights and welfare of participants when suspending, terminating, or modifying research. </w:t>
      </w:r>
      <w:r>
        <w:br/>
      </w:r>
    </w:p>
    <w:p w14:paraId="19265CBD" w14:textId="77777777" w:rsidR="0097217E" w:rsidRPr="0097217E" w:rsidRDefault="0097217E" w:rsidP="0097217E">
      <w:pPr>
        <w:spacing w:after="0" w:line="240" w:lineRule="auto"/>
      </w:pPr>
    </w:p>
    <w:p w14:paraId="6FC06FBC" w14:textId="77777777" w:rsidR="0097217E" w:rsidRPr="0097217E" w:rsidRDefault="0097217E" w:rsidP="00A07209">
      <w:pPr>
        <w:numPr>
          <w:ilvl w:val="1"/>
          <w:numId w:val="263"/>
        </w:numPr>
        <w:tabs>
          <w:tab w:val="num" w:pos="720"/>
        </w:tabs>
        <w:spacing w:after="0" w:line="240" w:lineRule="auto"/>
      </w:pPr>
      <w:bookmarkStart w:id="320" w:name="section6c"/>
      <w:bookmarkEnd w:id="320"/>
      <w:r>
        <w:rPr>
          <w:b/>
        </w:rPr>
        <w:t>IRB Actions</w:t>
      </w:r>
    </w:p>
    <w:p w14:paraId="448B7E86" w14:textId="77777777" w:rsidR="0097217E" w:rsidRPr="0097217E" w:rsidRDefault="0097217E" w:rsidP="0097217E">
      <w:pPr>
        <w:spacing w:after="0" w:line="240" w:lineRule="auto"/>
        <w:ind w:left="360"/>
      </w:pPr>
    </w:p>
    <w:p w14:paraId="3681C501" w14:textId="77777777" w:rsidR="0097217E" w:rsidRPr="0097217E" w:rsidRDefault="0097217E" w:rsidP="0097217E">
      <w:pPr>
        <w:spacing w:after="60" w:line="240" w:lineRule="auto"/>
        <w:ind w:left="720"/>
      </w:pPr>
      <w:r>
        <w:t>The types of actions that the IRB may consider for any event include, but are not limited to:</w:t>
      </w:r>
    </w:p>
    <w:p w14:paraId="2B6F878A" w14:textId="77777777" w:rsidR="0097217E" w:rsidRPr="0097217E" w:rsidRDefault="0097217E" w:rsidP="00A07209">
      <w:pPr>
        <w:numPr>
          <w:ilvl w:val="0"/>
          <w:numId w:val="260"/>
        </w:numPr>
        <w:tabs>
          <w:tab w:val="num" w:pos="1440"/>
        </w:tabs>
        <w:spacing w:after="60" w:line="240" w:lineRule="auto"/>
        <w:ind w:left="1440"/>
      </w:pPr>
      <w:r>
        <w:t>Modification(s) of the research protocol or procedures</w:t>
      </w:r>
    </w:p>
    <w:p w14:paraId="70AF7A3E" w14:textId="77777777" w:rsidR="0097217E" w:rsidRPr="0097217E" w:rsidRDefault="0097217E" w:rsidP="00A07209">
      <w:pPr>
        <w:numPr>
          <w:ilvl w:val="0"/>
          <w:numId w:val="260"/>
        </w:numPr>
        <w:tabs>
          <w:tab w:val="num" w:pos="1440"/>
        </w:tabs>
        <w:spacing w:after="60" w:line="240" w:lineRule="auto"/>
        <w:ind w:left="1440"/>
      </w:pPr>
      <w:r>
        <w:t>Modification(s) of the consent process or consent form</w:t>
      </w:r>
    </w:p>
    <w:p w14:paraId="16F196CF" w14:textId="77777777" w:rsidR="0097217E" w:rsidRPr="0097217E" w:rsidRDefault="0097217E" w:rsidP="00A07209">
      <w:pPr>
        <w:numPr>
          <w:ilvl w:val="0"/>
          <w:numId w:val="260"/>
        </w:numPr>
        <w:tabs>
          <w:tab w:val="left" w:pos="630"/>
          <w:tab w:val="num" w:pos="1440"/>
        </w:tabs>
        <w:spacing w:after="60" w:line="240" w:lineRule="auto"/>
        <w:ind w:left="1440"/>
      </w:pPr>
      <w:r>
        <w:t>Providing additional information to current research participants (required when such information may relate to their willingness to continue in the research)</w:t>
      </w:r>
    </w:p>
    <w:p w14:paraId="4D334775" w14:textId="77777777" w:rsidR="0097217E" w:rsidRPr="0097217E" w:rsidRDefault="0097217E" w:rsidP="00A07209">
      <w:pPr>
        <w:numPr>
          <w:ilvl w:val="0"/>
          <w:numId w:val="260"/>
        </w:numPr>
        <w:tabs>
          <w:tab w:val="left" w:pos="630"/>
          <w:tab w:val="num" w:pos="1440"/>
        </w:tabs>
        <w:spacing w:after="60" w:line="240" w:lineRule="auto"/>
        <w:ind w:left="1440"/>
      </w:pPr>
      <w:r>
        <w:t>Providing additional information to past research participants</w:t>
      </w:r>
    </w:p>
    <w:p w14:paraId="43493F8D" w14:textId="77777777" w:rsidR="0097217E" w:rsidRPr="0097217E" w:rsidRDefault="0097217E" w:rsidP="00A07209">
      <w:pPr>
        <w:numPr>
          <w:ilvl w:val="0"/>
          <w:numId w:val="260"/>
        </w:numPr>
        <w:tabs>
          <w:tab w:val="left" w:pos="630"/>
          <w:tab w:val="num" w:pos="1440"/>
        </w:tabs>
        <w:spacing w:after="60" w:line="240" w:lineRule="auto"/>
        <w:ind w:left="1440"/>
      </w:pPr>
      <w:r>
        <w:t xml:space="preserve">Reconfirming consent of current research participants </w:t>
      </w:r>
    </w:p>
    <w:p w14:paraId="6C17DB36" w14:textId="77777777" w:rsidR="0097217E" w:rsidRPr="0097217E" w:rsidRDefault="0097217E" w:rsidP="00A07209">
      <w:pPr>
        <w:numPr>
          <w:ilvl w:val="0"/>
          <w:numId w:val="260"/>
        </w:numPr>
        <w:tabs>
          <w:tab w:val="left" w:pos="630"/>
          <w:tab w:val="num" w:pos="1440"/>
        </w:tabs>
        <w:spacing w:after="60" w:line="240" w:lineRule="auto"/>
        <w:ind w:left="1440"/>
      </w:pPr>
      <w:r>
        <w:t>Requiring additional follow-up/monitoring for current and/or past research participants</w:t>
      </w:r>
    </w:p>
    <w:p w14:paraId="6A41A265" w14:textId="77777777" w:rsidR="0097217E" w:rsidRPr="0097217E" w:rsidRDefault="0097217E" w:rsidP="00A07209">
      <w:pPr>
        <w:numPr>
          <w:ilvl w:val="0"/>
          <w:numId w:val="260"/>
        </w:numPr>
        <w:tabs>
          <w:tab w:val="left" w:pos="630"/>
          <w:tab w:val="num" w:pos="1440"/>
        </w:tabs>
        <w:spacing w:after="60" w:line="240" w:lineRule="auto"/>
        <w:ind w:left="1440"/>
      </w:pPr>
      <w:r>
        <w:t>Monitoring of the research (including audits) or consent process</w:t>
      </w:r>
    </w:p>
    <w:p w14:paraId="72FFFF97" w14:textId="77777777" w:rsidR="0097217E" w:rsidRPr="0097217E" w:rsidRDefault="0097217E" w:rsidP="00A07209">
      <w:pPr>
        <w:numPr>
          <w:ilvl w:val="0"/>
          <w:numId w:val="260"/>
        </w:numPr>
        <w:tabs>
          <w:tab w:val="left" w:pos="630"/>
          <w:tab w:val="num" w:pos="1440"/>
        </w:tabs>
        <w:spacing w:after="60" w:line="240" w:lineRule="auto"/>
        <w:ind w:left="1440"/>
      </w:pPr>
      <w:r>
        <w:t>Education or mentoring for the principal investigator and/or research staff</w:t>
      </w:r>
    </w:p>
    <w:p w14:paraId="61FD2A35" w14:textId="77777777" w:rsidR="0097217E" w:rsidRPr="0097217E" w:rsidRDefault="0097217E" w:rsidP="00A07209">
      <w:pPr>
        <w:numPr>
          <w:ilvl w:val="0"/>
          <w:numId w:val="260"/>
        </w:numPr>
        <w:tabs>
          <w:tab w:val="left" w:pos="630"/>
          <w:tab w:val="num" w:pos="1440"/>
        </w:tabs>
        <w:spacing w:after="60" w:line="240" w:lineRule="auto"/>
        <w:ind w:left="1440"/>
      </w:pPr>
      <w:r>
        <w:t>Additional reporting, including modification of the continuing review schedule</w:t>
      </w:r>
    </w:p>
    <w:p w14:paraId="484911E3" w14:textId="77777777" w:rsidR="0097217E" w:rsidRPr="0097217E" w:rsidRDefault="0097217E" w:rsidP="00A07209">
      <w:pPr>
        <w:numPr>
          <w:ilvl w:val="0"/>
          <w:numId w:val="260"/>
        </w:numPr>
        <w:tabs>
          <w:tab w:val="left" w:pos="630"/>
          <w:tab w:val="num" w:pos="1440"/>
        </w:tabs>
        <w:spacing w:after="60" w:line="240" w:lineRule="auto"/>
        <w:ind w:left="1440"/>
      </w:pPr>
      <w:r>
        <w:t>Requiring additional resources to support the investigator’s research activities</w:t>
      </w:r>
    </w:p>
    <w:p w14:paraId="36401B1D" w14:textId="77777777" w:rsidR="0097217E" w:rsidRPr="0097217E" w:rsidRDefault="0097217E" w:rsidP="00A07209">
      <w:pPr>
        <w:numPr>
          <w:ilvl w:val="0"/>
          <w:numId w:val="260"/>
        </w:numPr>
        <w:tabs>
          <w:tab w:val="left" w:pos="630"/>
          <w:tab w:val="num" w:pos="1440"/>
        </w:tabs>
        <w:spacing w:after="60" w:line="240" w:lineRule="auto"/>
        <w:ind w:left="1440"/>
      </w:pPr>
      <w:r>
        <w:t>Placing limitations (e.g., restriction to co-investigator status) on the investigator’s research activities or use of research data</w:t>
      </w:r>
    </w:p>
    <w:p w14:paraId="545D05B8" w14:textId="77777777" w:rsidR="0097217E" w:rsidRPr="0097217E" w:rsidRDefault="0097217E" w:rsidP="00A07209">
      <w:pPr>
        <w:numPr>
          <w:ilvl w:val="0"/>
          <w:numId w:val="260"/>
        </w:numPr>
        <w:tabs>
          <w:tab w:val="left" w:pos="630"/>
          <w:tab w:val="num" w:pos="1440"/>
        </w:tabs>
        <w:spacing w:after="60" w:line="240" w:lineRule="auto"/>
        <w:ind w:left="1440"/>
      </w:pPr>
      <w:r>
        <w:t>Suspending or terminating the research</w:t>
      </w:r>
    </w:p>
    <w:p w14:paraId="0FB14A0D" w14:textId="77777777" w:rsidR="0097217E" w:rsidRPr="0097217E" w:rsidRDefault="0097217E" w:rsidP="00A07209">
      <w:pPr>
        <w:numPr>
          <w:ilvl w:val="0"/>
          <w:numId w:val="260"/>
        </w:numPr>
        <w:tabs>
          <w:tab w:val="left" w:pos="630"/>
          <w:tab w:val="num" w:pos="1440"/>
        </w:tabs>
        <w:spacing w:after="0" w:line="240" w:lineRule="auto"/>
        <w:ind w:left="1440"/>
      </w:pPr>
      <w:r>
        <w:t>Referral to other appropriate university process (e.g., misconduct review)</w:t>
      </w:r>
    </w:p>
    <w:p w14:paraId="1F727EE9" w14:textId="77777777" w:rsidR="0097217E" w:rsidRPr="0097217E" w:rsidRDefault="0097217E" w:rsidP="0097217E">
      <w:pPr>
        <w:spacing w:after="0" w:line="240" w:lineRule="auto"/>
      </w:pPr>
    </w:p>
    <w:p w14:paraId="067B6E3D" w14:textId="77777777" w:rsidR="0097217E" w:rsidRPr="0097217E" w:rsidRDefault="0097217E" w:rsidP="0097217E">
      <w:pPr>
        <w:spacing w:after="0" w:line="240" w:lineRule="auto"/>
        <w:ind w:left="720"/>
      </w:pPr>
      <w:r>
        <w:t>The IRB’s determination and action(s), including votes taken, will be recorded in the meeting minutes. The requirements for quorum and majority apply, in accordance with HRPP policy [</w:t>
      </w:r>
      <w:hyperlink r:id="rId253" w:history="1">
        <w:r>
          <w:rPr>
            <w:color w:val="0000FF"/>
            <w:u w:val="single"/>
          </w:rPr>
          <w:t>IRB Composition and IRB Member Roles and Responsibilities</w:t>
        </w:r>
      </w:hyperlink>
      <w:r>
        <w:t xml:space="preserve">]. Investigators will be notified in writing by ORRP staff of IRB decisions regarding events determined not to represent unanticipated problems involving risks to subjects or others and/or noncompliance following approval of the meeting minutes by the IRB chair or vice chair. </w:t>
      </w:r>
    </w:p>
    <w:p w14:paraId="4840D979" w14:textId="77777777" w:rsidR="0097217E" w:rsidRPr="0097217E" w:rsidRDefault="0097217E" w:rsidP="0097217E">
      <w:pPr>
        <w:spacing w:after="0" w:line="240" w:lineRule="auto"/>
        <w:ind w:left="720"/>
      </w:pPr>
    </w:p>
    <w:p w14:paraId="7AE3E373" w14:textId="77777777" w:rsidR="0097217E" w:rsidRPr="0097217E" w:rsidRDefault="0097217E" w:rsidP="0097217E">
      <w:pPr>
        <w:spacing w:after="0" w:line="240" w:lineRule="auto"/>
        <w:ind w:left="720"/>
      </w:pPr>
      <w:r>
        <w:t>Suspended IRB approval may be reinstated, as appropriate, based on the outcome of the convened review. Investigators (and others) will be notified of IRB actions regarding events determined to be unanticipated problems involving risks to subjects or others as described below.</w:t>
      </w:r>
    </w:p>
    <w:p w14:paraId="1399B395" w14:textId="77777777" w:rsidR="0097217E" w:rsidRPr="0097217E" w:rsidRDefault="0097217E" w:rsidP="0097217E">
      <w:pPr>
        <w:spacing w:after="0" w:line="240" w:lineRule="auto"/>
        <w:rPr>
          <w:u w:val="single"/>
        </w:rPr>
      </w:pPr>
    </w:p>
    <w:p w14:paraId="0A8B17E6" w14:textId="77777777" w:rsidR="0097217E" w:rsidRPr="0097217E" w:rsidRDefault="0097217E" w:rsidP="00A07209">
      <w:pPr>
        <w:numPr>
          <w:ilvl w:val="0"/>
          <w:numId w:val="268"/>
        </w:numPr>
        <w:tabs>
          <w:tab w:val="left" w:pos="540"/>
        </w:tabs>
        <w:spacing w:after="0" w:line="240" w:lineRule="auto"/>
        <w:ind w:left="360" w:hanging="360"/>
        <w:rPr>
          <w:u w:val="single"/>
        </w:rPr>
      </w:pPr>
      <w:r>
        <w:rPr>
          <w:b/>
        </w:rPr>
        <w:t>Institutional Reporting</w:t>
      </w:r>
    </w:p>
    <w:p w14:paraId="152091F2" w14:textId="77777777" w:rsidR="0097217E" w:rsidRPr="0097217E" w:rsidRDefault="0097217E" w:rsidP="0097217E">
      <w:pPr>
        <w:spacing w:after="0" w:line="240" w:lineRule="auto"/>
      </w:pPr>
    </w:p>
    <w:p w14:paraId="1D8BBE05" w14:textId="77777777" w:rsidR="0097217E" w:rsidRPr="0097217E" w:rsidRDefault="0097217E" w:rsidP="0097217E">
      <w:pPr>
        <w:spacing w:after="0" w:line="240" w:lineRule="auto"/>
        <w:ind w:left="360"/>
      </w:pPr>
      <w:r>
        <w:t>If the IRB determines that an event represents an unanticipated problem involving risks to subjects or others, serious and/or continuing noncompliance, or if the board suspends or terminates approval of research that is associated with unexpected serious harm to subjects, the appropriate internal and external persons and/or agencies will be notified in writing of the determination and reasons for the IRB’s action(s) according to HRPP policy [</w:t>
      </w:r>
      <w:hyperlink r:id="rId254" w:history="1">
        <w:r>
          <w:rPr>
            <w:color w:val="0000FF"/>
            <w:u w:val="single"/>
          </w:rPr>
          <w:t>IRB Reporting – Unanticipated Problems, Noncompliance, Suspensions, and Terminations</w:t>
        </w:r>
      </w:hyperlink>
      <w:r>
        <w:t>] and in accordance with The Ohio State University’s Federalwide Assurance. The content of the report will conform to OHRP requirements for incident reporting.</w:t>
      </w:r>
    </w:p>
    <w:p w14:paraId="150575C6" w14:textId="77777777" w:rsidR="0097217E" w:rsidRPr="0097217E" w:rsidRDefault="0097217E" w:rsidP="0097217E">
      <w:pPr>
        <w:spacing w:after="0" w:line="240" w:lineRule="auto"/>
        <w:ind w:left="360"/>
      </w:pPr>
    </w:p>
    <w:p w14:paraId="0D83EA00" w14:textId="77777777" w:rsidR="0097217E" w:rsidRPr="0097217E" w:rsidRDefault="0097217E" w:rsidP="00A07209">
      <w:pPr>
        <w:numPr>
          <w:ilvl w:val="0"/>
          <w:numId w:val="268"/>
        </w:numPr>
        <w:spacing w:after="0" w:line="240" w:lineRule="auto"/>
        <w:ind w:left="360" w:hanging="360"/>
        <w:rPr>
          <w:b/>
        </w:rPr>
      </w:pPr>
      <w:r>
        <w:rPr>
          <w:b/>
        </w:rPr>
        <w:t>Record Retention</w:t>
      </w:r>
    </w:p>
    <w:p w14:paraId="18B4B6E7" w14:textId="77777777" w:rsidR="0097217E" w:rsidRPr="0097217E" w:rsidRDefault="0097217E" w:rsidP="0097217E">
      <w:pPr>
        <w:spacing w:after="0" w:line="240" w:lineRule="auto"/>
        <w:ind w:left="360"/>
        <w:rPr>
          <w:b/>
        </w:rPr>
      </w:pPr>
    </w:p>
    <w:p w14:paraId="67D97888" w14:textId="77777777" w:rsidR="0097217E" w:rsidRPr="0097217E" w:rsidRDefault="0097217E" w:rsidP="0097217E">
      <w:pPr>
        <w:spacing w:after="0" w:line="240" w:lineRule="auto"/>
        <w:ind w:left="360"/>
      </w:pPr>
      <w:r>
        <w:t>Records of reports and reviews of events representing possible unanticipated problems involving risks to subjects or others, including submission materials and communications, are retained by the Office of Responsible Research Practices for at least three years, in keeping with federal regulations, applicable state and local laws, and university policies.</w:t>
      </w:r>
    </w:p>
    <w:p w14:paraId="1CF1F797" w14:textId="77777777" w:rsidR="0097217E" w:rsidRPr="0097217E" w:rsidRDefault="0097217E" w:rsidP="0097217E">
      <w:pPr>
        <w:spacing w:after="0" w:line="240" w:lineRule="auto"/>
        <w:ind w:left="360"/>
        <w:rPr>
          <w:b/>
        </w:rPr>
      </w:pPr>
    </w:p>
    <w:p w14:paraId="09B40AD7" w14:textId="77777777" w:rsidR="0097217E" w:rsidRPr="0097217E" w:rsidRDefault="0097217E" w:rsidP="00A07209">
      <w:pPr>
        <w:numPr>
          <w:ilvl w:val="0"/>
          <w:numId w:val="268"/>
        </w:numPr>
        <w:spacing w:after="0" w:line="240" w:lineRule="auto"/>
        <w:ind w:left="360" w:hanging="360"/>
      </w:pPr>
      <w:r>
        <w:rPr>
          <w:b/>
        </w:rPr>
        <w:t>Applicable Regulations/Guidance</w:t>
      </w:r>
    </w:p>
    <w:p w14:paraId="5B10894F" w14:textId="77777777" w:rsidR="0097217E" w:rsidRPr="0097217E" w:rsidRDefault="0097217E" w:rsidP="0097217E">
      <w:pPr>
        <w:spacing w:after="0" w:line="240" w:lineRule="auto"/>
        <w:ind w:left="360"/>
      </w:pPr>
    </w:p>
    <w:p w14:paraId="2470862D" w14:textId="77777777" w:rsidR="0097217E" w:rsidRPr="0097217E" w:rsidRDefault="0097217E" w:rsidP="0097217E">
      <w:pPr>
        <w:spacing w:after="0" w:line="240" w:lineRule="auto"/>
        <w:ind w:left="360"/>
      </w:pPr>
      <w:r>
        <w:t>21 CFR 50.25(b)(5), 21 CFR 56.108(b)(1), 21 CFR 812.150(a)(1), 45 CFR 46.103(b)(5)(i), 45 CFR 46.116(b)(5), OHRP “</w:t>
      </w:r>
      <w:hyperlink r:id="rId255" w:history="1">
        <w:r>
          <w:rPr>
            <w:color w:val="0000FF"/>
            <w:u w:val="single"/>
          </w:rPr>
          <w:t>Unanticipated Problems Involving Risks to Subjects or Others and Adverse Events Guidance</w:t>
        </w:r>
      </w:hyperlink>
      <w:r>
        <w:t>” (01/15/2007), OHRP “</w:t>
      </w:r>
      <w:hyperlink r:id="rId256" w:history="1">
        <w:r>
          <w:rPr>
            <w:bCs/>
            <w:color w:val="0000FF"/>
            <w:u w:val="single"/>
            <w:shd w:val="clear" w:color="auto" w:fill="FFFFFF"/>
          </w:rPr>
          <w:t>Continuing Review Guidance</w:t>
        </w:r>
      </w:hyperlink>
      <w:r>
        <w:rPr>
          <w:bCs/>
          <w:color w:val="000000"/>
          <w:shd w:val="clear" w:color="auto" w:fill="FFFFFF"/>
        </w:rPr>
        <w:t>” (11/10/2010),</w:t>
      </w:r>
      <w:r>
        <w:rPr>
          <w:b/>
          <w:bCs/>
          <w:color w:val="000000"/>
          <w:shd w:val="clear" w:color="auto" w:fill="FFFFFF"/>
        </w:rPr>
        <w:t xml:space="preserve"> </w:t>
      </w:r>
      <w:r>
        <w:t>OHRP “</w:t>
      </w:r>
      <w:hyperlink r:id="rId257" w:history="1">
        <w:r>
          <w:rPr>
            <w:color w:val="0000FF"/>
            <w:u w:val="single"/>
          </w:rPr>
          <w:t>Guidance on Reporting Incidents to OHRP</w:t>
        </w:r>
      </w:hyperlink>
      <w:r>
        <w:t>” (06/20/2011)</w:t>
      </w:r>
    </w:p>
    <w:p w14:paraId="0BD82419" w14:textId="77777777" w:rsidR="0097217E" w:rsidRPr="0097217E" w:rsidRDefault="0097217E" w:rsidP="0097217E">
      <w:pPr>
        <w:spacing w:after="0" w:line="240" w:lineRule="auto"/>
        <w:ind w:left="360"/>
      </w:pPr>
    </w:p>
    <w:p w14:paraId="7DED8BF3" w14:textId="77777777" w:rsidR="0097217E" w:rsidRPr="0097217E" w:rsidRDefault="0097217E" w:rsidP="00A07209">
      <w:pPr>
        <w:numPr>
          <w:ilvl w:val="0"/>
          <w:numId w:val="268"/>
        </w:numPr>
        <w:spacing w:after="0" w:line="240" w:lineRule="auto"/>
        <w:ind w:left="360" w:hanging="360"/>
        <w:rPr>
          <w:b/>
        </w:rPr>
      </w:pPr>
      <w:r>
        <w:rPr>
          <w:b/>
        </w:rPr>
        <w:t>History</w:t>
      </w:r>
    </w:p>
    <w:p w14:paraId="1D1EE450" w14:textId="77777777" w:rsidR="0097217E" w:rsidRPr="0097217E" w:rsidRDefault="0097217E" w:rsidP="0097217E">
      <w:pPr>
        <w:spacing w:after="0" w:line="240" w:lineRule="auto"/>
        <w:ind w:left="360"/>
      </w:pPr>
    </w:p>
    <w:p w14:paraId="45298E6E" w14:textId="77777777" w:rsidR="0097217E" w:rsidRPr="0097217E" w:rsidRDefault="0097217E" w:rsidP="0097217E">
      <w:pPr>
        <w:spacing w:after="0" w:line="240" w:lineRule="auto"/>
        <w:ind w:left="360"/>
      </w:pPr>
      <w:r>
        <w:t>Issued: 08/28/2006</w:t>
      </w:r>
    </w:p>
    <w:p w14:paraId="6649E2BB" w14:textId="77777777" w:rsidR="0097217E" w:rsidRPr="0097217E" w:rsidRDefault="0097217E" w:rsidP="0097217E">
      <w:pPr>
        <w:spacing w:after="0" w:line="240" w:lineRule="auto"/>
        <w:ind w:left="360"/>
      </w:pPr>
      <w:r>
        <w:t>Revised: 09/27/2012, 12/19/2016, 05/18/2020</w:t>
      </w:r>
    </w:p>
    <w:p w14:paraId="3B8C18CB" w14:textId="77777777" w:rsidR="0097217E" w:rsidRPr="0097217E" w:rsidRDefault="0097217E" w:rsidP="0097217E">
      <w:pPr>
        <w:spacing w:after="0" w:line="240" w:lineRule="auto"/>
        <w:ind w:left="360"/>
      </w:pPr>
      <w:r>
        <w:t>Edited: 04/25/2010, 07/25/2010, 07/06/2011, 03/16/2017, 01/21/2022, 04/20/2022</w:t>
      </w:r>
    </w:p>
    <w:p w14:paraId="089FFD10" w14:textId="77777777" w:rsidR="00331664" w:rsidRDefault="00331664">
      <w:r>
        <w:br w:type="page"/>
      </w:r>
    </w:p>
    <w:p w14:paraId="7CBC1611" w14:textId="77777777" w:rsidR="00553829" w:rsidRPr="00553829" w:rsidRDefault="177CC451" w:rsidP="00471B9E">
      <w:pPr>
        <w:pStyle w:val="Heading2"/>
      </w:pPr>
      <w:bookmarkStart w:id="321" w:name="_Toc1667240783"/>
      <w:bookmarkStart w:id="322" w:name="B20"/>
      <w:bookmarkStart w:id="323" w:name="_Toc212142217"/>
      <w:bookmarkStart w:id="324" w:name="_Toc225507757"/>
      <w:r>
        <w:lastRenderedPageBreak/>
        <w:t xml:space="preserve">Appendix B-20 </w:t>
      </w:r>
      <w:bookmarkEnd w:id="321"/>
      <w:r>
        <w:t xml:space="preserve"> </w:t>
      </w:r>
      <w:bookmarkEnd w:id="322"/>
      <w:r>
        <w:tab/>
        <w:t>Research Involving Pregnant Women, Fetuses, or Neonates</w:t>
      </w:r>
      <w:bookmarkEnd w:id="323"/>
      <w:bookmarkEnd w:id="324"/>
    </w:p>
    <w:p w14:paraId="56A78069" w14:textId="77777777" w:rsidR="00553829" w:rsidRPr="00553829" w:rsidRDefault="00553829" w:rsidP="00553829">
      <w:pPr>
        <w:spacing w:after="0" w:line="240" w:lineRule="auto"/>
        <w:rPr>
          <w:b/>
          <w:smallCaps/>
        </w:rPr>
      </w:pPr>
    </w:p>
    <w:p w14:paraId="72F62E42" w14:textId="77777777" w:rsidR="00553829" w:rsidRPr="00553829" w:rsidRDefault="00553829" w:rsidP="00A07209">
      <w:pPr>
        <w:numPr>
          <w:ilvl w:val="0"/>
          <w:numId w:val="284"/>
        </w:numPr>
        <w:tabs>
          <w:tab w:val="num" w:pos="360"/>
        </w:tabs>
        <w:spacing w:after="0" w:line="240" w:lineRule="auto"/>
        <w:rPr>
          <w:b/>
          <w:smallCaps/>
        </w:rPr>
      </w:pPr>
      <w:r>
        <w:rPr>
          <w:b/>
        </w:rPr>
        <w:t>Overview</w:t>
      </w:r>
    </w:p>
    <w:p w14:paraId="69598C51" w14:textId="77777777" w:rsidR="00553829" w:rsidRPr="00553829" w:rsidRDefault="00553829" w:rsidP="00553829">
      <w:pPr>
        <w:tabs>
          <w:tab w:val="left" w:pos="3095"/>
        </w:tabs>
        <w:spacing w:after="0" w:line="240" w:lineRule="auto"/>
      </w:pPr>
      <w:r>
        <w:tab/>
      </w:r>
    </w:p>
    <w:p w14:paraId="2B68E076" w14:textId="77777777" w:rsidR="00553829" w:rsidRPr="00553829" w:rsidRDefault="00553829" w:rsidP="00553829">
      <w:pPr>
        <w:tabs>
          <w:tab w:val="left" w:pos="360"/>
        </w:tabs>
        <w:spacing w:after="0" w:line="240" w:lineRule="auto"/>
        <w:ind w:left="360"/>
      </w:pPr>
      <w:r>
        <w:t>Federal regulations require additional protections for pregnant women, fetuses, or neonates involved in research. These requirements include, among other things, that research involving greater than minimal risk is conducted only when benefits are anticipated for the mother and/or fetus, preclinical and clinical studies have been conducted (where scientifically appropriate) that provide data for assessing potential risks, and informed consent processes describe the reasonably foreseeable risks to the fetus or neonate.</w:t>
      </w:r>
    </w:p>
    <w:p w14:paraId="7177CAF5" w14:textId="77777777" w:rsidR="00553829" w:rsidRPr="00553829" w:rsidRDefault="00553829" w:rsidP="00553829">
      <w:pPr>
        <w:tabs>
          <w:tab w:val="left" w:pos="360"/>
        </w:tabs>
        <w:spacing w:after="0" w:line="240" w:lineRule="auto"/>
        <w:ind w:left="360"/>
      </w:pPr>
    </w:p>
    <w:p w14:paraId="1BB20CC5" w14:textId="77777777" w:rsidR="00553829" w:rsidRPr="00553829" w:rsidRDefault="00553829" w:rsidP="00553829">
      <w:pPr>
        <w:tabs>
          <w:tab w:val="left" w:pos="360"/>
        </w:tabs>
        <w:spacing w:after="0" w:line="240" w:lineRule="auto"/>
        <w:ind w:left="360"/>
      </w:pPr>
      <w:r>
        <w:t>The purpose of this policy is to describe the additional protections that must be provided to pregnant women, fetuses, and neonates involved in research and the requirements for informed consent when these populations are involved.</w:t>
      </w:r>
    </w:p>
    <w:p w14:paraId="18A0AD79" w14:textId="77777777" w:rsidR="00553829" w:rsidRPr="00553829" w:rsidRDefault="00553829" w:rsidP="00553829">
      <w:pPr>
        <w:spacing w:after="0" w:line="240" w:lineRule="auto"/>
        <w:rPr>
          <w:b/>
          <w:smallCaps/>
        </w:rPr>
      </w:pPr>
    </w:p>
    <w:p w14:paraId="672BAE81" w14:textId="77777777" w:rsidR="00553829" w:rsidRPr="00601F8D" w:rsidRDefault="00553829" w:rsidP="00A07209">
      <w:pPr>
        <w:pStyle w:val="ListParagraph"/>
        <w:numPr>
          <w:ilvl w:val="0"/>
          <w:numId w:val="284"/>
        </w:numPr>
        <w:spacing w:after="0" w:line="240" w:lineRule="auto"/>
        <w:rPr>
          <w:b/>
          <w:smallCaps/>
        </w:rPr>
      </w:pPr>
      <w:r>
        <w:rPr>
          <w:b/>
        </w:rPr>
        <w:t>Definitions</w:t>
      </w:r>
    </w:p>
    <w:p w14:paraId="11D289DF" w14:textId="77777777" w:rsidR="00553829" w:rsidRPr="00553829" w:rsidRDefault="00553829" w:rsidP="00553829">
      <w:pPr>
        <w:spacing w:after="0" w:line="240" w:lineRule="auto"/>
        <w:rPr>
          <w:b/>
          <w:smallCaps/>
        </w:rPr>
      </w:pPr>
    </w:p>
    <w:p w14:paraId="54FFDEEA" w14:textId="77777777" w:rsidR="00553829" w:rsidRPr="00553829" w:rsidRDefault="00553829" w:rsidP="00553829">
      <w:pPr>
        <w:spacing w:after="0" w:line="240" w:lineRule="auto"/>
        <w:ind w:left="360"/>
      </w:pPr>
      <w:r>
        <w:rPr>
          <w:b/>
          <w:bCs/>
        </w:rPr>
        <w:t>Pregnancy</w:t>
      </w:r>
      <w:r>
        <w:rPr>
          <w:b/>
        </w:rPr>
        <w:t xml:space="preserve">: </w:t>
      </w:r>
      <w:r>
        <w:t>The period of time from implantation (of a fertilized egg within the uterus) until delivery of the fetus.</w:t>
      </w:r>
    </w:p>
    <w:p w14:paraId="7717ABF8" w14:textId="77777777" w:rsidR="00553829" w:rsidRPr="00553829" w:rsidRDefault="00553829" w:rsidP="00553829">
      <w:pPr>
        <w:spacing w:after="0" w:line="240" w:lineRule="auto"/>
        <w:ind w:left="360"/>
      </w:pPr>
    </w:p>
    <w:p w14:paraId="622D37B0" w14:textId="77777777" w:rsidR="00553829" w:rsidRPr="00553829" w:rsidRDefault="00553829" w:rsidP="00553829">
      <w:pPr>
        <w:spacing w:after="0" w:line="240" w:lineRule="auto"/>
        <w:ind w:left="360"/>
      </w:pPr>
      <w:r>
        <w:rPr>
          <w:b/>
          <w:bCs/>
        </w:rPr>
        <w:t>Delivery</w:t>
      </w:r>
      <w:r>
        <w:rPr>
          <w:b/>
        </w:rPr>
        <w:t xml:space="preserve">: </w:t>
      </w:r>
      <w:r>
        <w:t>The process of giving birth; complete separation of the fetus from the woman by any means.</w:t>
      </w:r>
    </w:p>
    <w:p w14:paraId="7BBE38AB" w14:textId="77777777" w:rsidR="00553829" w:rsidRPr="00553829" w:rsidRDefault="00553829" w:rsidP="00553829">
      <w:pPr>
        <w:spacing w:after="0" w:line="240" w:lineRule="auto"/>
        <w:ind w:left="360"/>
      </w:pPr>
    </w:p>
    <w:p w14:paraId="4B91013D" w14:textId="77777777" w:rsidR="00553829" w:rsidRPr="00553829" w:rsidRDefault="00553829" w:rsidP="00553829">
      <w:pPr>
        <w:spacing w:after="0" w:line="240" w:lineRule="auto"/>
        <w:ind w:left="360"/>
      </w:pPr>
      <w:r>
        <w:rPr>
          <w:b/>
          <w:bCs/>
        </w:rPr>
        <w:t>Fetus</w:t>
      </w:r>
      <w:r>
        <w:rPr>
          <w:b/>
        </w:rPr>
        <w:t xml:space="preserve">: </w:t>
      </w:r>
      <w:r>
        <w:t>Unborn child; the product of conception from implantation until delivery.</w:t>
      </w:r>
    </w:p>
    <w:p w14:paraId="14E96A96" w14:textId="77777777" w:rsidR="00553829" w:rsidRPr="00553829" w:rsidRDefault="00553829" w:rsidP="00553829">
      <w:pPr>
        <w:spacing w:after="0" w:line="240" w:lineRule="auto"/>
        <w:rPr>
          <w:b/>
          <w:bCs/>
        </w:rPr>
      </w:pPr>
    </w:p>
    <w:p w14:paraId="59AAC5C5" w14:textId="77777777" w:rsidR="00553829" w:rsidRPr="00553829" w:rsidRDefault="00553829" w:rsidP="00553829">
      <w:pPr>
        <w:spacing w:after="0" w:line="240" w:lineRule="auto"/>
        <w:ind w:left="360"/>
      </w:pPr>
      <w:r>
        <w:rPr>
          <w:b/>
          <w:bCs/>
        </w:rPr>
        <w:t>Neonate</w:t>
      </w:r>
      <w:r>
        <w:rPr>
          <w:b/>
        </w:rPr>
        <w:t xml:space="preserve">: </w:t>
      </w:r>
      <w:r>
        <w:t>A newborn.</w:t>
      </w:r>
    </w:p>
    <w:p w14:paraId="07720923" w14:textId="77777777" w:rsidR="00553829" w:rsidRPr="00553829" w:rsidRDefault="00553829" w:rsidP="00553829">
      <w:pPr>
        <w:spacing w:after="0" w:line="240" w:lineRule="auto"/>
        <w:ind w:left="360"/>
        <w:rPr>
          <w:b/>
          <w:bCs/>
        </w:rPr>
      </w:pPr>
    </w:p>
    <w:p w14:paraId="3CD52CC7" w14:textId="77777777" w:rsidR="00553829" w:rsidRPr="00553829" w:rsidRDefault="00553829" w:rsidP="00553829">
      <w:pPr>
        <w:spacing w:after="0" w:line="240" w:lineRule="auto"/>
        <w:ind w:left="360"/>
      </w:pPr>
      <w:r>
        <w:rPr>
          <w:b/>
          <w:bCs/>
        </w:rPr>
        <w:t>Viable Neonate</w:t>
      </w:r>
      <w:r>
        <w:rPr>
          <w:b/>
        </w:rPr>
        <w:t xml:space="preserve">: </w:t>
      </w:r>
      <w:r>
        <w:t>A neonate able to survive, given the benefit of available medical treatment, to the point of independently maintaining heartbeat and respiration as determined by a physician who is not engaged in the research.</w:t>
      </w:r>
    </w:p>
    <w:p w14:paraId="59239673" w14:textId="77777777" w:rsidR="00553829" w:rsidRPr="00553829" w:rsidRDefault="00553829" w:rsidP="00553829">
      <w:pPr>
        <w:spacing w:after="0" w:line="240" w:lineRule="auto"/>
        <w:ind w:left="360"/>
      </w:pPr>
    </w:p>
    <w:p w14:paraId="454F908B" w14:textId="77777777" w:rsidR="00553829" w:rsidRPr="00553829" w:rsidRDefault="00553829" w:rsidP="00553829">
      <w:pPr>
        <w:spacing w:after="0" w:line="240" w:lineRule="auto"/>
        <w:ind w:left="360"/>
      </w:pPr>
      <w:r>
        <w:rPr>
          <w:b/>
          <w:bCs/>
        </w:rPr>
        <w:t>Nonviable Neonate</w:t>
      </w:r>
      <w:r>
        <w:rPr>
          <w:b/>
        </w:rPr>
        <w:t xml:space="preserve">: </w:t>
      </w:r>
      <w:r>
        <w:t>A neonate that (although alive following delivery) is not capable of surviving to the point of sustaining life independently, even with the support of available medical treatment, as determined by a physician who is not engaged in the research.</w:t>
      </w:r>
    </w:p>
    <w:p w14:paraId="18690B60" w14:textId="77777777" w:rsidR="00553829" w:rsidRPr="00553829" w:rsidRDefault="00553829" w:rsidP="00553829">
      <w:pPr>
        <w:spacing w:after="0" w:line="240" w:lineRule="auto"/>
      </w:pPr>
    </w:p>
    <w:p w14:paraId="10E6246A" w14:textId="77777777" w:rsidR="00553829" w:rsidRPr="00601F8D" w:rsidRDefault="00553829" w:rsidP="00A07209">
      <w:pPr>
        <w:pStyle w:val="ListParagraph"/>
        <w:numPr>
          <w:ilvl w:val="0"/>
          <w:numId w:val="284"/>
        </w:numPr>
        <w:spacing w:after="0" w:line="240" w:lineRule="auto"/>
        <w:rPr>
          <w:b/>
        </w:rPr>
      </w:pPr>
      <w:r>
        <w:rPr>
          <w:b/>
        </w:rPr>
        <w:t>General Information</w:t>
      </w:r>
    </w:p>
    <w:p w14:paraId="680FB55F" w14:textId="77777777" w:rsidR="00553829" w:rsidRPr="00553829" w:rsidRDefault="00553829" w:rsidP="00553829">
      <w:pPr>
        <w:spacing w:after="0" w:line="240" w:lineRule="auto"/>
        <w:ind w:left="360"/>
        <w:rPr>
          <w:b/>
        </w:rPr>
      </w:pPr>
    </w:p>
    <w:p w14:paraId="3DADE690" w14:textId="77777777" w:rsidR="00553829" w:rsidRPr="00553829" w:rsidRDefault="00553829" w:rsidP="00A07209">
      <w:pPr>
        <w:numPr>
          <w:ilvl w:val="0"/>
          <w:numId w:val="277"/>
        </w:numPr>
        <w:spacing w:after="0" w:line="240" w:lineRule="auto"/>
      </w:pPr>
      <w:r>
        <w:t>To approve research involving pregnant women, fetuses, nonviable neonates or neonates of uncertain viability, the IRBs must determine that the research provides the additional protections described in 45 CFR 46 Subpart B (see “</w:t>
      </w:r>
      <w:hyperlink w:anchor="Addlprotections" w:history="1">
        <w:r>
          <w:rPr>
            <w:color w:val="0000FF"/>
            <w:u w:val="single"/>
          </w:rPr>
          <w:t>Additional Protections for Pregnant Women</w:t>
        </w:r>
      </w:hyperlink>
      <w:r>
        <w:t>” and “</w:t>
      </w:r>
      <w:hyperlink w:anchor="Addlprotectneonates" w:history="1">
        <w:r>
          <w:rPr>
            <w:color w:val="0000FF"/>
            <w:u w:val="single"/>
          </w:rPr>
          <w:t>Additional Protections for Certain Neonates</w:t>
        </w:r>
      </w:hyperlink>
      <w:r>
        <w:t>” below) in addition to meeting the regulatory criteria for approval of research involving non-pregnant participants.</w:t>
      </w:r>
    </w:p>
    <w:p w14:paraId="5372EF1D" w14:textId="77777777" w:rsidR="00553829" w:rsidRPr="00553829" w:rsidRDefault="00553829" w:rsidP="00553829">
      <w:pPr>
        <w:spacing w:after="0" w:line="240" w:lineRule="auto"/>
        <w:ind w:left="720"/>
      </w:pPr>
    </w:p>
    <w:p w14:paraId="7B4C0C57" w14:textId="77777777" w:rsidR="00553829" w:rsidRPr="00553829" w:rsidRDefault="00553829" w:rsidP="00A07209">
      <w:pPr>
        <w:numPr>
          <w:ilvl w:val="0"/>
          <w:numId w:val="277"/>
        </w:numPr>
        <w:spacing w:after="0" w:line="240" w:lineRule="auto"/>
      </w:pPr>
      <w:r>
        <w:t>In general, risk to the fetus from research procedures (</w:t>
      </w:r>
      <w:r>
        <w:rPr>
          <w:iCs/>
        </w:rPr>
        <w:t>e.g</w:t>
      </w:r>
      <w:r>
        <w:t>., ultrasound, changes in maternal diet, etc.) must not be greater than minimal. When risk is considered to be greater than minimal, the risk must be justified by anticipated benefit(s) for the mother and/or fetus.</w:t>
      </w:r>
    </w:p>
    <w:p w14:paraId="2F825985" w14:textId="77777777" w:rsidR="00553829" w:rsidRPr="00553829" w:rsidRDefault="00553829" w:rsidP="00553829">
      <w:pPr>
        <w:spacing w:after="0" w:line="240" w:lineRule="auto"/>
      </w:pPr>
    </w:p>
    <w:p w14:paraId="36B11D28" w14:textId="77777777" w:rsidR="00553829" w:rsidRPr="00553829" w:rsidRDefault="00553829" w:rsidP="00A07209">
      <w:pPr>
        <w:numPr>
          <w:ilvl w:val="0"/>
          <w:numId w:val="277"/>
        </w:numPr>
        <w:autoSpaceDE w:val="0"/>
        <w:spacing w:after="0" w:line="240" w:lineRule="auto"/>
      </w:pPr>
      <w:r>
        <w:t>“Viable” neonates may be included in research that provides the additional protections for children involved as participants in research described by federal regulations and HRPP policy [</w:t>
      </w:r>
      <w:hyperlink r:id="rId258" w:history="1">
        <w:r>
          <w:rPr>
            <w:color w:val="0000FF"/>
            <w:u w:val="single"/>
          </w:rPr>
          <w:t>Research Involving Children</w:t>
        </w:r>
      </w:hyperlink>
      <w:r>
        <w:t>].</w:t>
      </w:r>
    </w:p>
    <w:p w14:paraId="43B85934" w14:textId="77777777" w:rsidR="00553829" w:rsidRPr="00553829" w:rsidRDefault="00553829" w:rsidP="00553829">
      <w:pPr>
        <w:spacing w:after="0" w:line="240" w:lineRule="auto"/>
      </w:pPr>
    </w:p>
    <w:p w14:paraId="1242F948" w14:textId="77777777" w:rsidR="00553829" w:rsidRPr="00553829" w:rsidRDefault="00553829" w:rsidP="00A07209">
      <w:pPr>
        <w:numPr>
          <w:ilvl w:val="0"/>
          <w:numId w:val="277"/>
        </w:numPr>
        <w:spacing w:after="60" w:line="240" w:lineRule="auto"/>
      </w:pPr>
      <w:r>
        <w:t>Research involving any of the following (after delivery) is not permissible under Ohio law if resulting from the purposeful termination of a pregnancy:</w:t>
      </w:r>
    </w:p>
    <w:p w14:paraId="2E620D62" w14:textId="77777777" w:rsidR="00553829" w:rsidRPr="00553829" w:rsidRDefault="00553829" w:rsidP="00A07209">
      <w:pPr>
        <w:numPr>
          <w:ilvl w:val="0"/>
          <w:numId w:val="275"/>
        </w:numPr>
        <w:tabs>
          <w:tab w:val="num" w:pos="1440"/>
        </w:tabs>
        <w:spacing w:after="60" w:line="240" w:lineRule="auto"/>
        <w:ind w:left="1440"/>
      </w:pPr>
      <w:r>
        <w:t>Placenta</w:t>
      </w:r>
    </w:p>
    <w:p w14:paraId="02A8345C" w14:textId="77777777" w:rsidR="00553829" w:rsidRPr="00553829" w:rsidRDefault="00553829" w:rsidP="00A07209">
      <w:pPr>
        <w:numPr>
          <w:ilvl w:val="0"/>
          <w:numId w:val="275"/>
        </w:numPr>
        <w:tabs>
          <w:tab w:val="num" w:pos="1440"/>
        </w:tabs>
        <w:spacing w:after="60" w:line="240" w:lineRule="auto"/>
        <w:ind w:left="1440"/>
      </w:pPr>
      <w:r>
        <w:lastRenderedPageBreak/>
        <w:t>Dead fetus</w:t>
      </w:r>
    </w:p>
    <w:p w14:paraId="09ED530A" w14:textId="77777777" w:rsidR="00553829" w:rsidRPr="00553829" w:rsidRDefault="00553829" w:rsidP="00A07209">
      <w:pPr>
        <w:numPr>
          <w:ilvl w:val="0"/>
          <w:numId w:val="275"/>
        </w:numPr>
        <w:tabs>
          <w:tab w:val="num" w:pos="1440"/>
        </w:tabs>
        <w:spacing w:after="60" w:line="240" w:lineRule="auto"/>
        <w:ind w:left="1440"/>
      </w:pPr>
      <w:r>
        <w:t>Macerated fetal material</w:t>
      </w:r>
    </w:p>
    <w:p w14:paraId="70976127" w14:textId="77777777" w:rsidR="00553829" w:rsidRPr="00553829" w:rsidRDefault="00553829" w:rsidP="00A07209">
      <w:pPr>
        <w:numPr>
          <w:ilvl w:val="0"/>
          <w:numId w:val="275"/>
        </w:numPr>
        <w:tabs>
          <w:tab w:val="num" w:pos="1440"/>
        </w:tabs>
        <w:spacing w:after="0" w:line="240" w:lineRule="auto"/>
        <w:ind w:left="1440"/>
      </w:pPr>
      <w:r>
        <w:t>Cells, tissue, or organs excised from a dead fetus</w:t>
      </w:r>
    </w:p>
    <w:p w14:paraId="7A7700AD" w14:textId="77777777" w:rsidR="00553829" w:rsidRPr="00553829" w:rsidRDefault="00553829" w:rsidP="00553829">
      <w:pPr>
        <w:spacing w:after="0" w:line="240" w:lineRule="auto"/>
        <w:ind w:left="360"/>
      </w:pPr>
    </w:p>
    <w:p w14:paraId="4261F6F1" w14:textId="77777777" w:rsidR="00553829" w:rsidRPr="00553829" w:rsidRDefault="00553829" w:rsidP="00A07209">
      <w:pPr>
        <w:numPr>
          <w:ilvl w:val="0"/>
          <w:numId w:val="277"/>
        </w:numPr>
        <w:autoSpaceDE w:val="0"/>
        <w:spacing w:after="0" w:line="240" w:lineRule="auto"/>
      </w:pPr>
      <w:r>
        <w:t xml:space="preserve">Research on transplantation of fetal tissue for therapeutic purposes may be performed as consistent with Ohio law (described above) and </w:t>
      </w:r>
      <w:hyperlink r:id="rId259" w:history="1">
        <w:r>
          <w:rPr>
            <w:color w:val="0000FF"/>
            <w:u w:val="single"/>
          </w:rPr>
          <w:t>Public Law 103-43</w:t>
        </w:r>
      </w:hyperlink>
      <w:r>
        <w:t>. For more information about Ohio law related to such research, contact The Ohio State University Office of Legal Affairs.</w:t>
      </w:r>
    </w:p>
    <w:p w14:paraId="434B4C66" w14:textId="77777777" w:rsidR="00553829" w:rsidRPr="00553829" w:rsidRDefault="00553829" w:rsidP="00553829">
      <w:pPr>
        <w:spacing w:after="0" w:line="240" w:lineRule="auto"/>
      </w:pPr>
    </w:p>
    <w:p w14:paraId="3ABEBE85" w14:textId="77777777" w:rsidR="00553829" w:rsidRPr="00601F8D" w:rsidRDefault="00553829" w:rsidP="00A07209">
      <w:pPr>
        <w:pStyle w:val="ListParagraph"/>
        <w:numPr>
          <w:ilvl w:val="0"/>
          <w:numId w:val="284"/>
        </w:numPr>
        <w:spacing w:after="0" w:line="240" w:lineRule="auto"/>
        <w:rPr>
          <w:b/>
        </w:rPr>
      </w:pPr>
      <w:bookmarkStart w:id="325" w:name="Addlprotections"/>
      <w:bookmarkEnd w:id="325"/>
      <w:r>
        <w:rPr>
          <w:b/>
        </w:rPr>
        <w:t>Additional Protections for Pregnant Women and Fetuses</w:t>
      </w:r>
    </w:p>
    <w:p w14:paraId="429FC983" w14:textId="77777777" w:rsidR="00553829" w:rsidRPr="00553829" w:rsidRDefault="00553829" w:rsidP="00553829">
      <w:pPr>
        <w:spacing w:after="0" w:line="240" w:lineRule="auto"/>
      </w:pPr>
    </w:p>
    <w:p w14:paraId="07026E3A" w14:textId="77777777" w:rsidR="00553829" w:rsidRPr="00601F8D" w:rsidRDefault="00553829" w:rsidP="00A07209">
      <w:pPr>
        <w:pStyle w:val="ListParagraph"/>
        <w:numPr>
          <w:ilvl w:val="0"/>
          <w:numId w:val="449"/>
        </w:numPr>
        <w:spacing w:after="60" w:line="240" w:lineRule="auto"/>
      </w:pPr>
      <w:r>
        <w:t>Pregnant women or fetuses may be involved in research only if all of the following conditions are met:</w:t>
      </w:r>
    </w:p>
    <w:p w14:paraId="034B4D10" w14:textId="77777777" w:rsidR="00553829" w:rsidRPr="00553829" w:rsidRDefault="00553829" w:rsidP="00A07209">
      <w:pPr>
        <w:numPr>
          <w:ilvl w:val="1"/>
          <w:numId w:val="449"/>
        </w:numPr>
        <w:spacing w:after="60" w:line="240" w:lineRule="auto"/>
      </w:pPr>
      <w:r>
        <w:rPr>
          <w:i/>
        </w:rPr>
        <w:t>Where scientifically appropriate</w:t>
      </w:r>
      <w:r>
        <w:t xml:space="preserve"> (e.g., research involving investigational drugs or medical devices), preclinical studies (including studies on pregnant animals) and clinical studies (including studies on non-pregnant women) have been conducted and provide data for assessing potential risks to pregnant women and fetuses.</w:t>
      </w:r>
    </w:p>
    <w:p w14:paraId="7AD815CE" w14:textId="77777777" w:rsidR="00553829" w:rsidRPr="00553829" w:rsidRDefault="00553829" w:rsidP="00A07209">
      <w:pPr>
        <w:numPr>
          <w:ilvl w:val="1"/>
          <w:numId w:val="449"/>
        </w:numPr>
        <w:spacing w:after="0" w:line="240" w:lineRule="auto"/>
      </w:pPr>
      <w:r>
        <w:t>Regarding the risk(s) of the research, any risk is the least possible for achieving the objectives of the research, and either of the following applies:</w:t>
      </w:r>
    </w:p>
    <w:p w14:paraId="4EC98C7A" w14:textId="77777777" w:rsidR="00553829" w:rsidRPr="00553829" w:rsidRDefault="00553829" w:rsidP="00A07209">
      <w:pPr>
        <w:numPr>
          <w:ilvl w:val="2"/>
          <w:numId w:val="449"/>
        </w:numPr>
        <w:spacing w:after="0" w:line="240" w:lineRule="auto"/>
      </w:pPr>
      <w:r>
        <w:t>The risk to the fetus is caused solely by interventions or procedures that offer the prospect of direct benefit for the woman or the fetus.</w:t>
      </w:r>
    </w:p>
    <w:p w14:paraId="251F12D7" w14:textId="77777777" w:rsidR="00553829" w:rsidRPr="00553829" w:rsidRDefault="00553829" w:rsidP="00A07209">
      <w:pPr>
        <w:numPr>
          <w:ilvl w:val="2"/>
          <w:numId w:val="449"/>
        </w:numPr>
        <w:spacing w:after="60" w:line="240" w:lineRule="auto"/>
      </w:pPr>
      <w:r>
        <w:t>If there is no expectation of benefit(s), the risk to the fetus is not greater than minimal and the purpose of the research is the development of important knowledge that cannot be obtained by any other means.</w:t>
      </w:r>
    </w:p>
    <w:p w14:paraId="342298E0" w14:textId="77777777" w:rsidR="00553829" w:rsidRPr="00553829" w:rsidRDefault="00553829" w:rsidP="00A07209">
      <w:pPr>
        <w:numPr>
          <w:ilvl w:val="0"/>
          <w:numId w:val="449"/>
        </w:numPr>
        <w:tabs>
          <w:tab w:val="num" w:pos="1080"/>
        </w:tabs>
        <w:autoSpaceDE w:val="0"/>
        <w:spacing w:after="0" w:line="240" w:lineRule="auto"/>
      </w:pPr>
      <w:r>
        <w:t>Consent of the pregnant woman is obtained and documented as described by HRPP policies [</w:t>
      </w:r>
      <w:hyperlink r:id="rId260" w:history="1">
        <w:r>
          <w:rPr>
            <w:color w:val="0000FF"/>
            <w:u w:val="single"/>
          </w:rPr>
          <w:t xml:space="preserve">Informed Consent Process and the Elements of Informed Consent </w:t>
        </w:r>
      </w:hyperlink>
      <w:r>
        <w:t>] and [</w:t>
      </w:r>
      <w:hyperlink r:id="rId261" w:history="1">
        <w:r>
          <w:rPr>
            <w:color w:val="0000FF"/>
            <w:u w:val="single"/>
          </w:rPr>
          <w:t>Documentation of the Informed Consent Process</w:t>
        </w:r>
      </w:hyperlink>
      <w:r>
        <w:t>] in any of the following circumstances:</w:t>
      </w:r>
    </w:p>
    <w:p w14:paraId="2E4F89E4" w14:textId="77777777" w:rsidR="00553829" w:rsidRPr="00553829" w:rsidRDefault="00553829" w:rsidP="00A07209">
      <w:pPr>
        <w:numPr>
          <w:ilvl w:val="1"/>
          <w:numId w:val="449"/>
        </w:numPr>
        <w:spacing w:after="0" w:line="240" w:lineRule="auto"/>
      </w:pPr>
      <w:r>
        <w:t>The research offers the prospect of direct benefit to the pregnant woman.</w:t>
      </w:r>
    </w:p>
    <w:p w14:paraId="3C69B25D" w14:textId="77777777" w:rsidR="00553829" w:rsidRPr="00553829" w:rsidRDefault="00553829" w:rsidP="00A07209">
      <w:pPr>
        <w:numPr>
          <w:ilvl w:val="1"/>
          <w:numId w:val="449"/>
        </w:numPr>
        <w:spacing w:after="0" w:line="240" w:lineRule="auto"/>
      </w:pPr>
      <w:r>
        <w:t>The research offers the prospect of direct benefit to both the pregnant woman and the fetus.</w:t>
      </w:r>
    </w:p>
    <w:p w14:paraId="3DEC7F04" w14:textId="77777777" w:rsidR="00553829" w:rsidRPr="00553829" w:rsidRDefault="00553829" w:rsidP="00A07209">
      <w:pPr>
        <w:numPr>
          <w:ilvl w:val="1"/>
          <w:numId w:val="449"/>
        </w:numPr>
        <w:spacing w:after="60" w:line="240" w:lineRule="auto"/>
      </w:pPr>
      <w:r>
        <w:t>The research does not offer the prospect of benefit for either the woman or the fetus, but the risk to the fetus is not greater than minimal and the purpose of the research is the development of important knowledge that cannot be obtained by any other means.</w:t>
      </w:r>
    </w:p>
    <w:p w14:paraId="34D17F24" w14:textId="77777777" w:rsidR="00553829" w:rsidRPr="00553829" w:rsidRDefault="00553829" w:rsidP="00A07209">
      <w:pPr>
        <w:numPr>
          <w:ilvl w:val="0"/>
          <w:numId w:val="449"/>
        </w:numPr>
        <w:tabs>
          <w:tab w:val="num" w:pos="1080"/>
        </w:tabs>
        <w:autoSpaceDE w:val="0"/>
        <w:spacing w:after="0" w:line="240" w:lineRule="auto"/>
      </w:pPr>
      <w:r>
        <w:t xml:space="preserve">The consent of </w:t>
      </w:r>
      <w:r>
        <w:rPr>
          <w:i/>
        </w:rPr>
        <w:t>both</w:t>
      </w:r>
      <w:r>
        <w:t xml:space="preserve"> parents must be obtained and documented as described by HRPP policies [</w:t>
      </w:r>
      <w:hyperlink r:id="rId262" w:history="1">
        <w:r>
          <w:rPr>
            <w:color w:val="0000FF"/>
            <w:u w:val="single"/>
          </w:rPr>
          <w:t xml:space="preserve">Informed Consent Process and the Elements of Informed Consent </w:t>
        </w:r>
      </w:hyperlink>
      <w:r>
        <w:t>] and [</w:t>
      </w:r>
      <w:hyperlink r:id="rId263" w:history="1">
        <w:r>
          <w:rPr>
            <w:color w:val="0000FF"/>
            <w:u w:val="single"/>
          </w:rPr>
          <w:t xml:space="preserve">Documentation of the Informed Consent Process </w:t>
        </w:r>
      </w:hyperlink>
      <w:r>
        <w:t>] for research that holds out the prospect of direct benefit solely to the fetus, with the following exceptions:</w:t>
      </w:r>
    </w:p>
    <w:p w14:paraId="640754E1" w14:textId="77777777" w:rsidR="00553829" w:rsidRPr="00553829" w:rsidRDefault="00553829" w:rsidP="00A07209">
      <w:pPr>
        <w:numPr>
          <w:ilvl w:val="1"/>
          <w:numId w:val="449"/>
        </w:numPr>
        <w:tabs>
          <w:tab w:val="num" w:pos="1800"/>
        </w:tabs>
        <w:spacing w:after="0" w:line="240" w:lineRule="auto"/>
      </w:pPr>
      <w:r>
        <w:t>The father’s consent need not be obtained if he is unable to consent because of unavailability, incompetence, or temporary incapacity.</w:t>
      </w:r>
    </w:p>
    <w:p w14:paraId="08501C8D" w14:textId="77777777" w:rsidR="00553829" w:rsidRPr="00553829" w:rsidRDefault="00553829" w:rsidP="00A07209">
      <w:pPr>
        <w:numPr>
          <w:ilvl w:val="1"/>
          <w:numId w:val="449"/>
        </w:numPr>
        <w:tabs>
          <w:tab w:val="num" w:pos="1800"/>
        </w:tabs>
        <w:spacing w:after="60" w:line="240" w:lineRule="auto"/>
      </w:pPr>
      <w:r>
        <w:t>The father’s consent need not be obtained if the pregnancy resulted from rape or incest.</w:t>
      </w:r>
    </w:p>
    <w:p w14:paraId="0463F46A" w14:textId="77777777" w:rsidR="00553829" w:rsidRPr="00553829" w:rsidRDefault="00553829" w:rsidP="00A07209">
      <w:pPr>
        <w:numPr>
          <w:ilvl w:val="0"/>
          <w:numId w:val="449"/>
        </w:numPr>
        <w:tabs>
          <w:tab w:val="num" w:pos="1080"/>
        </w:tabs>
        <w:spacing w:after="60" w:line="240" w:lineRule="auto"/>
      </w:pPr>
      <w:r>
        <w:t>Each individual providing consent is fully informed regarding the reasonably foreseeable influence of the research on the fetus or neonate.</w:t>
      </w:r>
    </w:p>
    <w:p w14:paraId="09A439EA" w14:textId="77777777" w:rsidR="00553829" w:rsidRPr="00553829" w:rsidRDefault="00553829" w:rsidP="00A07209">
      <w:pPr>
        <w:numPr>
          <w:ilvl w:val="0"/>
          <w:numId w:val="449"/>
        </w:numPr>
        <w:tabs>
          <w:tab w:val="num" w:pos="1080"/>
        </w:tabs>
        <w:spacing w:after="60" w:line="240" w:lineRule="auto"/>
      </w:pPr>
      <w:r>
        <w:t>No inducements (monetary or otherwise) will be offered to terminate a pregnancy.</w:t>
      </w:r>
    </w:p>
    <w:p w14:paraId="7C4E6A58" w14:textId="77777777" w:rsidR="00553829" w:rsidRPr="00553829" w:rsidRDefault="00553829" w:rsidP="00A07209">
      <w:pPr>
        <w:numPr>
          <w:ilvl w:val="0"/>
          <w:numId w:val="449"/>
        </w:numPr>
        <w:tabs>
          <w:tab w:val="num" w:pos="1080"/>
        </w:tabs>
        <w:spacing w:after="60" w:line="240" w:lineRule="auto"/>
      </w:pPr>
      <w:r>
        <w:t>Individuals engaged in the research will have no part in any decisions as to the timing, method, or procedures used to terminate a pregnancy.</w:t>
      </w:r>
    </w:p>
    <w:p w14:paraId="6752B5D7" w14:textId="77777777" w:rsidR="00553829" w:rsidRPr="00553829" w:rsidRDefault="00553829" w:rsidP="00A07209">
      <w:pPr>
        <w:numPr>
          <w:ilvl w:val="0"/>
          <w:numId w:val="449"/>
        </w:numPr>
        <w:tabs>
          <w:tab w:val="num" w:pos="1080"/>
        </w:tabs>
        <w:spacing w:after="0" w:line="240" w:lineRule="auto"/>
      </w:pPr>
      <w:r>
        <w:t>Individuals engaged in the research will have no part in determining the viability of a neonate.</w:t>
      </w:r>
    </w:p>
    <w:p w14:paraId="6B16ED51" w14:textId="77777777" w:rsidR="00553829" w:rsidRPr="00553829" w:rsidRDefault="00553829" w:rsidP="00553829">
      <w:pPr>
        <w:spacing w:after="0" w:line="240" w:lineRule="auto"/>
        <w:ind w:left="360"/>
      </w:pPr>
    </w:p>
    <w:p w14:paraId="699B3210" w14:textId="77777777" w:rsidR="00553829" w:rsidRPr="00553829" w:rsidRDefault="00553829" w:rsidP="00A07209">
      <w:pPr>
        <w:numPr>
          <w:ilvl w:val="0"/>
          <w:numId w:val="269"/>
        </w:numPr>
        <w:tabs>
          <w:tab w:val="num" w:pos="360"/>
        </w:tabs>
        <w:spacing w:after="0" w:line="240" w:lineRule="auto"/>
        <w:ind w:left="360"/>
        <w:rPr>
          <w:b/>
        </w:rPr>
      </w:pPr>
      <w:bookmarkStart w:id="326" w:name="Addlprotectneonates"/>
      <w:bookmarkEnd w:id="326"/>
      <w:r>
        <w:rPr>
          <w:b/>
        </w:rPr>
        <w:t>Additional Protections for Certain Neonates</w:t>
      </w:r>
    </w:p>
    <w:p w14:paraId="01DC708D" w14:textId="77777777" w:rsidR="00553829" w:rsidRPr="00553829" w:rsidRDefault="00553829" w:rsidP="00553829">
      <w:pPr>
        <w:spacing w:after="0" w:line="240" w:lineRule="auto"/>
        <w:ind w:left="648"/>
        <w:rPr>
          <w:b/>
        </w:rPr>
      </w:pPr>
    </w:p>
    <w:p w14:paraId="00D67172" w14:textId="77777777" w:rsidR="00553829" w:rsidRPr="00553829" w:rsidRDefault="00553829" w:rsidP="00553829">
      <w:pPr>
        <w:spacing w:after="0" w:line="240" w:lineRule="auto"/>
        <w:ind w:left="360"/>
      </w:pPr>
      <w:r>
        <w:t>Nonviable neonates and neonates of uncertain viability may be involved in research as described below.</w:t>
      </w:r>
    </w:p>
    <w:p w14:paraId="3DCAD9F0" w14:textId="77777777" w:rsidR="00553829" w:rsidRPr="00553829" w:rsidRDefault="00553829" w:rsidP="00553829">
      <w:pPr>
        <w:spacing w:after="0" w:line="240" w:lineRule="auto"/>
        <w:ind w:left="720"/>
      </w:pPr>
    </w:p>
    <w:p w14:paraId="2A17AD84" w14:textId="77777777" w:rsidR="00553829" w:rsidRPr="00553829" w:rsidRDefault="00553829" w:rsidP="00A07209">
      <w:pPr>
        <w:numPr>
          <w:ilvl w:val="0"/>
          <w:numId w:val="270"/>
        </w:numPr>
        <w:spacing w:after="60" w:line="240" w:lineRule="auto"/>
      </w:pPr>
      <w:r>
        <w:t>Nonviable neonates may be involved in research only if all of the following conditions are met:</w:t>
      </w:r>
    </w:p>
    <w:p w14:paraId="696865CF" w14:textId="77777777" w:rsidR="00553829" w:rsidRPr="00553829" w:rsidRDefault="00553829" w:rsidP="00A07209">
      <w:pPr>
        <w:numPr>
          <w:ilvl w:val="0"/>
          <w:numId w:val="272"/>
        </w:numPr>
        <w:tabs>
          <w:tab w:val="num" w:pos="1440"/>
        </w:tabs>
        <w:spacing w:after="60" w:line="240" w:lineRule="auto"/>
        <w:ind w:left="1440"/>
      </w:pPr>
      <w:r>
        <w:rPr>
          <w:i/>
        </w:rPr>
        <w:lastRenderedPageBreak/>
        <w:t>Where scientifically appropriate</w:t>
      </w:r>
      <w:r>
        <w:t>, preclinical and clinical studies have been conducted and provide data for assessing potential risks to neonates.</w:t>
      </w:r>
    </w:p>
    <w:p w14:paraId="6516B3A1" w14:textId="77777777" w:rsidR="00553829" w:rsidRPr="00553829" w:rsidRDefault="00553829" w:rsidP="00A07209">
      <w:pPr>
        <w:numPr>
          <w:ilvl w:val="0"/>
          <w:numId w:val="272"/>
        </w:numPr>
        <w:tabs>
          <w:tab w:val="num" w:pos="1440"/>
        </w:tabs>
        <w:spacing w:after="60" w:line="240" w:lineRule="auto"/>
        <w:ind w:left="1440"/>
      </w:pPr>
      <w:r>
        <w:t>Vital functions of the neonate will not be artificially maintained.</w:t>
      </w:r>
    </w:p>
    <w:p w14:paraId="32F603E0" w14:textId="77777777" w:rsidR="00553829" w:rsidRPr="00553829" w:rsidRDefault="00553829" w:rsidP="00A07209">
      <w:pPr>
        <w:numPr>
          <w:ilvl w:val="0"/>
          <w:numId w:val="272"/>
        </w:numPr>
        <w:tabs>
          <w:tab w:val="num" w:pos="1440"/>
        </w:tabs>
        <w:spacing w:after="60" w:line="240" w:lineRule="auto"/>
        <w:ind w:left="1440"/>
      </w:pPr>
      <w:r>
        <w:t>The research will not terminate the heartbeat or respiration of the neonate.</w:t>
      </w:r>
    </w:p>
    <w:p w14:paraId="22FF80CB" w14:textId="77777777" w:rsidR="00553829" w:rsidRPr="00553829" w:rsidRDefault="00553829" w:rsidP="00A07209">
      <w:pPr>
        <w:numPr>
          <w:ilvl w:val="0"/>
          <w:numId w:val="272"/>
        </w:numPr>
        <w:tabs>
          <w:tab w:val="num" w:pos="1440"/>
        </w:tabs>
        <w:spacing w:after="60" w:line="240" w:lineRule="auto"/>
        <w:ind w:left="1440"/>
      </w:pPr>
      <w:r>
        <w:t>There will be no added risk to the neonate resulting from the research.</w:t>
      </w:r>
    </w:p>
    <w:p w14:paraId="3EFCAC1C" w14:textId="77777777" w:rsidR="00553829" w:rsidRPr="00553829" w:rsidRDefault="00553829" w:rsidP="00A07209">
      <w:pPr>
        <w:numPr>
          <w:ilvl w:val="0"/>
          <w:numId w:val="272"/>
        </w:numPr>
        <w:tabs>
          <w:tab w:val="num" w:pos="1440"/>
        </w:tabs>
        <w:spacing w:after="60" w:line="240" w:lineRule="auto"/>
        <w:ind w:left="1440"/>
      </w:pPr>
      <w:r>
        <w:t>The purpose of the research is the development of important knowledge that cannot be obtained by other means.</w:t>
      </w:r>
    </w:p>
    <w:p w14:paraId="7E638922" w14:textId="77777777" w:rsidR="00553829" w:rsidRPr="00553829" w:rsidRDefault="00553829" w:rsidP="00A07209">
      <w:pPr>
        <w:numPr>
          <w:ilvl w:val="0"/>
          <w:numId w:val="272"/>
        </w:numPr>
        <w:tabs>
          <w:tab w:val="num" w:pos="1440"/>
        </w:tabs>
        <w:autoSpaceDE w:val="0"/>
        <w:spacing w:after="0" w:line="240" w:lineRule="auto"/>
        <w:ind w:left="1440"/>
      </w:pPr>
      <w:r>
        <w:t xml:space="preserve">The consent of </w:t>
      </w:r>
      <w:r>
        <w:rPr>
          <w:i/>
        </w:rPr>
        <w:t>both</w:t>
      </w:r>
      <w:r>
        <w:t xml:space="preserve"> parents must be obtained and documented as described by HRPP policies [</w:t>
      </w:r>
      <w:hyperlink r:id="rId264" w:history="1">
        <w:r>
          <w:rPr>
            <w:color w:val="0000FF"/>
            <w:u w:val="single"/>
          </w:rPr>
          <w:t xml:space="preserve">Informed Consent Process and the Elements of Informed Consent </w:t>
        </w:r>
      </w:hyperlink>
      <w:r>
        <w:t>] and [</w:t>
      </w:r>
      <w:hyperlink r:id="rId265" w:history="1">
        <w:r>
          <w:rPr>
            <w:color w:val="0000FF"/>
            <w:u w:val="single"/>
          </w:rPr>
          <w:t xml:space="preserve">Documentation of the Informed Consent Process </w:t>
        </w:r>
      </w:hyperlink>
      <w:r>
        <w:t>], with the following exceptions:</w:t>
      </w:r>
    </w:p>
    <w:p w14:paraId="4B90CAD2" w14:textId="77777777" w:rsidR="00601F8D" w:rsidRDefault="00553829" w:rsidP="00A07209">
      <w:pPr>
        <w:numPr>
          <w:ilvl w:val="5"/>
          <w:numId w:val="271"/>
        </w:numPr>
        <w:tabs>
          <w:tab w:val="num" w:pos="2160"/>
        </w:tabs>
        <w:spacing w:after="0" w:line="240" w:lineRule="auto"/>
        <w:ind w:left="2160"/>
      </w:pPr>
      <w:r>
        <w:t>If either parent is unable to consent because of unavailability, incompetence, or temporary incapacity, the informed consent of one parent is sufficient.</w:t>
      </w:r>
    </w:p>
    <w:p w14:paraId="0CC1C2AB" w14:textId="77777777" w:rsidR="00601F8D" w:rsidRDefault="00553829" w:rsidP="00A07209">
      <w:pPr>
        <w:numPr>
          <w:ilvl w:val="5"/>
          <w:numId w:val="271"/>
        </w:numPr>
        <w:tabs>
          <w:tab w:val="num" w:pos="2160"/>
        </w:tabs>
        <w:spacing w:after="0" w:line="240" w:lineRule="auto"/>
        <w:ind w:left="2160"/>
      </w:pPr>
      <w:r>
        <w:t>The consent of a legally authorized representative (for either or both of the parents of a nonviable neonate) is not sufficient.</w:t>
      </w:r>
    </w:p>
    <w:p w14:paraId="0055CE93" w14:textId="77777777" w:rsidR="00553829" w:rsidRPr="00601F8D" w:rsidRDefault="00553829" w:rsidP="00A07209">
      <w:pPr>
        <w:numPr>
          <w:ilvl w:val="5"/>
          <w:numId w:val="271"/>
        </w:numPr>
        <w:tabs>
          <w:tab w:val="num" w:pos="2160"/>
        </w:tabs>
        <w:spacing w:after="0" w:line="240" w:lineRule="auto"/>
        <w:ind w:left="2160"/>
      </w:pPr>
      <w:r>
        <w:t>Provisions for waiver or alteration of the consent process are not applicable.</w:t>
      </w:r>
    </w:p>
    <w:p w14:paraId="76E29692" w14:textId="77777777" w:rsidR="00553829" w:rsidRPr="00553829" w:rsidRDefault="00553829" w:rsidP="00A07209">
      <w:pPr>
        <w:numPr>
          <w:ilvl w:val="5"/>
          <w:numId w:val="271"/>
        </w:numPr>
        <w:tabs>
          <w:tab w:val="num" w:pos="2160"/>
        </w:tabs>
        <w:spacing w:after="60" w:line="240" w:lineRule="auto"/>
        <w:ind w:left="2160"/>
      </w:pPr>
      <w:r>
        <w:t>The father’s consent need not be obtained if the pregnancy resulted from rape or incest.</w:t>
      </w:r>
    </w:p>
    <w:p w14:paraId="6DB74F95" w14:textId="77777777" w:rsidR="00553829" w:rsidRPr="00553829" w:rsidRDefault="00553829" w:rsidP="00A07209">
      <w:pPr>
        <w:numPr>
          <w:ilvl w:val="0"/>
          <w:numId w:val="272"/>
        </w:numPr>
        <w:tabs>
          <w:tab w:val="num" w:pos="1440"/>
        </w:tabs>
        <w:spacing w:after="60" w:line="240" w:lineRule="auto"/>
        <w:ind w:left="1440"/>
      </w:pPr>
      <w:r>
        <w:t>Each individual providing consent is fully informed regarding the reasonably foreseeable influence of the research on the neonate.</w:t>
      </w:r>
    </w:p>
    <w:p w14:paraId="2C74E89D" w14:textId="77777777" w:rsidR="00553829" w:rsidRPr="00553829" w:rsidRDefault="00553829" w:rsidP="00A07209">
      <w:pPr>
        <w:numPr>
          <w:ilvl w:val="0"/>
          <w:numId w:val="272"/>
        </w:numPr>
        <w:tabs>
          <w:tab w:val="num" w:pos="1440"/>
        </w:tabs>
        <w:spacing w:after="0" w:line="240" w:lineRule="auto"/>
        <w:ind w:left="1440"/>
      </w:pPr>
      <w:r>
        <w:t>Individuals engaged in the research will have no part in determining the viability of the neonate.</w:t>
      </w:r>
    </w:p>
    <w:p w14:paraId="1C0C8EA7" w14:textId="77777777" w:rsidR="00553829" w:rsidRPr="00553829" w:rsidRDefault="00553829" w:rsidP="00553829">
      <w:pPr>
        <w:tabs>
          <w:tab w:val="num" w:pos="1440"/>
        </w:tabs>
        <w:spacing w:after="0" w:line="240" w:lineRule="auto"/>
        <w:ind w:left="1440"/>
      </w:pPr>
    </w:p>
    <w:p w14:paraId="28C95850" w14:textId="77777777" w:rsidR="00553829" w:rsidRPr="00553829" w:rsidRDefault="00553829" w:rsidP="00A07209">
      <w:pPr>
        <w:numPr>
          <w:ilvl w:val="0"/>
          <w:numId w:val="270"/>
        </w:numPr>
        <w:spacing w:after="60" w:line="240" w:lineRule="auto"/>
      </w:pPr>
      <w:r>
        <w:t>Neonates of uncertain viability may be involved in research (until a physician has determined whether or not the neonate is viable) only if all of the following conditions are met:</w:t>
      </w:r>
    </w:p>
    <w:p w14:paraId="4F4DBF04" w14:textId="77777777" w:rsidR="00553829" w:rsidRPr="00553829" w:rsidRDefault="00553829" w:rsidP="00A07209">
      <w:pPr>
        <w:numPr>
          <w:ilvl w:val="3"/>
          <w:numId w:val="273"/>
        </w:numPr>
        <w:tabs>
          <w:tab w:val="num" w:pos="1440"/>
        </w:tabs>
        <w:spacing w:after="60" w:line="240" w:lineRule="auto"/>
        <w:ind w:left="1440"/>
      </w:pPr>
      <w:r>
        <w:rPr>
          <w:i/>
        </w:rPr>
        <w:t>Where scientifically appropriate</w:t>
      </w:r>
      <w:r>
        <w:t>, preclinical and clinical studies have been conducted and provide data for assessing potential risks to neonates.</w:t>
      </w:r>
    </w:p>
    <w:p w14:paraId="74A5E101" w14:textId="77777777" w:rsidR="00553829" w:rsidRPr="00553829" w:rsidRDefault="00553829" w:rsidP="00A07209">
      <w:pPr>
        <w:numPr>
          <w:ilvl w:val="3"/>
          <w:numId w:val="273"/>
        </w:numPr>
        <w:tabs>
          <w:tab w:val="num" w:pos="1440"/>
        </w:tabs>
        <w:spacing w:after="0" w:line="240" w:lineRule="auto"/>
        <w:ind w:left="1440"/>
      </w:pPr>
      <w:r>
        <w:t>Regarding the risk(s) of the research, one of the following applies:</w:t>
      </w:r>
    </w:p>
    <w:p w14:paraId="1AB5DA6D" w14:textId="77777777" w:rsidR="00553829" w:rsidRPr="00553829" w:rsidRDefault="00553829" w:rsidP="00A07209">
      <w:pPr>
        <w:numPr>
          <w:ilvl w:val="0"/>
          <w:numId w:val="279"/>
        </w:numPr>
        <w:tabs>
          <w:tab w:val="num" w:pos="2160"/>
        </w:tabs>
        <w:spacing w:after="0" w:line="240" w:lineRule="auto"/>
        <w:ind w:left="2160"/>
      </w:pPr>
      <w:r>
        <w:t>The research offers the prospect of enhancing the probability of survival of the neonate to the point of viability, and any risk is the least possible for achieving that objective.</w:t>
      </w:r>
    </w:p>
    <w:p w14:paraId="4D895333" w14:textId="77777777" w:rsidR="00553829" w:rsidRPr="00553829" w:rsidRDefault="00553829" w:rsidP="00A07209">
      <w:pPr>
        <w:numPr>
          <w:ilvl w:val="0"/>
          <w:numId w:val="279"/>
        </w:numPr>
        <w:tabs>
          <w:tab w:val="num" w:pos="2160"/>
        </w:tabs>
        <w:spacing w:after="60" w:line="240" w:lineRule="auto"/>
        <w:ind w:left="2160"/>
      </w:pPr>
      <w:r>
        <w:t>If the research does not offer the prospect of enhancing the probability of survival, the purpose of the research is the development of important knowledge that cannot be obtained by other means, and there will be no added risk to the neonate resulting from the research.</w:t>
      </w:r>
    </w:p>
    <w:p w14:paraId="2849AFEF" w14:textId="77777777" w:rsidR="00553829" w:rsidRPr="00553829" w:rsidRDefault="00553829" w:rsidP="00A07209">
      <w:pPr>
        <w:numPr>
          <w:ilvl w:val="3"/>
          <w:numId w:val="273"/>
        </w:numPr>
        <w:tabs>
          <w:tab w:val="num" w:pos="1440"/>
        </w:tabs>
        <w:autoSpaceDE w:val="0"/>
        <w:spacing w:after="0" w:line="240" w:lineRule="auto"/>
        <w:ind w:left="1440"/>
      </w:pPr>
      <w:r>
        <w:t xml:space="preserve">The consent of </w:t>
      </w:r>
      <w:r>
        <w:rPr>
          <w:i/>
        </w:rPr>
        <w:t>either</w:t>
      </w:r>
      <w:r>
        <w:t xml:space="preserve"> parent is obtained and documented as described by HRPP policies [</w:t>
      </w:r>
      <w:hyperlink r:id="rId266" w:history="1">
        <w:r>
          <w:rPr>
            <w:color w:val="0000FF"/>
            <w:u w:val="single"/>
          </w:rPr>
          <w:t xml:space="preserve">Informed Consent Process and the Elements of Informed Consent </w:t>
        </w:r>
      </w:hyperlink>
      <w:r>
        <w:t>] and [</w:t>
      </w:r>
      <w:hyperlink r:id="rId267" w:history="1">
        <w:r>
          <w:rPr>
            <w:color w:val="0000FF"/>
            <w:u w:val="single"/>
          </w:rPr>
          <w:t xml:space="preserve">Documentation of the Informed Consent Process </w:t>
        </w:r>
      </w:hyperlink>
      <w:r>
        <w:t>], with the following exceptions:</w:t>
      </w:r>
    </w:p>
    <w:p w14:paraId="2DEF2696" w14:textId="77777777" w:rsidR="00553829" w:rsidRPr="00553829" w:rsidRDefault="00553829" w:rsidP="00A07209">
      <w:pPr>
        <w:numPr>
          <w:ilvl w:val="0"/>
          <w:numId w:val="274"/>
        </w:numPr>
        <w:tabs>
          <w:tab w:val="num" w:pos="2160"/>
        </w:tabs>
        <w:spacing w:after="0" w:line="240" w:lineRule="auto"/>
        <w:ind w:left="2160"/>
      </w:pPr>
      <w:r>
        <w:t>If neither parent is able to consent because of unavailability, incompetence, or temporary incapacity, the informed consent of either parent’s legally authorized representative is obtained.</w:t>
      </w:r>
    </w:p>
    <w:p w14:paraId="4AA81C43" w14:textId="77777777" w:rsidR="00553829" w:rsidRPr="00553829" w:rsidRDefault="00553829" w:rsidP="00A07209">
      <w:pPr>
        <w:numPr>
          <w:ilvl w:val="0"/>
          <w:numId w:val="274"/>
        </w:numPr>
        <w:tabs>
          <w:tab w:val="num" w:pos="2160"/>
        </w:tabs>
        <w:spacing w:after="60" w:line="240" w:lineRule="auto"/>
        <w:ind w:left="2160"/>
      </w:pPr>
      <w:r>
        <w:t>The consent of the father or his legally authorized representative need not be obtained if the pregnancy resulted from rape or incest.</w:t>
      </w:r>
    </w:p>
    <w:p w14:paraId="2E511307" w14:textId="77777777" w:rsidR="00553829" w:rsidRPr="00553829" w:rsidRDefault="00553829" w:rsidP="00A07209">
      <w:pPr>
        <w:numPr>
          <w:ilvl w:val="3"/>
          <w:numId w:val="273"/>
        </w:numPr>
        <w:tabs>
          <w:tab w:val="num" w:pos="1440"/>
        </w:tabs>
        <w:spacing w:after="60" w:line="240" w:lineRule="auto"/>
        <w:ind w:left="1440"/>
      </w:pPr>
      <w:r>
        <w:t>Each individual providing consent is fully informed regarding the reasonably foreseeable influence of the research on the neonate.</w:t>
      </w:r>
    </w:p>
    <w:p w14:paraId="7753C177" w14:textId="77777777" w:rsidR="00553829" w:rsidRPr="00553829" w:rsidRDefault="00553829" w:rsidP="00A07209">
      <w:pPr>
        <w:numPr>
          <w:ilvl w:val="3"/>
          <w:numId w:val="273"/>
        </w:numPr>
        <w:tabs>
          <w:tab w:val="num" w:pos="1440"/>
        </w:tabs>
        <w:spacing w:after="0" w:line="240" w:lineRule="auto"/>
        <w:ind w:left="1440"/>
      </w:pPr>
      <w:r>
        <w:t>Individuals engaged in the research will have no part in determining the viability of the neonate.</w:t>
      </w:r>
    </w:p>
    <w:p w14:paraId="6331EED6" w14:textId="77777777" w:rsidR="00553829" w:rsidRPr="00553829" w:rsidRDefault="00553829" w:rsidP="00553829">
      <w:pPr>
        <w:spacing w:after="0" w:line="240" w:lineRule="auto"/>
      </w:pPr>
    </w:p>
    <w:p w14:paraId="0DA46448" w14:textId="77777777" w:rsidR="00553829" w:rsidRPr="00553829" w:rsidRDefault="00553829" w:rsidP="00A07209">
      <w:pPr>
        <w:numPr>
          <w:ilvl w:val="0"/>
          <w:numId w:val="269"/>
        </w:numPr>
        <w:tabs>
          <w:tab w:val="num" w:pos="360"/>
        </w:tabs>
        <w:spacing w:after="0" w:line="240" w:lineRule="auto"/>
        <w:ind w:left="360"/>
        <w:rPr>
          <w:b/>
        </w:rPr>
      </w:pPr>
      <w:r>
        <w:rPr>
          <w:b/>
        </w:rPr>
        <w:t>Research Subject to DHHS Regulations</w:t>
      </w:r>
    </w:p>
    <w:p w14:paraId="76A7DE24" w14:textId="77777777" w:rsidR="00553829" w:rsidRPr="00553829" w:rsidRDefault="00553829" w:rsidP="00553829">
      <w:pPr>
        <w:spacing w:after="0" w:line="240" w:lineRule="auto"/>
        <w:ind w:left="360"/>
        <w:rPr>
          <w:b/>
        </w:rPr>
      </w:pPr>
    </w:p>
    <w:p w14:paraId="21020FEE" w14:textId="77777777" w:rsidR="00553829" w:rsidRPr="00553829" w:rsidRDefault="00553829" w:rsidP="00553829">
      <w:pPr>
        <w:spacing w:after="0" w:line="240" w:lineRule="auto"/>
        <w:ind w:left="360"/>
      </w:pPr>
      <w:r>
        <w:t>For research involving pregnant women, fetuses, or neonates that is subject to DHHS regulations additional requirements apply, as described below.</w:t>
      </w:r>
    </w:p>
    <w:p w14:paraId="6729D2E2" w14:textId="77777777" w:rsidR="00553829" w:rsidRPr="00553829" w:rsidRDefault="00553829" w:rsidP="00553829">
      <w:pPr>
        <w:spacing w:after="0" w:line="240" w:lineRule="auto"/>
        <w:ind w:left="360"/>
      </w:pPr>
    </w:p>
    <w:p w14:paraId="4A8C157F" w14:textId="77777777" w:rsidR="00553829" w:rsidRPr="00553829" w:rsidRDefault="00553829" w:rsidP="00A07209">
      <w:pPr>
        <w:numPr>
          <w:ilvl w:val="0"/>
          <w:numId w:val="278"/>
        </w:numPr>
        <w:spacing w:after="60" w:line="240" w:lineRule="auto"/>
      </w:pPr>
      <w:r>
        <w:t>Pregnant women and/or fetuses may be involved in greater than minimal research without the prospect of benefit for the woman or the fetus if the applicable conditions described above (see “</w:t>
      </w:r>
      <w:hyperlink w:anchor="Addlprotections" w:history="1">
        <w:r>
          <w:rPr>
            <w:color w:val="0000FF"/>
            <w:u w:val="single"/>
          </w:rPr>
          <w:t>Additional Protections for Pregnant Women and Fetuses</w:t>
        </w:r>
      </w:hyperlink>
      <w:r>
        <w:t>”) are met, with the following additional requirement:</w:t>
      </w:r>
    </w:p>
    <w:p w14:paraId="7B218A77" w14:textId="77777777" w:rsidR="00553829" w:rsidRPr="00553829" w:rsidRDefault="00553829" w:rsidP="00A07209">
      <w:pPr>
        <w:numPr>
          <w:ilvl w:val="0"/>
          <w:numId w:val="276"/>
        </w:numPr>
        <w:tabs>
          <w:tab w:val="left" w:pos="360"/>
          <w:tab w:val="num" w:pos="1440"/>
        </w:tabs>
        <w:spacing w:after="0" w:line="240" w:lineRule="auto"/>
        <w:ind w:left="1440"/>
      </w:pPr>
      <w:r>
        <w:lastRenderedPageBreak/>
        <w:t xml:space="preserve">The purpose of the research is the development of important </w:t>
      </w:r>
      <w:r>
        <w:rPr>
          <w:i/>
        </w:rPr>
        <w:t>biomedical</w:t>
      </w:r>
      <w:r>
        <w:t xml:space="preserve"> knowledge that cannot be obtained by any other means.</w:t>
      </w:r>
    </w:p>
    <w:p w14:paraId="50C9F58F" w14:textId="77777777" w:rsidR="00553829" w:rsidRPr="00553829" w:rsidRDefault="00553829" w:rsidP="00553829">
      <w:pPr>
        <w:tabs>
          <w:tab w:val="left" w:pos="360"/>
        </w:tabs>
        <w:spacing w:after="0" w:line="240" w:lineRule="auto"/>
        <w:ind w:left="1080"/>
      </w:pPr>
    </w:p>
    <w:p w14:paraId="6EDE5260" w14:textId="77777777" w:rsidR="00553829" w:rsidRPr="00553829" w:rsidRDefault="00553829" w:rsidP="00A07209">
      <w:pPr>
        <w:numPr>
          <w:ilvl w:val="0"/>
          <w:numId w:val="278"/>
        </w:numPr>
        <w:spacing w:after="60" w:line="240" w:lineRule="auto"/>
      </w:pPr>
      <w:r>
        <w:t>Nonviable neonates may be involved in research if the applicable conditions described above (see “</w:t>
      </w:r>
      <w:hyperlink w:anchor="Addlprotectneonates" w:history="1">
        <w:r>
          <w:rPr>
            <w:color w:val="0000FF"/>
            <w:u w:val="single"/>
          </w:rPr>
          <w:t>Additional Protections for Certain Neonates</w:t>
        </w:r>
      </w:hyperlink>
      <w:r>
        <w:t>”) are met, with the following additional requirement:</w:t>
      </w:r>
    </w:p>
    <w:p w14:paraId="620B2E80" w14:textId="77777777" w:rsidR="00553829" w:rsidRPr="00553829" w:rsidRDefault="00553829" w:rsidP="00A07209">
      <w:pPr>
        <w:numPr>
          <w:ilvl w:val="0"/>
          <w:numId w:val="276"/>
        </w:numPr>
        <w:tabs>
          <w:tab w:val="left" w:pos="360"/>
          <w:tab w:val="num" w:pos="1440"/>
        </w:tabs>
        <w:spacing w:after="0" w:line="240" w:lineRule="auto"/>
        <w:ind w:left="1440"/>
      </w:pPr>
      <w:r>
        <w:t xml:space="preserve">The purpose of the research is the development of important </w:t>
      </w:r>
      <w:r>
        <w:rPr>
          <w:i/>
        </w:rPr>
        <w:t>biomedical</w:t>
      </w:r>
      <w:r>
        <w:t xml:space="preserve"> knowledge that cannot be obtained by any other means.</w:t>
      </w:r>
    </w:p>
    <w:p w14:paraId="6203C7A1" w14:textId="77777777" w:rsidR="00553829" w:rsidRPr="00553829" w:rsidRDefault="00553829" w:rsidP="00553829">
      <w:pPr>
        <w:tabs>
          <w:tab w:val="left" w:pos="360"/>
        </w:tabs>
        <w:spacing w:after="0" w:line="240" w:lineRule="auto"/>
      </w:pPr>
    </w:p>
    <w:p w14:paraId="460E513E" w14:textId="77777777" w:rsidR="00553829" w:rsidRPr="00553829" w:rsidRDefault="00553829" w:rsidP="00A07209">
      <w:pPr>
        <w:numPr>
          <w:ilvl w:val="0"/>
          <w:numId w:val="278"/>
        </w:numPr>
        <w:spacing w:after="60" w:line="240" w:lineRule="auto"/>
        <w:rPr>
          <w:b/>
        </w:rPr>
      </w:pPr>
      <w:r>
        <w:t>Neonates of uncertain viability may be involved in research that does not offer the prospect of enhancing the probability of the neonate’s survival (to the point of viability) when there is no added risk to the neonate resulting from the research if the applicable conditions described above (see “</w:t>
      </w:r>
      <w:hyperlink w:anchor="Addlprotectneonates" w:history="1">
        <w:r>
          <w:rPr>
            <w:color w:val="0000FF"/>
            <w:u w:val="single"/>
          </w:rPr>
          <w:t>Additional Protections for Certain Neonates</w:t>
        </w:r>
      </w:hyperlink>
      <w:r>
        <w:t>”) are met, with the following additional requirement:</w:t>
      </w:r>
    </w:p>
    <w:p w14:paraId="2E4F84A0" w14:textId="77777777" w:rsidR="00553829" w:rsidRPr="00553829" w:rsidRDefault="00553829" w:rsidP="00A07209">
      <w:pPr>
        <w:numPr>
          <w:ilvl w:val="0"/>
          <w:numId w:val="276"/>
        </w:numPr>
        <w:tabs>
          <w:tab w:val="left" w:pos="360"/>
          <w:tab w:val="num" w:pos="1440"/>
        </w:tabs>
        <w:spacing w:after="0" w:line="240" w:lineRule="auto"/>
        <w:ind w:left="1440"/>
      </w:pPr>
      <w:r>
        <w:t xml:space="preserve">The purpose of the research is the development of important </w:t>
      </w:r>
      <w:r>
        <w:rPr>
          <w:i/>
        </w:rPr>
        <w:t>biomedical</w:t>
      </w:r>
      <w:r>
        <w:t xml:space="preserve"> knowledge that cannot be obtained by any other means.</w:t>
      </w:r>
    </w:p>
    <w:p w14:paraId="3B9FC471" w14:textId="77777777" w:rsidR="00553829" w:rsidRPr="00553829" w:rsidRDefault="00553829" w:rsidP="00553829">
      <w:pPr>
        <w:spacing w:after="0" w:line="240" w:lineRule="auto"/>
      </w:pPr>
    </w:p>
    <w:p w14:paraId="7B40067A" w14:textId="77777777" w:rsidR="00553829" w:rsidRPr="00553829" w:rsidRDefault="00553829" w:rsidP="00A07209">
      <w:pPr>
        <w:widowControl w:val="0"/>
        <w:numPr>
          <w:ilvl w:val="0"/>
          <w:numId w:val="278"/>
        </w:numPr>
        <w:autoSpaceDE w:val="0"/>
        <w:autoSpaceDN w:val="0"/>
        <w:adjustRightInd w:val="0"/>
        <w:spacing w:after="60" w:line="240" w:lineRule="auto"/>
      </w:pPr>
      <w:r>
        <w:rPr>
          <w:bCs/>
        </w:rPr>
        <w:t>Research involving pregnant women, fetuses, or neonates that does not meet the conditions for approval described by federal regulations and HRPP policy may be conducted only if all of the following conditions are met:</w:t>
      </w:r>
    </w:p>
    <w:p w14:paraId="624577F2" w14:textId="77777777" w:rsidR="00553829" w:rsidRPr="00553829" w:rsidRDefault="00553829" w:rsidP="00A07209">
      <w:pPr>
        <w:widowControl w:val="0"/>
        <w:numPr>
          <w:ilvl w:val="0"/>
          <w:numId w:val="276"/>
        </w:numPr>
        <w:tabs>
          <w:tab w:val="num" w:pos="1440"/>
        </w:tabs>
        <w:autoSpaceDE w:val="0"/>
        <w:autoSpaceDN w:val="0"/>
        <w:adjustRightInd w:val="0"/>
        <w:spacing w:after="60" w:line="240" w:lineRule="auto"/>
        <w:ind w:left="1440"/>
      </w:pPr>
      <w:r>
        <w:rPr>
          <w:bCs/>
        </w:rPr>
        <w:t>The IRB finds that the research presents a reasonable opportunity to further the understanding, prevention, or alleviation of a serious problem affecting the health or welfare of pregnant women, fetuses, or neonates.</w:t>
      </w:r>
    </w:p>
    <w:p w14:paraId="1E17620C" w14:textId="77777777" w:rsidR="00553829" w:rsidRPr="00553829" w:rsidRDefault="00553829" w:rsidP="00A07209">
      <w:pPr>
        <w:widowControl w:val="0"/>
        <w:numPr>
          <w:ilvl w:val="0"/>
          <w:numId w:val="276"/>
        </w:numPr>
        <w:tabs>
          <w:tab w:val="num" w:pos="1440"/>
        </w:tabs>
        <w:autoSpaceDE w:val="0"/>
        <w:autoSpaceDN w:val="0"/>
        <w:adjustRightInd w:val="0"/>
        <w:spacing w:after="0" w:line="240" w:lineRule="auto"/>
        <w:ind w:left="1440"/>
      </w:pPr>
      <w:r>
        <w:rPr>
          <w:bCs/>
        </w:rPr>
        <w:t xml:space="preserve">The Secretary (DHHS), after consultation with a panel of experts in pertinent disciplines (e.g., science, medicine, ethics, law, etc.) and following opportunity for public review and comment (including a public meeting announced in the </w:t>
      </w:r>
      <w:r>
        <w:rPr>
          <w:bCs/>
          <w:i/>
        </w:rPr>
        <w:t>Federal Register</w:t>
      </w:r>
      <w:r>
        <w:rPr>
          <w:bCs/>
        </w:rPr>
        <w:t>), has determined either of the following:</w:t>
      </w:r>
    </w:p>
    <w:p w14:paraId="021925C1" w14:textId="77777777" w:rsidR="00553829" w:rsidRPr="00553829" w:rsidRDefault="00553829" w:rsidP="00A07209">
      <w:pPr>
        <w:widowControl w:val="0"/>
        <w:numPr>
          <w:ilvl w:val="0"/>
          <w:numId w:val="450"/>
        </w:numPr>
        <w:autoSpaceDE w:val="0"/>
        <w:autoSpaceDN w:val="0"/>
        <w:adjustRightInd w:val="0"/>
        <w:spacing w:after="0" w:line="240" w:lineRule="auto"/>
      </w:pPr>
      <w:r>
        <w:rPr>
          <w:bCs/>
        </w:rPr>
        <w:t>The research satisfies the regulatory conditions for approval.</w:t>
      </w:r>
    </w:p>
    <w:p w14:paraId="19CA03DB" w14:textId="77777777" w:rsidR="00553829" w:rsidRPr="00553829" w:rsidRDefault="00553829" w:rsidP="00A07209">
      <w:pPr>
        <w:widowControl w:val="0"/>
        <w:numPr>
          <w:ilvl w:val="0"/>
          <w:numId w:val="450"/>
        </w:numPr>
        <w:autoSpaceDE w:val="0"/>
        <w:autoSpaceDN w:val="0"/>
        <w:adjustRightInd w:val="0"/>
        <w:spacing w:after="0" w:line="240" w:lineRule="auto"/>
        <w:rPr>
          <w:b/>
        </w:rPr>
      </w:pPr>
      <w:r>
        <w:rPr>
          <w:bCs/>
        </w:rPr>
        <w:t>The research presents a reasonable opportunity to further the understanding, prevention, or alleviation of a serious problem affecting the health or welfare of pregnant women, fetuses, or neonates; the research will be conducted consistent with sound ethical principles; and informed consent will be obtained in accordance with the regulatory requirements pertaining to pregnant women, fetuses, or neonates.</w:t>
      </w:r>
    </w:p>
    <w:p w14:paraId="76029883" w14:textId="77777777" w:rsidR="00553829" w:rsidRPr="00553829" w:rsidRDefault="00553829" w:rsidP="00553829">
      <w:pPr>
        <w:spacing w:after="0" w:line="240" w:lineRule="auto"/>
        <w:rPr>
          <w:b/>
        </w:rPr>
      </w:pPr>
    </w:p>
    <w:p w14:paraId="5CA1D405" w14:textId="77777777" w:rsidR="00553829" w:rsidRPr="00553829" w:rsidRDefault="00553829" w:rsidP="00A07209">
      <w:pPr>
        <w:numPr>
          <w:ilvl w:val="0"/>
          <w:numId w:val="283"/>
        </w:numPr>
        <w:tabs>
          <w:tab w:val="num" w:pos="360"/>
        </w:tabs>
        <w:spacing w:after="0" w:line="240" w:lineRule="auto"/>
        <w:ind w:left="360"/>
        <w:rPr>
          <w:b/>
        </w:rPr>
      </w:pPr>
      <w:r>
        <w:rPr>
          <w:b/>
        </w:rPr>
        <w:t>Research Involving Women Who May Become Pregnant</w:t>
      </w:r>
    </w:p>
    <w:p w14:paraId="474FBC87" w14:textId="77777777" w:rsidR="00553829" w:rsidRPr="00553829" w:rsidRDefault="00553829" w:rsidP="00553829">
      <w:pPr>
        <w:spacing w:after="0" w:line="240" w:lineRule="auto"/>
      </w:pPr>
    </w:p>
    <w:p w14:paraId="5900526B" w14:textId="77777777" w:rsidR="00553829" w:rsidRPr="00553829" w:rsidRDefault="00553829" w:rsidP="00553829">
      <w:pPr>
        <w:spacing w:after="0" w:line="240" w:lineRule="auto"/>
        <w:ind w:left="360"/>
      </w:pPr>
      <w:r>
        <w:rPr>
          <w:bCs/>
        </w:rPr>
        <w:t>For research in which pregnancy is incidental to subject selection</w:t>
      </w:r>
      <w:r>
        <w:t>, the additional protections described by federal regulations and HRPP policy do not specifically apply. However, investigators and IRBs should consider additional protections when a man or woman’s participation could pose any risk to a potential fetus. In some research, participants should be advised to avoid pregnancy during or following the study and to notify the investigator immediately if pregnancy occurs. Exclusion of all women who could become pregnant may be justified in research involving potential serious risk(s) to the fetus. For an assessment of the effects of proposed research on fetuses, research involving pregnant women and women who may become pregnant should be reviewed by The Ohio State University Maternal-Fetal Welfare Committee, as described below.</w:t>
      </w:r>
    </w:p>
    <w:p w14:paraId="7C66C8BB" w14:textId="77777777" w:rsidR="00553829" w:rsidRPr="00553829" w:rsidRDefault="00553829" w:rsidP="00553829">
      <w:pPr>
        <w:spacing w:after="0" w:line="240" w:lineRule="auto"/>
        <w:rPr>
          <w:b/>
        </w:rPr>
      </w:pPr>
    </w:p>
    <w:p w14:paraId="0E2FA36D" w14:textId="77777777" w:rsidR="00553829" w:rsidRPr="00553829" w:rsidRDefault="00553829" w:rsidP="00A07209">
      <w:pPr>
        <w:numPr>
          <w:ilvl w:val="0"/>
          <w:numId w:val="283"/>
        </w:numPr>
        <w:tabs>
          <w:tab w:val="num" w:pos="360"/>
        </w:tabs>
        <w:spacing w:after="0" w:line="240" w:lineRule="auto"/>
        <w:ind w:left="360"/>
        <w:rPr>
          <w:b/>
        </w:rPr>
      </w:pPr>
      <w:r>
        <w:rPr>
          <w:b/>
        </w:rPr>
        <w:t>Maternal-Fetal Welfare Committee</w:t>
      </w:r>
    </w:p>
    <w:p w14:paraId="549D38E1" w14:textId="77777777" w:rsidR="00553829" w:rsidRPr="00553829" w:rsidRDefault="00553829" w:rsidP="00553829">
      <w:pPr>
        <w:spacing w:after="0" w:line="240" w:lineRule="auto"/>
      </w:pPr>
    </w:p>
    <w:p w14:paraId="2E9BF6FE" w14:textId="77777777" w:rsidR="00553829" w:rsidRPr="00553829" w:rsidRDefault="00553829" w:rsidP="00A07209">
      <w:pPr>
        <w:numPr>
          <w:ilvl w:val="0"/>
          <w:numId w:val="280"/>
        </w:numPr>
        <w:spacing w:after="0" w:line="240" w:lineRule="auto"/>
        <w:rPr>
          <w:i/>
        </w:rPr>
      </w:pPr>
      <w:r>
        <w:t xml:space="preserve">The Maternal-Fetal Welfare (MFW) Committee reviews research to assess risks that are unique to pregnant women and/or fetuses (e.g., from medications or physical tasks) and advises investigators and the IRBs about effects that the pregnant state might have on study outcomes or interventions. </w:t>
      </w:r>
      <w:r>
        <w:rPr>
          <w:i/>
        </w:rPr>
        <w:t>Note: MFW Committee approval does not constitute IRB approval.</w:t>
      </w:r>
    </w:p>
    <w:p w14:paraId="305F2D4A" w14:textId="77777777" w:rsidR="00553829" w:rsidRPr="00553829" w:rsidRDefault="00553829" w:rsidP="00553829">
      <w:pPr>
        <w:spacing w:after="0" w:line="240" w:lineRule="auto"/>
        <w:ind w:left="720"/>
      </w:pPr>
    </w:p>
    <w:p w14:paraId="4E594081" w14:textId="77777777" w:rsidR="00553829" w:rsidRPr="00553829" w:rsidRDefault="00553829" w:rsidP="00A07209">
      <w:pPr>
        <w:numPr>
          <w:ilvl w:val="0"/>
          <w:numId w:val="280"/>
        </w:numPr>
        <w:spacing w:after="60" w:line="240" w:lineRule="auto"/>
      </w:pPr>
      <w:r>
        <w:lastRenderedPageBreak/>
        <w:t>MFW Committee approval is required in addition to IRB approval for research involving pregnant women and fetuses in either of the following circumstances:</w:t>
      </w:r>
    </w:p>
    <w:p w14:paraId="510C7FC9" w14:textId="77777777" w:rsidR="00553829" w:rsidRPr="00553829" w:rsidRDefault="00553829" w:rsidP="00A07209">
      <w:pPr>
        <w:numPr>
          <w:ilvl w:val="0"/>
          <w:numId w:val="281"/>
        </w:numPr>
        <w:tabs>
          <w:tab w:val="num" w:pos="1440"/>
        </w:tabs>
        <w:spacing w:after="60" w:line="240" w:lineRule="auto"/>
        <w:ind w:left="1440"/>
      </w:pPr>
      <w:r>
        <w:t>The research involves greater than minimal risk or unknown but potentially serious risk(s) to the pregnant woman or fetus (e.g., phase I drug studies).</w:t>
      </w:r>
    </w:p>
    <w:p w14:paraId="678F2393" w14:textId="77777777" w:rsidR="00553829" w:rsidRPr="00553829" w:rsidRDefault="00553829" w:rsidP="00A07209">
      <w:pPr>
        <w:numPr>
          <w:ilvl w:val="0"/>
          <w:numId w:val="281"/>
        </w:numPr>
        <w:tabs>
          <w:tab w:val="num" w:pos="1440"/>
        </w:tabs>
        <w:spacing w:after="0" w:line="240" w:lineRule="auto"/>
        <w:ind w:left="1440"/>
      </w:pPr>
      <w:r>
        <w:t>There are questions regarding the acceptability of including pregnant women in the research because of scientific concerns about study outcomes or interventions (e.g., antihypertensive drug studies).</w:t>
      </w:r>
    </w:p>
    <w:p w14:paraId="7954AB45" w14:textId="77777777" w:rsidR="00553829" w:rsidRPr="00553829" w:rsidRDefault="00553829" w:rsidP="00553829">
      <w:pPr>
        <w:spacing w:after="0" w:line="240" w:lineRule="auto"/>
      </w:pPr>
    </w:p>
    <w:p w14:paraId="403B7359" w14:textId="77777777" w:rsidR="00553829" w:rsidRPr="00553829" w:rsidRDefault="00553829" w:rsidP="00A07209">
      <w:pPr>
        <w:numPr>
          <w:ilvl w:val="0"/>
          <w:numId w:val="280"/>
        </w:numPr>
        <w:spacing w:after="60" w:line="240" w:lineRule="auto"/>
      </w:pPr>
      <w:r>
        <w:t>MFW Committee approval is also required for research that involves women who may become pregnant (when the research does not specifically exclude pregnant women) in either of the following circumstances:</w:t>
      </w:r>
    </w:p>
    <w:p w14:paraId="43C4EBC8" w14:textId="77777777" w:rsidR="00553829" w:rsidRPr="00553829" w:rsidRDefault="00553829" w:rsidP="00A07209">
      <w:pPr>
        <w:numPr>
          <w:ilvl w:val="0"/>
          <w:numId w:val="282"/>
        </w:numPr>
        <w:tabs>
          <w:tab w:val="num" w:pos="1440"/>
        </w:tabs>
        <w:spacing w:after="60" w:line="240" w:lineRule="auto"/>
        <w:ind w:left="1440"/>
      </w:pPr>
      <w:r>
        <w:t>The research involves greater than minimal risk or unknown but potentially serious risk(s) to the fetus.</w:t>
      </w:r>
    </w:p>
    <w:p w14:paraId="74963850" w14:textId="77777777" w:rsidR="00553829" w:rsidRPr="00553829" w:rsidRDefault="00553829" w:rsidP="00A07209">
      <w:pPr>
        <w:numPr>
          <w:ilvl w:val="0"/>
          <w:numId w:val="282"/>
        </w:numPr>
        <w:tabs>
          <w:tab w:val="num" w:pos="1440"/>
        </w:tabs>
        <w:spacing w:after="0" w:line="240" w:lineRule="auto"/>
        <w:ind w:left="1440"/>
      </w:pPr>
      <w:r>
        <w:t>The pregnant state (when not excluded) could have unintended effects on study outcomes or interventions.</w:t>
      </w:r>
    </w:p>
    <w:p w14:paraId="41FB3B0A" w14:textId="77777777" w:rsidR="00553829" w:rsidRPr="00553829" w:rsidRDefault="00553829" w:rsidP="00553829">
      <w:pPr>
        <w:spacing w:after="0" w:line="240" w:lineRule="auto"/>
        <w:ind w:left="720"/>
      </w:pPr>
    </w:p>
    <w:p w14:paraId="5E14D0B6" w14:textId="77777777" w:rsidR="00553829" w:rsidRPr="00553829" w:rsidRDefault="00553829" w:rsidP="00A07209">
      <w:pPr>
        <w:numPr>
          <w:ilvl w:val="0"/>
          <w:numId w:val="280"/>
        </w:numPr>
        <w:spacing w:after="0" w:line="240" w:lineRule="auto"/>
      </w:pPr>
      <w:r>
        <w:t>Minimal risk research and studies in which the pregnant state does not present concerns about data validity do not require MFW Committee approval.</w:t>
      </w:r>
    </w:p>
    <w:p w14:paraId="5F97CD67" w14:textId="77777777" w:rsidR="00553829" w:rsidRPr="00553829" w:rsidRDefault="00553829" w:rsidP="00553829">
      <w:pPr>
        <w:spacing w:after="0" w:line="240" w:lineRule="auto"/>
        <w:ind w:left="720"/>
      </w:pPr>
    </w:p>
    <w:p w14:paraId="5DAFC8D9" w14:textId="77777777" w:rsidR="00553829" w:rsidRPr="00553829" w:rsidRDefault="00553829" w:rsidP="00A07209">
      <w:pPr>
        <w:numPr>
          <w:ilvl w:val="0"/>
          <w:numId w:val="280"/>
        </w:numPr>
        <w:spacing w:after="0" w:line="240" w:lineRule="auto"/>
      </w:pPr>
      <w:r>
        <w:t>Research submitted for IRB review is screened by ORRP staff to determine if MFW Committee review is required. The principal investigator will be notified when a submission is sent to the MFW Committee for review. Notification of the outcome of MFW Committee review is sent to the PI and ORRP staff for inclusion with the materials for IRB review. The IRBs may also independently request a review by the MFW Committee when questions arise during the review process.</w:t>
      </w:r>
    </w:p>
    <w:p w14:paraId="3BB92445" w14:textId="77777777" w:rsidR="00553829" w:rsidRPr="00553829" w:rsidRDefault="00553829" w:rsidP="00553829">
      <w:pPr>
        <w:spacing w:after="0" w:line="240" w:lineRule="auto"/>
      </w:pPr>
    </w:p>
    <w:p w14:paraId="48B13313" w14:textId="77777777" w:rsidR="00553829" w:rsidRPr="00553829" w:rsidRDefault="00553829" w:rsidP="00A07209">
      <w:pPr>
        <w:numPr>
          <w:ilvl w:val="0"/>
          <w:numId w:val="280"/>
        </w:numPr>
        <w:autoSpaceDE w:val="0"/>
        <w:spacing w:after="0" w:line="240" w:lineRule="auto"/>
      </w:pPr>
      <w:r>
        <w:t xml:space="preserve">For more information about Maternal-Fetal Welfare Committee review, see </w:t>
      </w:r>
      <w:hyperlink r:id="rId268" w:history="1">
        <w:r>
          <w:t>[</w:t>
        </w:r>
        <w:r>
          <w:rPr>
            <w:color w:val="0000FF"/>
            <w:u w:val="single"/>
          </w:rPr>
          <w:t>Maternal-Fetal Welfare Committee</w:t>
        </w:r>
      </w:hyperlink>
      <w:r>
        <w:t>].</w:t>
      </w:r>
    </w:p>
    <w:p w14:paraId="510128BB" w14:textId="77777777" w:rsidR="00553829" w:rsidRPr="00553829" w:rsidRDefault="00553829" w:rsidP="00553829">
      <w:pPr>
        <w:spacing w:after="0" w:line="240" w:lineRule="auto"/>
        <w:rPr>
          <w:b/>
        </w:rPr>
      </w:pPr>
    </w:p>
    <w:p w14:paraId="34847D0E" w14:textId="77777777" w:rsidR="00553829" w:rsidRPr="00553829" w:rsidRDefault="00553829" w:rsidP="00A07209">
      <w:pPr>
        <w:numPr>
          <w:ilvl w:val="0"/>
          <w:numId w:val="283"/>
        </w:numPr>
        <w:tabs>
          <w:tab w:val="num" w:pos="360"/>
        </w:tabs>
        <w:spacing w:after="0" w:line="240" w:lineRule="auto"/>
        <w:ind w:left="360"/>
        <w:rPr>
          <w:b/>
        </w:rPr>
      </w:pPr>
      <w:r>
        <w:rPr>
          <w:b/>
        </w:rPr>
        <w:t>Documentation</w:t>
      </w:r>
    </w:p>
    <w:p w14:paraId="59BE43DF" w14:textId="77777777" w:rsidR="00553829" w:rsidRPr="00553829" w:rsidRDefault="00553829" w:rsidP="00553829">
      <w:pPr>
        <w:spacing w:after="0" w:line="240" w:lineRule="auto"/>
      </w:pPr>
    </w:p>
    <w:p w14:paraId="733EAE48" w14:textId="77777777" w:rsidR="00553829" w:rsidRPr="00553829" w:rsidRDefault="00553829" w:rsidP="00553829">
      <w:pPr>
        <w:spacing w:after="0" w:line="240" w:lineRule="auto"/>
        <w:ind w:left="360"/>
      </w:pPr>
      <w:r>
        <w:t>Protocol-specific findings related to the additional protections required for research involving pregnant women, fetuses, or neonates will be documented in the IRB meeting minutes (or IRB records for expedited review).</w:t>
      </w:r>
    </w:p>
    <w:p w14:paraId="46B0EC0E" w14:textId="77777777" w:rsidR="00553829" w:rsidRPr="00553829" w:rsidRDefault="00553829" w:rsidP="00553829">
      <w:pPr>
        <w:spacing w:after="0" w:line="240" w:lineRule="auto"/>
        <w:rPr>
          <w:bCs/>
          <w:color w:val="000000"/>
        </w:rPr>
      </w:pPr>
    </w:p>
    <w:p w14:paraId="0C5C9E25" w14:textId="77777777" w:rsidR="00553829" w:rsidRPr="00553829" w:rsidRDefault="00553829" w:rsidP="00A07209">
      <w:pPr>
        <w:numPr>
          <w:ilvl w:val="0"/>
          <w:numId w:val="283"/>
        </w:numPr>
        <w:tabs>
          <w:tab w:val="num" w:pos="360"/>
        </w:tabs>
        <w:spacing w:after="0" w:line="240" w:lineRule="auto"/>
        <w:ind w:left="547" w:hanging="547"/>
      </w:pPr>
      <w:r>
        <w:rPr>
          <w:b/>
        </w:rPr>
        <w:t>Applicable Regulations/Guidance</w:t>
      </w:r>
    </w:p>
    <w:p w14:paraId="582BA8BD" w14:textId="77777777" w:rsidR="00553829" w:rsidRPr="00553829" w:rsidRDefault="00553829" w:rsidP="00553829">
      <w:pPr>
        <w:spacing w:after="0" w:line="240" w:lineRule="auto"/>
        <w:ind w:left="360"/>
      </w:pPr>
    </w:p>
    <w:p w14:paraId="1DF53673" w14:textId="77777777" w:rsidR="00553829" w:rsidRPr="00553829" w:rsidRDefault="00553829" w:rsidP="00553829">
      <w:pPr>
        <w:spacing w:after="0" w:line="240" w:lineRule="auto"/>
        <w:ind w:left="360"/>
      </w:pPr>
      <w:r>
        <w:t xml:space="preserve">45 CFR 46.204; 45 CFR 46.205; 45 CFR 46.206; 45 CFR 46.207; 45 CFR 46.402; “Research on Transplantation of Fetal Tissue,” Public Law 103-43, Section 498A (06/10/93) </w:t>
      </w:r>
    </w:p>
    <w:p w14:paraId="6336A0CF" w14:textId="77777777" w:rsidR="00553829" w:rsidRPr="00553829" w:rsidRDefault="00553829" w:rsidP="00553829">
      <w:pPr>
        <w:spacing w:after="0" w:line="240" w:lineRule="auto"/>
        <w:ind w:left="360" w:hanging="360"/>
      </w:pPr>
    </w:p>
    <w:p w14:paraId="41C40688" w14:textId="77777777" w:rsidR="00553829" w:rsidRPr="00553829" w:rsidRDefault="00553829" w:rsidP="00A07209">
      <w:pPr>
        <w:numPr>
          <w:ilvl w:val="0"/>
          <w:numId w:val="283"/>
        </w:numPr>
        <w:spacing w:after="0" w:line="240" w:lineRule="auto"/>
        <w:ind w:left="360"/>
        <w:rPr>
          <w:b/>
        </w:rPr>
      </w:pPr>
      <w:r>
        <w:rPr>
          <w:b/>
        </w:rPr>
        <w:t>History</w:t>
      </w:r>
    </w:p>
    <w:p w14:paraId="183B6760" w14:textId="77777777" w:rsidR="00553829" w:rsidRPr="00553829" w:rsidRDefault="00553829" w:rsidP="00553829">
      <w:pPr>
        <w:spacing w:after="0" w:line="240" w:lineRule="auto"/>
        <w:rPr>
          <w:b/>
        </w:rPr>
      </w:pPr>
    </w:p>
    <w:p w14:paraId="39F98ACB" w14:textId="77777777" w:rsidR="00553829" w:rsidRPr="00553829" w:rsidRDefault="00553829" w:rsidP="00553829">
      <w:pPr>
        <w:spacing w:after="0" w:line="240" w:lineRule="auto"/>
        <w:ind w:left="360"/>
      </w:pPr>
      <w:r>
        <w:t>Issued: 12/15/2008</w:t>
      </w:r>
    </w:p>
    <w:p w14:paraId="354E5B13" w14:textId="77777777" w:rsidR="00553829" w:rsidRPr="00553829" w:rsidRDefault="00553829" w:rsidP="00553829">
      <w:pPr>
        <w:spacing w:after="0" w:line="240" w:lineRule="auto"/>
        <w:ind w:left="360"/>
      </w:pPr>
      <w:r>
        <w:t>Revised: 06/04/2012, 09/19/2016</w:t>
      </w:r>
    </w:p>
    <w:p w14:paraId="1A08ACC4" w14:textId="77777777" w:rsidR="00471B9E" w:rsidRDefault="00553829" w:rsidP="00601F8D">
      <w:pPr>
        <w:ind w:firstLine="360"/>
      </w:pPr>
      <w:r>
        <w:t>Edited: 11/30/2021, 04/20/2022</w:t>
      </w:r>
    </w:p>
    <w:p w14:paraId="59D88BE8" w14:textId="77777777" w:rsidR="00471B9E" w:rsidRDefault="00471B9E">
      <w:r>
        <w:br w:type="page"/>
      </w:r>
    </w:p>
    <w:p w14:paraId="637C1FAA" w14:textId="77777777" w:rsidR="000821CE" w:rsidRPr="000821CE" w:rsidRDefault="09E9FB62" w:rsidP="00471B9E">
      <w:pPr>
        <w:pStyle w:val="Heading2"/>
      </w:pPr>
      <w:bookmarkStart w:id="327" w:name="B21"/>
      <w:bookmarkStart w:id="328" w:name="_Toc212142218"/>
      <w:bookmarkStart w:id="329" w:name="_Toc225507758"/>
      <w:r>
        <w:lastRenderedPageBreak/>
        <w:t xml:space="preserve">Appendix B-21  </w:t>
      </w:r>
      <w:bookmarkEnd w:id="327"/>
      <w:r>
        <w:tab/>
        <w:t>Research Involving Prisoners</w:t>
      </w:r>
      <w:bookmarkEnd w:id="328"/>
      <w:bookmarkEnd w:id="329"/>
    </w:p>
    <w:p w14:paraId="2BD7BB8A" w14:textId="77777777" w:rsidR="000821CE" w:rsidRPr="000821CE" w:rsidRDefault="000821CE" w:rsidP="000821CE">
      <w:pPr>
        <w:spacing w:after="0" w:line="240" w:lineRule="auto"/>
        <w:rPr>
          <w:b/>
          <w:smallCaps/>
        </w:rPr>
      </w:pPr>
      <w:r>
        <w:rPr>
          <w:b/>
          <w:smallCaps/>
        </w:rPr>
        <w:br/>
      </w:r>
    </w:p>
    <w:p w14:paraId="0E425D80" w14:textId="77777777" w:rsidR="000821CE" w:rsidRPr="000821CE" w:rsidRDefault="000821CE" w:rsidP="00A07209">
      <w:pPr>
        <w:numPr>
          <w:ilvl w:val="0"/>
          <w:numId w:val="299"/>
        </w:numPr>
        <w:tabs>
          <w:tab w:val="num" w:pos="360"/>
        </w:tabs>
        <w:spacing w:after="0" w:line="240" w:lineRule="auto"/>
        <w:rPr>
          <w:b/>
          <w:smallCaps/>
        </w:rPr>
      </w:pPr>
      <w:r>
        <w:rPr>
          <w:b/>
        </w:rPr>
        <w:t>Overview</w:t>
      </w:r>
    </w:p>
    <w:p w14:paraId="2309AC1A" w14:textId="77777777" w:rsidR="000821CE" w:rsidRPr="000821CE" w:rsidRDefault="000821CE" w:rsidP="000821CE">
      <w:pPr>
        <w:spacing w:after="0" w:line="240" w:lineRule="auto"/>
        <w:rPr>
          <w:b/>
          <w:smallCaps/>
        </w:rPr>
      </w:pPr>
    </w:p>
    <w:p w14:paraId="451C288D" w14:textId="77777777" w:rsidR="000821CE" w:rsidRPr="000821CE" w:rsidRDefault="000821CE" w:rsidP="000821CE">
      <w:pPr>
        <w:spacing w:after="0" w:line="240" w:lineRule="auto"/>
        <w:ind w:left="360"/>
      </w:pPr>
      <w:r>
        <w:t>Federal regulations require additional protections for prisoners involved in research. These requirements include, among other things, that research involving prisoners (except for emergency use) may not be exempt from IRB review, the IRB reviewing prisoner research must include a prisoner or prisoner representative, and the proposed research must fall into one of the permissible categories described in the regulations.</w:t>
      </w:r>
    </w:p>
    <w:p w14:paraId="644C9185" w14:textId="77777777" w:rsidR="000821CE" w:rsidRPr="000821CE" w:rsidRDefault="000821CE" w:rsidP="000821CE">
      <w:pPr>
        <w:tabs>
          <w:tab w:val="left" w:pos="3772"/>
        </w:tabs>
        <w:spacing w:after="0" w:line="240" w:lineRule="auto"/>
        <w:ind w:left="360"/>
      </w:pPr>
      <w:r>
        <w:tab/>
      </w:r>
    </w:p>
    <w:p w14:paraId="68779586" w14:textId="77777777" w:rsidR="000821CE" w:rsidRDefault="000821CE" w:rsidP="000821CE">
      <w:pPr>
        <w:spacing w:after="0" w:line="240" w:lineRule="auto"/>
        <w:ind w:left="360"/>
      </w:pPr>
      <w:r>
        <w:t>The purpose of this policy is to describe the additional protections that must be provided to prisoners involved in research. These requirements apply to research involving prisoners and individuals who later become prisoners during the course of their research participation.</w:t>
      </w:r>
    </w:p>
    <w:p w14:paraId="4EB01955" w14:textId="77777777" w:rsidR="000821CE" w:rsidRPr="000821CE" w:rsidRDefault="000821CE" w:rsidP="000821CE">
      <w:pPr>
        <w:spacing w:after="0" w:line="240" w:lineRule="auto"/>
        <w:ind w:left="360"/>
      </w:pPr>
    </w:p>
    <w:p w14:paraId="54C8C20C" w14:textId="77777777" w:rsidR="000821CE" w:rsidRPr="00076836" w:rsidRDefault="000821CE" w:rsidP="00A07209">
      <w:pPr>
        <w:pStyle w:val="ListParagraph"/>
        <w:numPr>
          <w:ilvl w:val="0"/>
          <w:numId w:val="299"/>
        </w:numPr>
        <w:rPr>
          <w:b/>
          <w:smallCaps/>
        </w:rPr>
      </w:pPr>
      <w:r>
        <w:t xml:space="preserve"> </w:t>
      </w:r>
      <w:r>
        <w:rPr>
          <w:b/>
          <w:bCs/>
        </w:rPr>
        <w:t>Definitions</w:t>
      </w:r>
    </w:p>
    <w:p w14:paraId="34C91CFA" w14:textId="77777777" w:rsidR="000821CE" w:rsidRPr="000821CE" w:rsidRDefault="000821CE" w:rsidP="000821CE">
      <w:pPr>
        <w:spacing w:after="0" w:line="240" w:lineRule="auto"/>
        <w:ind w:left="360"/>
      </w:pPr>
      <w:r>
        <w:rPr>
          <w:b/>
          <w:bCs/>
        </w:rPr>
        <w:t>Prisoner</w:t>
      </w:r>
      <w:r>
        <w:rPr>
          <w:b/>
        </w:rPr>
        <w:t>:</w:t>
      </w:r>
      <w:r>
        <w:rPr>
          <w:b/>
          <w:szCs w:val="20"/>
        </w:rPr>
        <w:t xml:space="preserve"> </w:t>
      </w:r>
      <w:r>
        <w:t>An individual involuntarily confined or detained in a penal institution (e.g., prison, jail, or juvenile offender facility), with restricted ability to leave the institution. The term is intended to encompass individuals sentenced to such an institution under a criminal or civil statute, individuals detained in other facilities by virtue of statutes or commitment procedures that provide alternatives to criminal prosecution or incarceration in a penal institution, and individuals detained pending arraignment, trial, or sentencing.</w:t>
      </w:r>
    </w:p>
    <w:p w14:paraId="22697BC3" w14:textId="77777777" w:rsidR="000821CE" w:rsidRPr="000821CE" w:rsidRDefault="000821CE" w:rsidP="000821CE">
      <w:pPr>
        <w:spacing w:after="0" w:line="240" w:lineRule="auto"/>
        <w:ind w:left="360"/>
      </w:pPr>
    </w:p>
    <w:p w14:paraId="43BDB29E" w14:textId="77777777" w:rsidR="000821CE" w:rsidRPr="000821CE" w:rsidRDefault="000821CE" w:rsidP="000821CE">
      <w:pPr>
        <w:spacing w:after="0" w:line="240" w:lineRule="auto"/>
        <w:ind w:left="360"/>
      </w:pPr>
      <w:r>
        <w:rPr>
          <w:b/>
          <w:bCs/>
        </w:rPr>
        <w:t>Minimal Risk:</w:t>
      </w:r>
      <w:r>
        <w:rPr>
          <w:b/>
          <w:szCs w:val="20"/>
        </w:rPr>
        <w:t xml:space="preserve"> </w:t>
      </w:r>
      <w:r>
        <w:t xml:space="preserve">The probability and magnitude of physical or psychological harm that is normally encountered in the daily lives or in the routine medical, dental, or psychological examination of healthy persons. </w:t>
      </w:r>
      <w:r>
        <w:rPr>
          <w:i/>
        </w:rPr>
        <w:t>Note: The regulatory definition of “minimal risk” for research involving prisoners differs from the definition of minimal risk for research involving participants who are not prisoners.</w:t>
      </w:r>
    </w:p>
    <w:p w14:paraId="5F7A3BE0" w14:textId="77777777" w:rsidR="000821CE" w:rsidRPr="000821CE" w:rsidRDefault="000821CE" w:rsidP="000821CE">
      <w:pPr>
        <w:spacing w:after="0" w:line="240" w:lineRule="auto"/>
        <w:ind w:left="360"/>
        <w:rPr>
          <w:b/>
        </w:rPr>
      </w:pPr>
    </w:p>
    <w:p w14:paraId="6F57F077" w14:textId="77777777" w:rsidR="000821CE" w:rsidRPr="00076836" w:rsidRDefault="000821CE" w:rsidP="00A07209">
      <w:pPr>
        <w:pStyle w:val="ListParagraph"/>
        <w:numPr>
          <w:ilvl w:val="0"/>
          <w:numId w:val="299"/>
        </w:numPr>
        <w:spacing w:after="0" w:line="240" w:lineRule="auto"/>
        <w:rPr>
          <w:b/>
        </w:rPr>
      </w:pPr>
      <w:r>
        <w:rPr>
          <w:b/>
        </w:rPr>
        <w:t>General Information</w:t>
      </w:r>
    </w:p>
    <w:p w14:paraId="1BB0FB3F" w14:textId="77777777" w:rsidR="000821CE" w:rsidRPr="000821CE" w:rsidRDefault="000821CE" w:rsidP="000821CE">
      <w:pPr>
        <w:spacing w:after="0" w:line="240" w:lineRule="auto"/>
        <w:ind w:left="360"/>
        <w:rPr>
          <w:b/>
        </w:rPr>
      </w:pPr>
    </w:p>
    <w:p w14:paraId="6FA356A8" w14:textId="77777777" w:rsidR="000821CE" w:rsidRPr="000821CE" w:rsidRDefault="000821CE" w:rsidP="00A07209">
      <w:pPr>
        <w:numPr>
          <w:ilvl w:val="0"/>
          <w:numId w:val="292"/>
        </w:numPr>
        <w:spacing w:after="120" w:line="240" w:lineRule="auto"/>
        <w:rPr>
          <w:i/>
        </w:rPr>
      </w:pPr>
      <w:r>
        <w:t>Prisoners may be convicted felons or as-yet untried individuals who are detained pending judicial action, as defined above.</w:t>
      </w:r>
    </w:p>
    <w:p w14:paraId="684062C4" w14:textId="77777777" w:rsidR="000821CE" w:rsidRPr="000821CE" w:rsidRDefault="000821CE" w:rsidP="000821CE">
      <w:pPr>
        <w:spacing w:after="60" w:line="240" w:lineRule="auto"/>
        <w:ind w:left="720"/>
        <w:rPr>
          <w:i/>
        </w:rPr>
      </w:pPr>
      <w:r>
        <w:t>The following are examples of individuals who are considered prisoners under the regulations:</w:t>
      </w:r>
    </w:p>
    <w:p w14:paraId="0919DD3C" w14:textId="77777777" w:rsidR="000821CE" w:rsidRPr="000821CE" w:rsidRDefault="000821CE" w:rsidP="00A07209">
      <w:pPr>
        <w:numPr>
          <w:ilvl w:val="0"/>
          <w:numId w:val="293"/>
        </w:numPr>
        <w:tabs>
          <w:tab w:val="num" w:pos="1440"/>
        </w:tabs>
        <w:spacing w:after="60" w:line="240" w:lineRule="auto"/>
        <w:ind w:left="1440"/>
      </w:pPr>
      <w:r>
        <w:t>Individuals who are detained in a residential facility for court-ordered substance abuse treatment as a form of sentencing or as an alternative to incarceration</w:t>
      </w:r>
    </w:p>
    <w:p w14:paraId="40490D14" w14:textId="77777777" w:rsidR="000821CE" w:rsidRPr="000821CE" w:rsidRDefault="000821CE" w:rsidP="00A07209">
      <w:pPr>
        <w:numPr>
          <w:ilvl w:val="0"/>
          <w:numId w:val="293"/>
        </w:numPr>
        <w:tabs>
          <w:tab w:val="num" w:pos="1440"/>
        </w:tabs>
        <w:spacing w:after="60" w:line="240" w:lineRule="auto"/>
        <w:ind w:left="1440"/>
      </w:pPr>
      <w:r>
        <w:t>Individuals with psychiatric illnesses who have been committed involuntarily to an institution as an alternative to a criminal prosecution or incarceration</w:t>
      </w:r>
    </w:p>
    <w:p w14:paraId="4D87A0A4" w14:textId="77777777" w:rsidR="000821CE" w:rsidRPr="000821CE" w:rsidRDefault="000821CE" w:rsidP="00A07209">
      <w:pPr>
        <w:numPr>
          <w:ilvl w:val="0"/>
          <w:numId w:val="293"/>
        </w:numPr>
        <w:tabs>
          <w:tab w:val="num" w:pos="1440"/>
        </w:tabs>
        <w:spacing w:after="120" w:line="240" w:lineRule="auto"/>
        <w:ind w:left="1440"/>
      </w:pPr>
      <w:r>
        <w:t>Parolees who are detained in a treatment center as a condition of parole</w:t>
      </w:r>
    </w:p>
    <w:p w14:paraId="672A8E64" w14:textId="77777777" w:rsidR="000821CE" w:rsidRPr="000821CE" w:rsidRDefault="000821CE" w:rsidP="000821CE">
      <w:pPr>
        <w:spacing w:after="120" w:line="240" w:lineRule="auto"/>
        <w:ind w:left="720"/>
      </w:pPr>
      <w:r>
        <w:t>The following are examples of individuals who are NOT considered prisoners under the regulations:</w:t>
      </w:r>
    </w:p>
    <w:p w14:paraId="66A571DC" w14:textId="77777777" w:rsidR="000821CE" w:rsidRPr="000821CE" w:rsidRDefault="000821CE" w:rsidP="00A07209">
      <w:pPr>
        <w:numPr>
          <w:ilvl w:val="0"/>
          <w:numId w:val="293"/>
        </w:numPr>
        <w:tabs>
          <w:tab w:val="num" w:pos="1440"/>
        </w:tabs>
        <w:spacing w:after="60" w:line="240" w:lineRule="auto"/>
        <w:ind w:left="1440"/>
      </w:pPr>
      <w:r>
        <w:t>Individuals who are receiving non-residential court-ordered substance abuse treatment and are residing in the community</w:t>
      </w:r>
    </w:p>
    <w:p w14:paraId="740DF576" w14:textId="77777777" w:rsidR="000821CE" w:rsidRPr="000821CE" w:rsidRDefault="000821CE" w:rsidP="00A07209">
      <w:pPr>
        <w:numPr>
          <w:ilvl w:val="0"/>
          <w:numId w:val="293"/>
        </w:numPr>
        <w:tabs>
          <w:tab w:val="num" w:pos="1440"/>
        </w:tabs>
        <w:spacing w:after="60" w:line="240" w:lineRule="auto"/>
        <w:ind w:left="1440"/>
      </w:pPr>
      <w:r>
        <w:t>Individuals who have been voluntarily admitted to an institution for treatment of a psychiatric illness or who have been civilly committed to non-penal institutions for treatment because their illness makes them a danger to themselves or others</w:t>
      </w:r>
    </w:p>
    <w:p w14:paraId="568EA953" w14:textId="77777777" w:rsidR="000821CE" w:rsidRPr="000821CE" w:rsidRDefault="000821CE" w:rsidP="00A07209">
      <w:pPr>
        <w:numPr>
          <w:ilvl w:val="0"/>
          <w:numId w:val="293"/>
        </w:numPr>
        <w:tabs>
          <w:tab w:val="num" w:pos="1440"/>
        </w:tabs>
        <w:spacing w:after="60" w:line="240" w:lineRule="auto"/>
        <w:ind w:left="1440"/>
      </w:pPr>
      <w:r>
        <w:t>Persons living in the community and sentenced to community-supervised monitoring, including parolees</w:t>
      </w:r>
    </w:p>
    <w:p w14:paraId="3A02BFED" w14:textId="77777777" w:rsidR="000821CE" w:rsidRPr="000821CE" w:rsidRDefault="000821CE" w:rsidP="00A07209">
      <w:pPr>
        <w:numPr>
          <w:ilvl w:val="0"/>
          <w:numId w:val="293"/>
        </w:numPr>
        <w:tabs>
          <w:tab w:val="num" w:pos="1440"/>
        </w:tabs>
        <w:spacing w:after="0" w:line="240" w:lineRule="auto"/>
        <w:ind w:left="1440"/>
      </w:pPr>
      <w:r>
        <w:t>Probationers and individuals wearing monitoring devices are generally not considered to be prisoners; however, the specific circumstances of the planned participant population should be carefully considered</w:t>
      </w:r>
    </w:p>
    <w:p w14:paraId="1689BAB8" w14:textId="77777777" w:rsidR="000821CE" w:rsidRPr="000821CE" w:rsidRDefault="000821CE" w:rsidP="000821CE">
      <w:pPr>
        <w:tabs>
          <w:tab w:val="left" w:pos="2368"/>
        </w:tabs>
        <w:spacing w:after="0" w:line="240" w:lineRule="auto"/>
      </w:pPr>
    </w:p>
    <w:p w14:paraId="3CCCF398" w14:textId="77777777" w:rsidR="000821CE" w:rsidRPr="000821CE" w:rsidRDefault="000821CE" w:rsidP="00A07209">
      <w:pPr>
        <w:numPr>
          <w:ilvl w:val="0"/>
          <w:numId w:val="292"/>
        </w:numPr>
        <w:spacing w:after="60" w:line="240" w:lineRule="auto"/>
        <w:rPr>
          <w:i/>
        </w:rPr>
      </w:pPr>
      <w:r>
        <w:lastRenderedPageBreak/>
        <w:t>Investigators are “engaged” in research involving prisoners when (for purposes of the research) they obtain data through intervention or interaction or identifiable private information about the prisoners. The following are examples of activities that constitute engagement in research involving prisoners:</w:t>
      </w:r>
    </w:p>
    <w:p w14:paraId="1DA9E464" w14:textId="77777777" w:rsidR="000821CE" w:rsidRPr="000821CE" w:rsidRDefault="000821CE" w:rsidP="00A07209">
      <w:pPr>
        <w:numPr>
          <w:ilvl w:val="1"/>
          <w:numId w:val="292"/>
        </w:numPr>
        <w:tabs>
          <w:tab w:val="num" w:pos="1440"/>
        </w:tabs>
        <w:spacing w:after="60" w:line="240" w:lineRule="auto"/>
        <w:rPr>
          <w:i/>
        </w:rPr>
      </w:pPr>
      <w:r>
        <w:t>Seeking the informed consent of prisoners for research participation</w:t>
      </w:r>
    </w:p>
    <w:p w14:paraId="19AB7F76" w14:textId="77777777" w:rsidR="000821CE" w:rsidRPr="000821CE" w:rsidRDefault="000821CE" w:rsidP="00A07209">
      <w:pPr>
        <w:numPr>
          <w:ilvl w:val="1"/>
          <w:numId w:val="292"/>
        </w:numPr>
        <w:tabs>
          <w:tab w:val="num" w:pos="1440"/>
        </w:tabs>
        <w:spacing w:after="60" w:line="240" w:lineRule="auto"/>
        <w:rPr>
          <w:i/>
        </w:rPr>
      </w:pPr>
      <w:r>
        <w:t>Using or studying identifiable private information about prisoners for research purposes</w:t>
      </w:r>
    </w:p>
    <w:p w14:paraId="63458F02" w14:textId="77777777" w:rsidR="000821CE" w:rsidRPr="000821CE" w:rsidRDefault="000821CE" w:rsidP="00A07209">
      <w:pPr>
        <w:numPr>
          <w:ilvl w:val="1"/>
          <w:numId w:val="292"/>
        </w:numPr>
        <w:tabs>
          <w:tab w:val="num" w:pos="1440"/>
        </w:tabs>
        <w:spacing w:after="60" w:line="240" w:lineRule="auto"/>
        <w:rPr>
          <w:i/>
        </w:rPr>
      </w:pPr>
      <w:r>
        <w:t>Using or analyzing identifiable specimens obtained from prisoners for research purposes</w:t>
      </w:r>
    </w:p>
    <w:p w14:paraId="7E8C21F4" w14:textId="77777777" w:rsidR="000821CE" w:rsidRPr="000821CE" w:rsidRDefault="000821CE" w:rsidP="00A07209">
      <w:pPr>
        <w:numPr>
          <w:ilvl w:val="1"/>
          <w:numId w:val="292"/>
        </w:numPr>
        <w:tabs>
          <w:tab w:val="num" w:pos="1440"/>
        </w:tabs>
        <w:spacing w:after="0" w:line="240" w:lineRule="auto"/>
        <w:rPr>
          <w:i/>
        </w:rPr>
      </w:pPr>
      <w:r>
        <w:t>Surveying prisoners for a research study</w:t>
      </w:r>
    </w:p>
    <w:p w14:paraId="60FF92DD" w14:textId="77777777" w:rsidR="000821CE" w:rsidRPr="000821CE" w:rsidRDefault="000821CE" w:rsidP="000821CE">
      <w:pPr>
        <w:spacing w:after="0" w:line="240" w:lineRule="auto"/>
      </w:pPr>
    </w:p>
    <w:p w14:paraId="47B200A0" w14:textId="77777777" w:rsidR="000821CE" w:rsidRPr="000821CE" w:rsidRDefault="000821CE" w:rsidP="00A07209">
      <w:pPr>
        <w:numPr>
          <w:ilvl w:val="0"/>
          <w:numId w:val="292"/>
        </w:numPr>
        <w:spacing w:after="60" w:line="240" w:lineRule="auto"/>
      </w:pPr>
      <w:bookmarkStart w:id="330" w:name="requirements"/>
      <w:bookmarkEnd w:id="330"/>
      <w:r>
        <w:t>In addition to the “standard” regulatory requirements for IRB composition, when reviewing research involving prisoners the following requirements also apply:</w:t>
      </w:r>
    </w:p>
    <w:p w14:paraId="12CED9E3" w14:textId="77777777" w:rsidR="00FF59B8" w:rsidRDefault="000821CE" w:rsidP="00A07209">
      <w:pPr>
        <w:numPr>
          <w:ilvl w:val="2"/>
          <w:numId w:val="291"/>
        </w:numPr>
        <w:tabs>
          <w:tab w:val="num" w:pos="1440"/>
        </w:tabs>
        <w:spacing w:after="60" w:line="240" w:lineRule="auto"/>
        <w:ind w:left="1440"/>
      </w:pPr>
      <w:r>
        <w:t>At least one member of the IRB must be a prisoner, or a prisoner representative with appropriate background and experience to serve in this capacity.</w:t>
      </w:r>
    </w:p>
    <w:p w14:paraId="24899230" w14:textId="77777777" w:rsidR="00FF59B8" w:rsidRDefault="000821CE" w:rsidP="00A07209">
      <w:pPr>
        <w:numPr>
          <w:ilvl w:val="2"/>
          <w:numId w:val="291"/>
        </w:numPr>
        <w:tabs>
          <w:tab w:val="num" w:pos="1440"/>
        </w:tabs>
        <w:spacing w:after="60" w:line="240" w:lineRule="auto"/>
        <w:ind w:left="1440"/>
      </w:pPr>
      <w:r>
        <w:t>The prisoner representative should have a close working knowledge and understanding of prison conditions from the prisoner's perspective.</w:t>
      </w:r>
    </w:p>
    <w:p w14:paraId="4CBA022B" w14:textId="77777777" w:rsidR="00FF59B8" w:rsidRDefault="000821CE" w:rsidP="00A07209">
      <w:pPr>
        <w:numPr>
          <w:ilvl w:val="2"/>
          <w:numId w:val="291"/>
        </w:numPr>
        <w:tabs>
          <w:tab w:val="num" w:pos="1440"/>
        </w:tabs>
        <w:spacing w:after="60" w:line="240" w:lineRule="auto"/>
        <w:ind w:left="1440"/>
      </w:pPr>
      <w:r>
        <w:t>The prisoner representative should have the ability to express views independent of the prison administration.</w:t>
      </w:r>
    </w:p>
    <w:p w14:paraId="16F21772" w14:textId="77777777" w:rsidR="000821CE" w:rsidRPr="00FF59B8" w:rsidRDefault="000821CE" w:rsidP="00A07209">
      <w:pPr>
        <w:numPr>
          <w:ilvl w:val="2"/>
          <w:numId w:val="291"/>
        </w:numPr>
        <w:tabs>
          <w:tab w:val="num" w:pos="1440"/>
        </w:tabs>
        <w:spacing w:after="60" w:line="240" w:lineRule="auto"/>
        <w:ind w:left="1440"/>
      </w:pPr>
      <w:r>
        <w:t>If the research is reviewed by more than one IRB, only one IRB must satisfy this requirement.</w:t>
      </w:r>
    </w:p>
    <w:p w14:paraId="607A3280" w14:textId="77777777" w:rsidR="000821CE" w:rsidRPr="000821CE" w:rsidRDefault="000821CE" w:rsidP="00A07209">
      <w:pPr>
        <w:numPr>
          <w:ilvl w:val="2"/>
          <w:numId w:val="291"/>
        </w:numPr>
        <w:tabs>
          <w:tab w:val="num" w:pos="1440"/>
        </w:tabs>
        <w:spacing w:after="120" w:line="240" w:lineRule="auto"/>
        <w:ind w:left="1440"/>
      </w:pPr>
      <w:r>
        <w:t>A majority of IRB members (other than the prisoner representative) has no association with the prison(s) involved</w:t>
      </w:r>
    </w:p>
    <w:p w14:paraId="4AF03A48" w14:textId="77777777" w:rsidR="000821CE" w:rsidRPr="000821CE" w:rsidRDefault="000821CE" w:rsidP="000821CE">
      <w:pPr>
        <w:widowControl w:val="0"/>
        <w:autoSpaceDE w:val="0"/>
        <w:autoSpaceDN w:val="0"/>
        <w:adjustRightInd w:val="0"/>
        <w:spacing w:after="0" w:line="240" w:lineRule="auto"/>
        <w:ind w:left="720"/>
        <w:rPr>
          <w:i/>
          <w:szCs w:val="20"/>
        </w:rPr>
      </w:pPr>
      <w:r>
        <w:rPr>
          <w:i/>
          <w:szCs w:val="20"/>
        </w:rPr>
        <w:t>Note: The IRB must meet these composition requirements for all types of review by the convened IRB, including initial review, continuing review, and review of amendments.</w:t>
      </w:r>
    </w:p>
    <w:p w14:paraId="7CF8B791" w14:textId="77777777" w:rsidR="000821CE" w:rsidRPr="000821CE" w:rsidRDefault="000821CE" w:rsidP="000821CE">
      <w:pPr>
        <w:spacing w:after="0" w:line="240" w:lineRule="auto"/>
      </w:pPr>
    </w:p>
    <w:p w14:paraId="6CA72697" w14:textId="77777777" w:rsidR="000821CE" w:rsidRPr="000821CE" w:rsidRDefault="000821CE" w:rsidP="00A07209">
      <w:pPr>
        <w:numPr>
          <w:ilvl w:val="0"/>
          <w:numId w:val="297"/>
        </w:numPr>
        <w:spacing w:after="0" w:line="240" w:lineRule="auto"/>
      </w:pPr>
      <w:r>
        <w:t>Expedited review of research involving prisoners must include a prisoner representative who meets the requirements to perform expedited review described in HRPP policy [</w:t>
      </w:r>
      <w:hyperlink r:id="rId269" w:history="1">
        <w:r>
          <w:rPr>
            <w:color w:val="0000FF"/>
            <w:u w:val="single"/>
          </w:rPr>
          <w:t>Expedited and Administrative Review Procedures</w:t>
        </w:r>
      </w:hyperlink>
      <w:r>
        <w:t>].</w:t>
      </w:r>
    </w:p>
    <w:p w14:paraId="638064DE" w14:textId="77777777" w:rsidR="000821CE" w:rsidRPr="000821CE" w:rsidRDefault="000821CE" w:rsidP="000821CE">
      <w:pPr>
        <w:spacing w:after="0" w:line="240" w:lineRule="auto"/>
        <w:ind w:left="720"/>
      </w:pPr>
    </w:p>
    <w:p w14:paraId="4FAA75C9" w14:textId="77777777" w:rsidR="000821CE" w:rsidRPr="000821CE" w:rsidRDefault="000821CE" w:rsidP="00A07209">
      <w:pPr>
        <w:numPr>
          <w:ilvl w:val="0"/>
          <w:numId w:val="297"/>
        </w:numPr>
        <w:spacing w:after="0" w:line="240" w:lineRule="auto"/>
      </w:pPr>
      <w:r>
        <w:t xml:space="preserve">The DHHS exemption categories do not apply to research involving prisoners except when the exempt research examines a broader population that only incidentally involves prisoners. </w:t>
      </w:r>
    </w:p>
    <w:p w14:paraId="59757164" w14:textId="77777777" w:rsidR="000821CE" w:rsidRPr="000821CE" w:rsidRDefault="000821CE" w:rsidP="000821CE">
      <w:pPr>
        <w:spacing w:after="0" w:line="240" w:lineRule="auto"/>
        <w:ind w:left="720"/>
      </w:pPr>
    </w:p>
    <w:p w14:paraId="098BED36" w14:textId="77777777" w:rsidR="000821CE" w:rsidRPr="000821CE" w:rsidRDefault="000821CE" w:rsidP="00A07209">
      <w:pPr>
        <w:numPr>
          <w:ilvl w:val="0"/>
          <w:numId w:val="297"/>
        </w:numPr>
        <w:spacing w:after="0" w:line="240" w:lineRule="auto"/>
      </w:pPr>
      <w:r>
        <w:t>Prisoners may be involved in the emergency use of an investigational drug or biologic or unapproved medical device (i.e., a category of exempt FDA research).</w:t>
      </w:r>
    </w:p>
    <w:p w14:paraId="5817E8F6" w14:textId="77777777" w:rsidR="000821CE" w:rsidRPr="000821CE" w:rsidRDefault="000821CE" w:rsidP="000821CE">
      <w:pPr>
        <w:spacing w:after="0" w:line="240" w:lineRule="auto"/>
        <w:rPr>
          <w:b/>
        </w:rPr>
      </w:pPr>
      <w:r>
        <w:rPr>
          <w:b/>
        </w:rPr>
        <w:br/>
      </w:r>
    </w:p>
    <w:p w14:paraId="285115FC" w14:textId="77777777" w:rsidR="000821CE" w:rsidRPr="00076836" w:rsidRDefault="000821CE" w:rsidP="00A07209">
      <w:pPr>
        <w:pStyle w:val="ListParagraph"/>
        <w:numPr>
          <w:ilvl w:val="0"/>
          <w:numId w:val="299"/>
        </w:numPr>
        <w:spacing w:after="0" w:line="240" w:lineRule="auto"/>
        <w:rPr>
          <w:b/>
        </w:rPr>
      </w:pPr>
      <w:bookmarkStart w:id="331" w:name="categories"/>
      <w:bookmarkEnd w:id="331"/>
      <w:r>
        <w:rPr>
          <w:b/>
        </w:rPr>
        <w:t>Permissible Categories of Research</w:t>
      </w:r>
    </w:p>
    <w:p w14:paraId="49C53E9C" w14:textId="77777777" w:rsidR="000821CE" w:rsidRPr="000821CE" w:rsidRDefault="000821CE" w:rsidP="000821CE">
      <w:pPr>
        <w:spacing w:after="0" w:line="240" w:lineRule="auto"/>
      </w:pPr>
    </w:p>
    <w:p w14:paraId="2EFFCD40" w14:textId="77777777" w:rsidR="000821CE" w:rsidRPr="000821CE" w:rsidRDefault="000821CE" w:rsidP="00A07209">
      <w:pPr>
        <w:numPr>
          <w:ilvl w:val="0"/>
          <w:numId w:val="294"/>
        </w:numPr>
        <w:spacing w:after="120" w:line="240" w:lineRule="auto"/>
      </w:pPr>
      <w:r>
        <w:t>The following are the categories of research that may involve prisoners:</w:t>
      </w:r>
    </w:p>
    <w:p w14:paraId="2671DD47" w14:textId="77777777" w:rsidR="000821CE" w:rsidRPr="000821CE" w:rsidRDefault="000821CE" w:rsidP="00A07209">
      <w:pPr>
        <w:numPr>
          <w:ilvl w:val="2"/>
          <w:numId w:val="299"/>
        </w:numPr>
        <w:tabs>
          <w:tab w:val="num" w:pos="1080"/>
        </w:tabs>
        <w:spacing w:after="120" w:line="240" w:lineRule="auto"/>
        <w:ind w:left="1440" w:hanging="360"/>
      </w:pPr>
      <w:r>
        <w:t>Research on the possible causes, effects, and processes of incarceration and of criminal behavior, provided that the study presents no more than minimal risk for prisoners and no more than inconvenience to the participants</w:t>
      </w:r>
    </w:p>
    <w:p w14:paraId="7942BC24" w14:textId="77777777" w:rsidR="000821CE" w:rsidRPr="000821CE" w:rsidRDefault="000821CE" w:rsidP="00A07209">
      <w:pPr>
        <w:numPr>
          <w:ilvl w:val="2"/>
          <w:numId w:val="299"/>
        </w:numPr>
        <w:tabs>
          <w:tab w:val="num" w:pos="1080"/>
        </w:tabs>
        <w:spacing w:after="120" w:line="240" w:lineRule="auto"/>
        <w:ind w:left="1440" w:hanging="360"/>
      </w:pPr>
      <w:r>
        <w:t>Research on prisons as institutional structures or of prisoners as incarcerated persons, provided that the study presents no more than minimal risk for prisoners and no more than inconvenience to the participants</w:t>
      </w:r>
    </w:p>
    <w:p w14:paraId="103898A2" w14:textId="77777777" w:rsidR="000821CE" w:rsidRPr="000821CE" w:rsidRDefault="000821CE" w:rsidP="00A07209">
      <w:pPr>
        <w:numPr>
          <w:ilvl w:val="2"/>
          <w:numId w:val="299"/>
        </w:numPr>
        <w:tabs>
          <w:tab w:val="num" w:pos="1080"/>
        </w:tabs>
        <w:spacing w:after="60" w:line="240" w:lineRule="auto"/>
        <w:ind w:left="1440" w:hanging="360"/>
      </w:pPr>
      <w:r>
        <w:t>Research on conditions particularly affecting prisoners as a class (e.g., vaccine trials and other research on hepatitis, which is much more prevalent in prisons than elsewhere, and research on social and psychological problems such as alcoholism, drug addiction, and sexual assault)</w:t>
      </w:r>
    </w:p>
    <w:p w14:paraId="66443386" w14:textId="77777777" w:rsidR="000821CE" w:rsidRPr="000821CE" w:rsidRDefault="000821CE" w:rsidP="00FF59B8">
      <w:pPr>
        <w:tabs>
          <w:tab w:val="num" w:pos="1080"/>
        </w:tabs>
        <w:spacing w:after="120" w:line="240" w:lineRule="auto"/>
        <w:ind w:left="1440"/>
        <w:rPr>
          <w:i/>
          <w:szCs w:val="20"/>
        </w:rPr>
      </w:pPr>
      <w:r>
        <w:rPr>
          <w:i/>
          <w:szCs w:val="20"/>
        </w:rPr>
        <w:lastRenderedPageBreak/>
        <w:t>Note: Research in this category conducted or sponsored by DHHS may proceed only after the Secretary (DHHS) has consulted with appropriate experts, including experts in penology, medicine, and ethics and published notice in the Federal Register of his/her intent to approve the research.</w:t>
      </w:r>
    </w:p>
    <w:p w14:paraId="6179901E" w14:textId="77777777" w:rsidR="000821CE" w:rsidRPr="000821CE" w:rsidRDefault="000821CE" w:rsidP="00A07209">
      <w:pPr>
        <w:numPr>
          <w:ilvl w:val="2"/>
          <w:numId w:val="299"/>
        </w:numPr>
        <w:tabs>
          <w:tab w:val="num" w:pos="1080"/>
        </w:tabs>
        <w:spacing w:after="60" w:line="240" w:lineRule="auto"/>
        <w:ind w:left="1440" w:hanging="360"/>
      </w:pPr>
      <w:r>
        <w:t>Research on practices, both innovative and accepted, which have the intent and reasonable probability of improving the health or wellbeing of the participant</w:t>
      </w:r>
    </w:p>
    <w:p w14:paraId="0F9AB315" w14:textId="77777777" w:rsidR="000821CE" w:rsidRPr="000821CE" w:rsidRDefault="000821CE" w:rsidP="00FF59B8">
      <w:pPr>
        <w:tabs>
          <w:tab w:val="num" w:pos="1080"/>
        </w:tabs>
        <w:spacing w:after="0" w:line="240" w:lineRule="auto"/>
        <w:ind w:left="1440"/>
        <w:rPr>
          <w:i/>
          <w:szCs w:val="20"/>
          <w:highlight w:val="yellow"/>
        </w:rPr>
      </w:pPr>
      <w:r>
        <w:rPr>
          <w:i/>
          <w:szCs w:val="20"/>
        </w:rPr>
        <w:t>Note: For research conducted or sponsored by DHHS that require the assignment (in a manner consistent with protocols approved by the IRB) of prisoners to control groups that may not benefit from the research, the research may proceed only after the Secretary (DHHS) has consulted with appropriate experts, including experts in penology, medicine, and ethics and published notice in the Federal Register of his/her intent to approve the research.</w:t>
      </w:r>
    </w:p>
    <w:p w14:paraId="3CD4DA7C" w14:textId="77777777" w:rsidR="000821CE" w:rsidRPr="000821CE" w:rsidRDefault="000821CE" w:rsidP="000821CE">
      <w:pPr>
        <w:tabs>
          <w:tab w:val="num" w:pos="1440"/>
        </w:tabs>
        <w:spacing w:after="0" w:line="240" w:lineRule="auto"/>
        <w:rPr>
          <w:highlight w:val="yellow"/>
        </w:rPr>
      </w:pPr>
    </w:p>
    <w:p w14:paraId="4CCEA72E" w14:textId="77777777" w:rsidR="000821CE" w:rsidRPr="000821CE" w:rsidRDefault="000821CE" w:rsidP="00A07209">
      <w:pPr>
        <w:numPr>
          <w:ilvl w:val="0"/>
          <w:numId w:val="295"/>
        </w:numPr>
        <w:tabs>
          <w:tab w:val="num" w:pos="720"/>
        </w:tabs>
        <w:spacing w:after="60" w:line="240" w:lineRule="auto"/>
      </w:pPr>
      <w:r>
        <w:t>Epidemiologic studies (e.g., related to chronic diseases, injuries, and environmental health) that do not meet the criteria above may also involve prisoners under all of the following conditions:</w:t>
      </w:r>
    </w:p>
    <w:p w14:paraId="2EF06B46" w14:textId="77777777" w:rsidR="000821CE" w:rsidRPr="000821CE" w:rsidRDefault="000821CE" w:rsidP="00A07209">
      <w:pPr>
        <w:numPr>
          <w:ilvl w:val="0"/>
          <w:numId w:val="285"/>
        </w:numPr>
        <w:tabs>
          <w:tab w:val="num" w:pos="-314"/>
        </w:tabs>
        <w:spacing w:after="60" w:line="240" w:lineRule="auto"/>
        <w:ind w:left="1800"/>
      </w:pPr>
      <w:r>
        <w:t>The research presents no more than minimal risk for prisoners (e.g., interviews, collection of biological specimens, etc.) and no more than inconvenience to the prisoner-participants.</w:t>
      </w:r>
    </w:p>
    <w:p w14:paraId="585034EB" w14:textId="77777777" w:rsidR="000821CE" w:rsidRPr="000821CE" w:rsidRDefault="000821CE" w:rsidP="00A07209">
      <w:pPr>
        <w:numPr>
          <w:ilvl w:val="2"/>
          <w:numId w:val="300"/>
        </w:numPr>
        <w:spacing w:after="60" w:line="240" w:lineRule="auto"/>
        <w:ind w:left="1800"/>
      </w:pPr>
      <w:r>
        <w:t>Prisoners are not a particular focus of the research.</w:t>
      </w:r>
    </w:p>
    <w:p w14:paraId="180B0912" w14:textId="77777777" w:rsidR="000821CE" w:rsidRPr="000821CE" w:rsidRDefault="000821CE" w:rsidP="00A07209">
      <w:pPr>
        <w:numPr>
          <w:ilvl w:val="2"/>
          <w:numId w:val="300"/>
        </w:numPr>
        <w:spacing w:after="0" w:line="240" w:lineRule="auto"/>
        <w:ind w:left="1800"/>
      </w:pPr>
      <w:r>
        <w:t>The sole purpose of the research is either one of the following:</w:t>
      </w:r>
    </w:p>
    <w:p w14:paraId="7A67A804" w14:textId="77777777" w:rsidR="000821CE" w:rsidRPr="000821CE" w:rsidRDefault="000821CE" w:rsidP="00A07209">
      <w:pPr>
        <w:numPr>
          <w:ilvl w:val="2"/>
          <w:numId w:val="451"/>
        </w:numPr>
        <w:spacing w:after="0" w:line="240" w:lineRule="auto"/>
      </w:pPr>
      <w:r>
        <w:t>To describe the prevalence or incidence of a disease by identifying all cases</w:t>
      </w:r>
    </w:p>
    <w:p w14:paraId="75A58F4C" w14:textId="77777777" w:rsidR="000821CE" w:rsidRPr="000821CE" w:rsidRDefault="000821CE" w:rsidP="00A07209">
      <w:pPr>
        <w:numPr>
          <w:ilvl w:val="2"/>
          <w:numId w:val="451"/>
        </w:numPr>
        <w:spacing w:after="0" w:line="240" w:lineRule="auto"/>
      </w:pPr>
      <w:r>
        <w:t>To study potential risk factor associations for a disease</w:t>
      </w:r>
    </w:p>
    <w:p w14:paraId="6B773B89" w14:textId="77777777" w:rsidR="000821CE" w:rsidRPr="000821CE" w:rsidRDefault="000821CE" w:rsidP="000821CE">
      <w:pPr>
        <w:spacing w:after="0" w:line="240" w:lineRule="auto"/>
      </w:pPr>
    </w:p>
    <w:p w14:paraId="5833EA62" w14:textId="77777777" w:rsidR="000821CE" w:rsidRPr="000821CE" w:rsidRDefault="000821CE" w:rsidP="00A07209">
      <w:pPr>
        <w:numPr>
          <w:ilvl w:val="0"/>
          <w:numId w:val="287"/>
        </w:numPr>
        <w:tabs>
          <w:tab w:val="num" w:pos="360"/>
        </w:tabs>
        <w:spacing w:after="0" w:line="240" w:lineRule="auto"/>
        <w:ind w:left="360"/>
        <w:rPr>
          <w:b/>
        </w:rPr>
      </w:pPr>
      <w:r>
        <w:rPr>
          <w:b/>
        </w:rPr>
        <w:t>Required IRB Findings</w:t>
      </w:r>
    </w:p>
    <w:p w14:paraId="5AB395EE" w14:textId="77777777" w:rsidR="000821CE" w:rsidRPr="000821CE" w:rsidRDefault="000821CE" w:rsidP="000821CE">
      <w:pPr>
        <w:spacing w:after="0" w:line="240" w:lineRule="auto"/>
        <w:ind w:left="360"/>
        <w:rPr>
          <w:b/>
        </w:rPr>
      </w:pPr>
    </w:p>
    <w:p w14:paraId="368BAD9E" w14:textId="77777777" w:rsidR="000821CE" w:rsidRPr="000821CE" w:rsidRDefault="000821CE" w:rsidP="000821CE">
      <w:pPr>
        <w:spacing w:after="60" w:line="240" w:lineRule="auto"/>
        <w:ind w:left="360"/>
        <w:rPr>
          <w:i/>
        </w:rPr>
      </w:pPr>
      <w:bookmarkStart w:id="332" w:name="findings"/>
      <w:bookmarkEnd w:id="332"/>
      <w:r>
        <w:t>To approve research involving prisoners, along with determining that the regulatory criteria for approval are satisfied for non-prisoner participants, the IRB must make all of the following additional findings:</w:t>
      </w:r>
    </w:p>
    <w:p w14:paraId="27905E4B"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 xml:space="preserve">The research represents one of the </w:t>
      </w:r>
      <w:bookmarkStart w:id="333" w:name="_Hlt87449152"/>
      <w:r>
        <w:t>permissible categories</w:t>
      </w:r>
      <w:bookmarkEnd w:id="333"/>
      <w:r>
        <w:t xml:space="preserve"> (</w:t>
      </w:r>
      <w:hyperlink w:anchor="categories" w:history="1">
        <w:r>
          <w:rPr>
            <w:color w:val="0000FF"/>
            <w:u w:val="single"/>
          </w:rPr>
          <w:t>described above</w:t>
        </w:r>
      </w:hyperlink>
      <w:r>
        <w:t>).</w:t>
      </w:r>
    </w:p>
    <w:p w14:paraId="687E1931"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Any possible advantages to the prisoner as a result of his/her participation in the research, when compared to the general living conditions, medical care, quality of food, amenities, and opportunity for earnings in the prison, are not of such a magnitude that his/her ability to weigh the risks of the research against such advantages in the “limited-choice” prison environment is impaired.</w:t>
      </w:r>
    </w:p>
    <w:p w14:paraId="4899649C"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The risks involved in the research are commensurate with risks that would be accepted by non-prisoner participants.</w:t>
      </w:r>
    </w:p>
    <w:p w14:paraId="3FB59F85"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0" w:line="240" w:lineRule="auto"/>
      </w:pPr>
      <w:r>
        <w:t>Procedures for the selection of subjects within the prison are fair to all prisoners and free from arbitrary intervention by prison authorities or prisoners.</w:t>
      </w:r>
    </w:p>
    <w:p w14:paraId="35B58BE8" w14:textId="77777777" w:rsidR="000821CE" w:rsidRPr="000821CE" w:rsidRDefault="000821CE" w:rsidP="00A07209">
      <w:pPr>
        <w:widowControl w:val="0"/>
        <w:numPr>
          <w:ilvl w:val="3"/>
          <w:numId w:val="296"/>
        </w:numPr>
        <w:tabs>
          <w:tab w:val="left" w:pos="220"/>
          <w:tab w:val="left" w:pos="720"/>
        </w:tabs>
        <w:autoSpaceDE w:val="0"/>
        <w:autoSpaceDN w:val="0"/>
        <w:adjustRightInd w:val="0"/>
        <w:spacing w:after="60" w:line="240" w:lineRule="auto"/>
        <w:ind w:left="1800"/>
      </w:pPr>
      <w:r>
        <w:t>Unless the investigator provides the IRB with written justification for following some other procedures, control subjects must be selected randomly from the group of available prisoners that meet the characteristics needed for that particular research.</w:t>
      </w:r>
    </w:p>
    <w:p w14:paraId="10C50DEA"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The information is presented in language that is understandable to the participant population.</w:t>
      </w:r>
    </w:p>
    <w:p w14:paraId="72B37A2F" w14:textId="77777777" w:rsidR="000821CE" w:rsidRPr="000821CE" w:rsidRDefault="000821CE" w:rsidP="00A07209">
      <w:pPr>
        <w:widowControl w:val="0"/>
        <w:numPr>
          <w:ilvl w:val="0"/>
          <w:numId w:val="289"/>
        </w:numPr>
        <w:tabs>
          <w:tab w:val="left" w:pos="220"/>
          <w:tab w:val="left" w:pos="720"/>
        </w:tabs>
        <w:autoSpaceDE w:val="0"/>
        <w:autoSpaceDN w:val="0"/>
        <w:adjustRightInd w:val="0"/>
        <w:spacing w:after="60" w:line="240" w:lineRule="auto"/>
      </w:pPr>
      <w:r>
        <w:t>Adequate assurance exists that parole boards will not take into account a prisoner's participation in the research in making decisions regarding parole, and each prisoner is clearly informed in advance that participation in the research will have no effect on his/her parole.</w:t>
      </w:r>
    </w:p>
    <w:p w14:paraId="6A635568" w14:textId="77777777" w:rsidR="000821CE" w:rsidRPr="000821CE" w:rsidRDefault="000821CE" w:rsidP="00A07209">
      <w:pPr>
        <w:numPr>
          <w:ilvl w:val="0"/>
          <w:numId w:val="289"/>
        </w:numPr>
        <w:spacing w:after="0" w:line="240" w:lineRule="auto"/>
      </w:pPr>
      <w:r>
        <w:t>Where the IRB finds there may be a need for follow-up exams or care of subjects at the end of their participation, adequate provision has been made for this examination or care, taking into account the varying lengths of individual prisoners' sentences, and for informing subjects of this fact.</w:t>
      </w:r>
    </w:p>
    <w:p w14:paraId="7FD06C31" w14:textId="77777777" w:rsidR="000821CE" w:rsidRPr="000821CE" w:rsidRDefault="000821CE" w:rsidP="000821CE">
      <w:pPr>
        <w:spacing w:after="0" w:line="240" w:lineRule="auto"/>
      </w:pPr>
    </w:p>
    <w:p w14:paraId="79D385D7" w14:textId="77777777" w:rsidR="000821CE" w:rsidRPr="000821CE" w:rsidRDefault="000821CE" w:rsidP="00A07209">
      <w:pPr>
        <w:numPr>
          <w:ilvl w:val="0"/>
          <w:numId w:val="287"/>
        </w:numPr>
        <w:tabs>
          <w:tab w:val="num" w:pos="360"/>
        </w:tabs>
        <w:spacing w:after="0" w:line="240" w:lineRule="auto"/>
        <w:ind w:left="360"/>
        <w:rPr>
          <w:b/>
        </w:rPr>
      </w:pPr>
      <w:r>
        <w:rPr>
          <w:b/>
        </w:rPr>
        <w:t>Documentation and Certification</w:t>
      </w:r>
    </w:p>
    <w:p w14:paraId="42C274A1" w14:textId="77777777" w:rsidR="000821CE" w:rsidRPr="000821CE" w:rsidRDefault="000821CE" w:rsidP="000821CE">
      <w:pPr>
        <w:spacing w:after="0" w:line="240" w:lineRule="auto"/>
      </w:pPr>
    </w:p>
    <w:p w14:paraId="39011124" w14:textId="77777777" w:rsidR="000821CE" w:rsidRPr="000821CE" w:rsidRDefault="000821CE" w:rsidP="00A07209">
      <w:pPr>
        <w:numPr>
          <w:ilvl w:val="0"/>
          <w:numId w:val="290"/>
        </w:numPr>
        <w:spacing w:after="0" w:line="240" w:lineRule="auto"/>
      </w:pPr>
      <w:r>
        <w:t xml:space="preserve">University IRBs that review prisoner research may be registered with OHRP by identifying the voting member(s) serving as a prisoner representative on the roster and stipulating that the prisoner representative will only count </w:t>
      </w:r>
      <w:r>
        <w:lastRenderedPageBreak/>
        <w:t>toward quorum when he/she is in attendance and reviewing research involving prisoners. Alternatively, a prisoner representative may be named as an alternate IRB member as described by HRPP policy [</w:t>
      </w:r>
      <w:hyperlink r:id="rId270" w:history="1">
        <w:r>
          <w:rPr>
            <w:color w:val="0000FF"/>
            <w:u w:val="single"/>
          </w:rPr>
          <w:t>IRB Composition and IRB Member Roles and Responsibilities</w:t>
        </w:r>
      </w:hyperlink>
      <w:r>
        <w:t>].</w:t>
      </w:r>
    </w:p>
    <w:p w14:paraId="78FB64F2" w14:textId="77777777" w:rsidR="000821CE" w:rsidRPr="000821CE" w:rsidRDefault="000821CE" w:rsidP="000821CE">
      <w:pPr>
        <w:spacing w:after="0" w:line="240" w:lineRule="auto"/>
        <w:ind w:left="720"/>
      </w:pPr>
    </w:p>
    <w:p w14:paraId="5F5C9412" w14:textId="77777777" w:rsidR="000821CE" w:rsidRPr="000821CE" w:rsidRDefault="000821CE" w:rsidP="00A07209">
      <w:pPr>
        <w:numPr>
          <w:ilvl w:val="0"/>
          <w:numId w:val="290"/>
        </w:numPr>
        <w:spacing w:after="0" w:line="240" w:lineRule="auto"/>
      </w:pPr>
      <w:r>
        <w:t>Protocol-specific findings related to the additional protections required for research involving prisoners will be documented in the IRB meeting minutes (or IRB records for expedited review).</w:t>
      </w:r>
    </w:p>
    <w:p w14:paraId="7DA94FA0" w14:textId="77777777" w:rsidR="000821CE" w:rsidRPr="000821CE" w:rsidRDefault="000821CE" w:rsidP="000821CE">
      <w:pPr>
        <w:spacing w:after="0" w:line="240" w:lineRule="auto"/>
      </w:pPr>
    </w:p>
    <w:p w14:paraId="6360AC34" w14:textId="77777777" w:rsidR="000821CE" w:rsidRPr="000821CE" w:rsidRDefault="000821CE" w:rsidP="00A07209">
      <w:pPr>
        <w:numPr>
          <w:ilvl w:val="0"/>
          <w:numId w:val="290"/>
        </w:numPr>
        <w:spacing w:after="60" w:line="240" w:lineRule="auto"/>
        <w:rPr>
          <w:b/>
          <w:bCs/>
          <w:color w:val="000000"/>
        </w:rPr>
      </w:pPr>
      <w:r>
        <w:rPr>
          <w:bCs/>
          <w:color w:val="000000"/>
        </w:rPr>
        <w:t>For prisoner research conducted or supported by DHHS, certification that the IRB reviewed the research and made the findings required by the regulations must be provided to the Secretary (DHHS) through the Office for Human Research Protections (OHRP). Upon IRB approval, Office of Responsible Research Practices’ staff will forward the certification request to OHRP. The following information should be included:</w:t>
      </w:r>
    </w:p>
    <w:p w14:paraId="0EBB2321" w14:textId="77777777" w:rsidR="000821CE" w:rsidRPr="000821CE" w:rsidRDefault="000821CE" w:rsidP="00A07209">
      <w:pPr>
        <w:numPr>
          <w:ilvl w:val="3"/>
          <w:numId w:val="296"/>
        </w:numPr>
        <w:spacing w:after="60" w:line="240" w:lineRule="auto"/>
        <w:ind w:left="1440"/>
        <w:rPr>
          <w:bCs/>
          <w:color w:val="000000"/>
        </w:rPr>
      </w:pPr>
      <w:r>
        <w:rPr>
          <w:bCs/>
          <w:color w:val="000000"/>
        </w:rPr>
        <w:t>OHRP Federal-wide Assurance (FWA) number</w:t>
      </w:r>
    </w:p>
    <w:p w14:paraId="3C3F7378" w14:textId="77777777" w:rsidR="000821CE" w:rsidRPr="000821CE" w:rsidRDefault="000821CE" w:rsidP="00A07209">
      <w:pPr>
        <w:numPr>
          <w:ilvl w:val="3"/>
          <w:numId w:val="296"/>
        </w:numPr>
        <w:spacing w:after="60" w:line="240" w:lineRule="auto"/>
        <w:ind w:left="1440"/>
        <w:rPr>
          <w:bCs/>
          <w:color w:val="000000"/>
        </w:rPr>
      </w:pPr>
      <w:r>
        <w:rPr>
          <w:bCs/>
          <w:color w:val="000000"/>
        </w:rPr>
        <w:t>IRB registration number</w:t>
      </w:r>
    </w:p>
    <w:p w14:paraId="693D8B32" w14:textId="77777777" w:rsidR="000821CE" w:rsidRPr="000821CE" w:rsidRDefault="000821CE" w:rsidP="00A07209">
      <w:pPr>
        <w:numPr>
          <w:ilvl w:val="3"/>
          <w:numId w:val="296"/>
        </w:numPr>
        <w:spacing w:after="0" w:line="240" w:lineRule="auto"/>
        <w:ind w:left="1440"/>
        <w:rPr>
          <w:bCs/>
          <w:color w:val="000000"/>
        </w:rPr>
      </w:pPr>
      <w:r>
        <w:rPr>
          <w:bCs/>
          <w:color w:val="000000"/>
        </w:rPr>
        <w:t>Date(s) of IRB review</w:t>
      </w:r>
    </w:p>
    <w:p w14:paraId="7911FDBD" w14:textId="77777777" w:rsidR="000821CE" w:rsidRPr="000821CE" w:rsidRDefault="000821CE" w:rsidP="00A07209">
      <w:pPr>
        <w:numPr>
          <w:ilvl w:val="3"/>
          <w:numId w:val="452"/>
        </w:numPr>
        <w:spacing w:after="60" w:line="240" w:lineRule="auto"/>
        <w:rPr>
          <w:bCs/>
          <w:color w:val="000000"/>
        </w:rPr>
      </w:pPr>
      <w:r>
        <w:rPr>
          <w:bCs/>
          <w:color w:val="000000"/>
        </w:rPr>
        <w:t>Date of initial review and date of review for prisoner involvement, if not performed at the time of initial review</w:t>
      </w:r>
    </w:p>
    <w:p w14:paraId="4240302D" w14:textId="77777777" w:rsidR="000821CE" w:rsidRPr="000821CE" w:rsidRDefault="000821CE" w:rsidP="00A07209">
      <w:pPr>
        <w:numPr>
          <w:ilvl w:val="3"/>
          <w:numId w:val="296"/>
        </w:numPr>
        <w:spacing w:after="60" w:line="240" w:lineRule="auto"/>
        <w:ind w:left="1440"/>
        <w:rPr>
          <w:b/>
          <w:bCs/>
          <w:color w:val="000000"/>
        </w:rPr>
      </w:pPr>
      <w:r>
        <w:rPr>
          <w:bCs/>
          <w:color w:val="000000"/>
        </w:rPr>
        <w:t>IRB-approved protocol</w:t>
      </w:r>
    </w:p>
    <w:p w14:paraId="3384F335" w14:textId="77777777" w:rsidR="000821CE" w:rsidRPr="000821CE" w:rsidRDefault="000821CE" w:rsidP="00A07209">
      <w:pPr>
        <w:numPr>
          <w:ilvl w:val="3"/>
          <w:numId w:val="296"/>
        </w:numPr>
        <w:spacing w:after="60" w:line="240" w:lineRule="auto"/>
        <w:ind w:left="1440"/>
        <w:rPr>
          <w:b/>
          <w:bCs/>
          <w:color w:val="000000"/>
        </w:rPr>
      </w:pPr>
      <w:r>
        <w:rPr>
          <w:bCs/>
          <w:color w:val="000000"/>
        </w:rPr>
        <w:t>Any relevant grant application or proposal</w:t>
      </w:r>
    </w:p>
    <w:p w14:paraId="0E730F53" w14:textId="77777777" w:rsidR="000821CE" w:rsidRPr="000821CE" w:rsidRDefault="000821CE" w:rsidP="00A07209">
      <w:pPr>
        <w:numPr>
          <w:ilvl w:val="3"/>
          <w:numId w:val="296"/>
        </w:numPr>
        <w:spacing w:after="60" w:line="240" w:lineRule="auto"/>
        <w:ind w:left="1440"/>
        <w:rPr>
          <w:b/>
          <w:bCs/>
          <w:color w:val="000000"/>
        </w:rPr>
      </w:pPr>
      <w:r>
        <w:rPr>
          <w:bCs/>
          <w:color w:val="000000"/>
        </w:rPr>
        <w:t>IRB application forms</w:t>
      </w:r>
    </w:p>
    <w:p w14:paraId="6F1F992C" w14:textId="77777777" w:rsidR="000821CE" w:rsidRPr="000821CE" w:rsidRDefault="000821CE" w:rsidP="00A07209">
      <w:pPr>
        <w:numPr>
          <w:ilvl w:val="3"/>
          <w:numId w:val="296"/>
        </w:numPr>
        <w:spacing w:after="0" w:line="240" w:lineRule="auto"/>
        <w:ind w:left="1440"/>
        <w:rPr>
          <w:b/>
          <w:bCs/>
          <w:color w:val="000000"/>
        </w:rPr>
      </w:pPr>
      <w:r>
        <w:rPr>
          <w:bCs/>
          <w:color w:val="000000"/>
        </w:rPr>
        <w:t>Other information considered by the IRB during initial review</w:t>
      </w:r>
    </w:p>
    <w:p w14:paraId="2A442BC4" w14:textId="77777777" w:rsidR="000821CE" w:rsidRPr="000821CE" w:rsidRDefault="000821CE" w:rsidP="000821CE">
      <w:pPr>
        <w:spacing w:after="0" w:line="240" w:lineRule="auto"/>
        <w:rPr>
          <w:bCs/>
          <w:color w:val="000000"/>
        </w:rPr>
      </w:pPr>
    </w:p>
    <w:p w14:paraId="144FBE92" w14:textId="77777777" w:rsidR="000821CE" w:rsidRPr="000821CE" w:rsidRDefault="000821CE" w:rsidP="00A07209">
      <w:pPr>
        <w:numPr>
          <w:ilvl w:val="0"/>
          <w:numId w:val="290"/>
        </w:numPr>
        <w:spacing w:after="0" w:line="240" w:lineRule="auto"/>
        <w:rPr>
          <w:b/>
          <w:bCs/>
          <w:color w:val="000000"/>
        </w:rPr>
      </w:pPr>
      <w:r>
        <w:rPr>
          <w:bCs/>
          <w:color w:val="000000"/>
        </w:rPr>
        <w:t>Following its review of the certification request, if OHRP determines that the study involves one of the permissible categories of research, the institution will be notified by letter authorizing the involvement of prisoners in the proposed research</w:t>
      </w:r>
      <w:r>
        <w:rPr>
          <w:b/>
          <w:bCs/>
          <w:color w:val="000000"/>
        </w:rPr>
        <w:t>.</w:t>
      </w:r>
      <w:r>
        <w:rPr>
          <w:b/>
          <w:color w:val="000000"/>
          <w:szCs w:val="20"/>
        </w:rPr>
        <w:t xml:space="preserve"> </w:t>
      </w:r>
      <w:r>
        <w:t>The research may proceed only after receipt of the OHRP authorization letter.</w:t>
      </w:r>
      <w:r>
        <w:rPr>
          <w:szCs w:val="20"/>
        </w:rPr>
        <w:t xml:space="preserve"> </w:t>
      </w:r>
      <w:r>
        <w:rPr>
          <w:bCs/>
          <w:color w:val="000000"/>
        </w:rPr>
        <w:t>If multiple institutions are engaged in the same prisoner research, each institution must request certification from OHRP unless an institution relied on the review of another IRB.</w:t>
      </w:r>
    </w:p>
    <w:p w14:paraId="524E9BA3" w14:textId="77777777" w:rsidR="000821CE" w:rsidRPr="000821CE" w:rsidRDefault="000821CE" w:rsidP="000821CE">
      <w:pPr>
        <w:spacing w:after="0" w:line="240" w:lineRule="auto"/>
        <w:rPr>
          <w:bCs/>
          <w:color w:val="000000"/>
        </w:rPr>
      </w:pPr>
    </w:p>
    <w:p w14:paraId="2CB5A9B0" w14:textId="77777777" w:rsidR="000821CE" w:rsidRPr="000821CE" w:rsidRDefault="000821CE" w:rsidP="00A07209">
      <w:pPr>
        <w:numPr>
          <w:ilvl w:val="0"/>
          <w:numId w:val="290"/>
        </w:numPr>
        <w:spacing w:after="0" w:line="240" w:lineRule="auto"/>
        <w:rPr>
          <w:bCs/>
          <w:color w:val="000000"/>
        </w:rPr>
      </w:pPr>
      <w:r>
        <w:rPr>
          <w:bCs/>
          <w:color w:val="000000"/>
        </w:rPr>
        <w:t>Studies for which OHRP previously authorized prisoner involvement do not require “recertification” if amended unless the change to the research alters the applicability of the approved category of research.</w:t>
      </w:r>
    </w:p>
    <w:p w14:paraId="503B86E0" w14:textId="77777777" w:rsidR="000821CE" w:rsidRPr="000821CE" w:rsidRDefault="000821CE" w:rsidP="000821CE">
      <w:pPr>
        <w:spacing w:after="0" w:line="240" w:lineRule="auto"/>
        <w:rPr>
          <w:b/>
        </w:rPr>
      </w:pPr>
    </w:p>
    <w:p w14:paraId="16B21339" w14:textId="77777777" w:rsidR="000821CE" w:rsidRPr="000821CE" w:rsidRDefault="000821CE" w:rsidP="00A07209">
      <w:pPr>
        <w:numPr>
          <w:ilvl w:val="0"/>
          <w:numId w:val="287"/>
        </w:numPr>
        <w:tabs>
          <w:tab w:val="left" w:pos="360"/>
        </w:tabs>
        <w:spacing w:after="0" w:line="240" w:lineRule="auto"/>
        <w:ind w:hanging="1008"/>
        <w:rPr>
          <w:b/>
        </w:rPr>
      </w:pPr>
      <w:r>
        <w:rPr>
          <w:b/>
        </w:rPr>
        <w:t>When a Participant Becomes a Prisoner</w:t>
      </w:r>
    </w:p>
    <w:p w14:paraId="48982F00" w14:textId="77777777" w:rsidR="000821CE" w:rsidRPr="000821CE" w:rsidRDefault="000821CE" w:rsidP="000821CE">
      <w:pPr>
        <w:spacing w:after="0" w:line="240" w:lineRule="auto"/>
      </w:pPr>
    </w:p>
    <w:p w14:paraId="114FDCCF" w14:textId="77777777" w:rsidR="000821CE" w:rsidRPr="000821CE" w:rsidRDefault="000821CE" w:rsidP="00A07209">
      <w:pPr>
        <w:numPr>
          <w:ilvl w:val="0"/>
          <w:numId w:val="286"/>
        </w:numPr>
        <w:spacing w:after="60" w:line="240" w:lineRule="auto"/>
      </w:pPr>
      <w:r>
        <w:t xml:space="preserve">When an enrolled participant becomes a prisoner in a study that was not reviewed and approved by the IRB in accordance with the requirements for research involving prisoners </w:t>
      </w:r>
      <w:hyperlink w:anchor="findings" w:history="1">
        <w:r>
          <w:rPr>
            <w:color w:val="0000FF"/>
            <w:u w:val="single"/>
          </w:rPr>
          <w:t>listed above</w:t>
        </w:r>
      </w:hyperlink>
      <w:r>
        <w:t>:</w:t>
      </w:r>
    </w:p>
    <w:p w14:paraId="3FD6A174" w14:textId="77777777" w:rsidR="000821CE" w:rsidRPr="000821CE" w:rsidRDefault="000821CE" w:rsidP="00A07209">
      <w:pPr>
        <w:numPr>
          <w:ilvl w:val="2"/>
          <w:numId w:val="288"/>
        </w:numPr>
        <w:tabs>
          <w:tab w:val="num" w:pos="1440"/>
        </w:tabs>
        <w:spacing w:after="60" w:line="240" w:lineRule="auto"/>
        <w:ind w:left="1440"/>
      </w:pPr>
      <w:r>
        <w:t>The principal investigator must notify the IRB as described by HRPP policy [</w:t>
      </w:r>
      <w:hyperlink r:id="rId271" w:history="1">
        <w:r>
          <w:rPr>
            <w:color w:val="0000FF"/>
            <w:u w:val="single"/>
          </w:rPr>
          <w:t>Event Reporting – Unanticipated Problems Involving Risks to Subjects or Others, Adverse Events, and Other Problems</w:t>
        </w:r>
      </w:hyperlink>
      <w:r>
        <w:t>].</w:t>
      </w:r>
    </w:p>
    <w:p w14:paraId="27FCB815" w14:textId="77777777" w:rsidR="000821CE" w:rsidRPr="000821CE" w:rsidRDefault="000821CE" w:rsidP="00A07209">
      <w:pPr>
        <w:numPr>
          <w:ilvl w:val="2"/>
          <w:numId w:val="288"/>
        </w:numPr>
        <w:tabs>
          <w:tab w:val="num" w:pos="1440"/>
        </w:tabs>
        <w:spacing w:after="60" w:line="240" w:lineRule="auto"/>
        <w:ind w:left="1440"/>
      </w:pPr>
      <w:r>
        <w:t>All research activities with the now prisoner-participant must cease until the IRB can re-review the study (as applicable) to ensure that the requirements listed above have been satisfied.</w:t>
      </w:r>
    </w:p>
    <w:p w14:paraId="252EC869" w14:textId="77777777" w:rsidR="000821CE" w:rsidRPr="000821CE" w:rsidRDefault="000821CE" w:rsidP="00A07209">
      <w:pPr>
        <w:numPr>
          <w:ilvl w:val="0"/>
          <w:numId w:val="453"/>
        </w:numPr>
        <w:tabs>
          <w:tab w:val="num" w:pos="2160"/>
        </w:tabs>
        <w:spacing w:after="60" w:line="240" w:lineRule="auto"/>
      </w:pPr>
      <w:r>
        <w:t>If the participant is enrolled in a study that does not fall into one of the categories of permitted research, the participant cannot continue in the study.</w:t>
      </w:r>
    </w:p>
    <w:p w14:paraId="0ECB2243" w14:textId="77777777" w:rsidR="000821CE" w:rsidRPr="000821CE" w:rsidRDefault="000821CE" w:rsidP="00A07209">
      <w:pPr>
        <w:numPr>
          <w:ilvl w:val="0"/>
          <w:numId w:val="453"/>
        </w:numPr>
        <w:tabs>
          <w:tab w:val="num" w:pos="2160"/>
        </w:tabs>
        <w:spacing w:after="0" w:line="240" w:lineRule="auto"/>
      </w:pPr>
      <w:r>
        <w:t>In special circumstances in which the investigator asserts that it is in the best interests of the participant to remain in the study while incarcerated, the IRB chair may determine that the participant may continue to participate until the re-review requirements are completed.</w:t>
      </w:r>
    </w:p>
    <w:p w14:paraId="21EE2E12" w14:textId="77777777" w:rsidR="000821CE" w:rsidRPr="000821CE" w:rsidRDefault="000821CE" w:rsidP="000821CE">
      <w:pPr>
        <w:spacing w:after="0" w:line="240" w:lineRule="auto"/>
      </w:pPr>
    </w:p>
    <w:p w14:paraId="496A3830" w14:textId="77777777" w:rsidR="000821CE" w:rsidRPr="000821CE" w:rsidRDefault="000821CE" w:rsidP="00A07209">
      <w:pPr>
        <w:numPr>
          <w:ilvl w:val="0"/>
          <w:numId w:val="286"/>
        </w:numPr>
        <w:spacing w:after="0" w:line="240" w:lineRule="auto"/>
      </w:pPr>
      <w:r>
        <w:t xml:space="preserve">Upon receipt of notification that a previously enrolled research participant has become a prisoner and the investigator requests that the research is approved for prisoner participants, the IRB will promptly re-review the research in accordance with the review requirements. In these circumstances, some of the required findings may not be applicable (e.g., regarding the selection of participants within the prison if the participant was recruited </w:t>
      </w:r>
      <w:r>
        <w:lastRenderedPageBreak/>
        <w:t>outside of an incarcerated context). Any “non-applicable” findings should be documented along with the required findings.</w:t>
      </w:r>
    </w:p>
    <w:p w14:paraId="0AFA6681" w14:textId="77777777" w:rsidR="000821CE" w:rsidRPr="000821CE" w:rsidRDefault="000821CE" w:rsidP="000821CE">
      <w:pPr>
        <w:spacing w:after="0" w:line="240" w:lineRule="auto"/>
        <w:ind w:left="720"/>
      </w:pPr>
    </w:p>
    <w:p w14:paraId="433B06E7" w14:textId="77777777" w:rsidR="000821CE" w:rsidRPr="000821CE" w:rsidRDefault="000821CE" w:rsidP="00A07209">
      <w:pPr>
        <w:numPr>
          <w:ilvl w:val="0"/>
          <w:numId w:val="286"/>
        </w:numPr>
        <w:spacing w:after="0" w:line="240" w:lineRule="auto"/>
        <w:rPr>
          <w:bCs/>
          <w:color w:val="000000"/>
        </w:rPr>
      </w:pPr>
      <w:r>
        <w:t>If an investigator anticipates that some of the participants in a proposed study population are likely to be prisoners or become prisoners during the course of the study, the IRB may review the research prospectively for prisoner involvement. In this case, some of the required findings may not apply. The IRB should use discretion in deciding whether sufficient information is available at the time of review to make the required findings or to wait until more specific information is available (e.g., the specific institution where participants will be prisoners may be needed to evaluate the local research context).</w:t>
      </w:r>
    </w:p>
    <w:p w14:paraId="4A84B3EB" w14:textId="77777777" w:rsidR="000821CE" w:rsidRPr="000821CE" w:rsidRDefault="000821CE" w:rsidP="000821CE">
      <w:pPr>
        <w:spacing w:after="0" w:line="240" w:lineRule="auto"/>
        <w:rPr>
          <w:bCs/>
          <w:color w:val="000000"/>
        </w:rPr>
      </w:pPr>
    </w:p>
    <w:p w14:paraId="5FF71CB4" w14:textId="77777777" w:rsidR="000821CE" w:rsidRPr="000821CE" w:rsidRDefault="000821CE" w:rsidP="00A07209">
      <w:pPr>
        <w:numPr>
          <w:ilvl w:val="0"/>
          <w:numId w:val="298"/>
        </w:numPr>
        <w:tabs>
          <w:tab w:val="left" w:pos="360"/>
          <w:tab w:val="num" w:pos="450"/>
        </w:tabs>
        <w:spacing w:after="0" w:line="240" w:lineRule="auto"/>
        <w:ind w:left="360"/>
      </w:pPr>
      <w:r>
        <w:rPr>
          <w:b/>
        </w:rPr>
        <w:t>Applicable Regulations/Guidance</w:t>
      </w:r>
    </w:p>
    <w:p w14:paraId="26151988" w14:textId="77777777" w:rsidR="000821CE" w:rsidRPr="000821CE" w:rsidRDefault="000821CE" w:rsidP="000821CE">
      <w:pPr>
        <w:spacing w:after="0" w:line="240" w:lineRule="auto"/>
        <w:ind w:left="360"/>
      </w:pPr>
    </w:p>
    <w:p w14:paraId="12813EB7" w14:textId="77777777" w:rsidR="000821CE" w:rsidRPr="000821CE" w:rsidRDefault="000821CE" w:rsidP="000821CE">
      <w:pPr>
        <w:spacing w:after="0" w:line="240" w:lineRule="auto"/>
        <w:ind w:left="360"/>
      </w:pPr>
      <w:r>
        <w:t>Pre-2018 and Final Rule (45 CFR 46.303, 45 CFR 46.305, 45 CFR 46.306), OHRP “Guidance on the Involvement of Prisoners in Research” (05/23/03), OHRP Prisoner Frequently Asked Questions (10/02/08)</w:t>
      </w:r>
    </w:p>
    <w:p w14:paraId="034FB0D3" w14:textId="77777777" w:rsidR="000821CE" w:rsidRPr="000821CE" w:rsidRDefault="000821CE" w:rsidP="000821CE">
      <w:pPr>
        <w:spacing w:after="0" w:line="240" w:lineRule="auto"/>
        <w:ind w:left="360"/>
      </w:pPr>
    </w:p>
    <w:p w14:paraId="233F46ED" w14:textId="77777777" w:rsidR="000821CE" w:rsidRPr="000821CE" w:rsidRDefault="000821CE" w:rsidP="000821CE">
      <w:pPr>
        <w:spacing w:after="0" w:line="240" w:lineRule="auto"/>
        <w:ind w:left="360"/>
      </w:pPr>
    </w:p>
    <w:p w14:paraId="4D90B563" w14:textId="77777777" w:rsidR="000821CE" w:rsidRPr="000821CE" w:rsidRDefault="000821CE" w:rsidP="00A07209">
      <w:pPr>
        <w:numPr>
          <w:ilvl w:val="0"/>
          <w:numId w:val="298"/>
        </w:numPr>
        <w:spacing w:after="0" w:line="240" w:lineRule="auto"/>
        <w:ind w:left="360"/>
        <w:rPr>
          <w:b/>
        </w:rPr>
      </w:pPr>
      <w:r>
        <w:rPr>
          <w:b/>
        </w:rPr>
        <w:t>History</w:t>
      </w:r>
    </w:p>
    <w:p w14:paraId="438B65CA" w14:textId="77777777" w:rsidR="000821CE" w:rsidRPr="000821CE" w:rsidRDefault="000821CE" w:rsidP="000821CE">
      <w:pPr>
        <w:spacing w:after="0" w:line="240" w:lineRule="auto"/>
      </w:pPr>
    </w:p>
    <w:p w14:paraId="55CCD385" w14:textId="77777777" w:rsidR="000821CE" w:rsidRPr="000821CE" w:rsidRDefault="000821CE" w:rsidP="000821CE">
      <w:pPr>
        <w:spacing w:after="0" w:line="240" w:lineRule="auto"/>
        <w:ind w:left="360"/>
      </w:pPr>
      <w:r>
        <w:t>Issued: 11/10/2008</w:t>
      </w:r>
    </w:p>
    <w:p w14:paraId="2DDB66B1" w14:textId="77777777" w:rsidR="000821CE" w:rsidRPr="000821CE" w:rsidRDefault="000821CE" w:rsidP="000821CE">
      <w:pPr>
        <w:spacing w:after="0" w:line="240" w:lineRule="auto"/>
        <w:ind w:left="360"/>
      </w:pPr>
      <w:r>
        <w:t>Revised: 04/28/2009, 05/31/2012, 11/25/2019</w:t>
      </w:r>
    </w:p>
    <w:p w14:paraId="54FF51D1" w14:textId="77777777" w:rsidR="000821CE" w:rsidRPr="000821CE" w:rsidRDefault="000821CE" w:rsidP="000821CE">
      <w:pPr>
        <w:spacing w:after="0" w:line="240" w:lineRule="auto"/>
        <w:ind w:left="360"/>
      </w:pPr>
      <w:r>
        <w:t>Edited: 09/16/2009, 09/19/2016, 04/19/2022</w:t>
      </w:r>
    </w:p>
    <w:p w14:paraId="61F29DA2" w14:textId="77777777" w:rsidR="00471B9E" w:rsidRDefault="000821CE" w:rsidP="00076836">
      <w:pPr>
        <w:pStyle w:val="Heading2"/>
      </w:pPr>
      <w:r>
        <w:tab/>
      </w:r>
    </w:p>
    <w:p w14:paraId="33964078" w14:textId="77777777" w:rsidR="00471B9E" w:rsidRDefault="00471B9E">
      <w:pPr>
        <w:rPr>
          <w:b/>
          <w:bCs/>
          <w:i/>
          <w:iCs/>
          <w:sz w:val="28"/>
          <w:szCs w:val="28"/>
        </w:rPr>
      </w:pPr>
      <w:r>
        <w:br w:type="page"/>
      </w:r>
    </w:p>
    <w:p w14:paraId="263415A9" w14:textId="77777777" w:rsidR="00DD3C1C" w:rsidRPr="00DD3C1C" w:rsidRDefault="0D1C1B03" w:rsidP="00471B9E">
      <w:pPr>
        <w:pStyle w:val="Heading2"/>
      </w:pPr>
      <w:bookmarkStart w:id="334" w:name="B22"/>
      <w:bookmarkStart w:id="335" w:name="_Toc212142219"/>
      <w:bookmarkStart w:id="336" w:name="_Toc225507759"/>
      <w:r>
        <w:lastRenderedPageBreak/>
        <w:t xml:space="preserve">Appendix B-22  </w:t>
      </w:r>
      <w:bookmarkEnd w:id="334"/>
      <w:r>
        <w:tab/>
        <w:t>Research Involving Children</w:t>
      </w:r>
      <w:bookmarkEnd w:id="335"/>
      <w:bookmarkEnd w:id="336"/>
    </w:p>
    <w:p w14:paraId="372FB49C" w14:textId="77777777" w:rsidR="00DD3C1C" w:rsidRPr="00DD3C1C" w:rsidRDefault="00DD3C1C" w:rsidP="00DD3C1C">
      <w:pPr>
        <w:spacing w:after="0" w:line="240" w:lineRule="auto"/>
        <w:rPr>
          <w:b/>
          <w:smallCaps/>
        </w:rPr>
      </w:pPr>
    </w:p>
    <w:p w14:paraId="3C3091B3" w14:textId="77777777" w:rsidR="00DD3C1C" w:rsidRPr="00DD3C1C" w:rsidRDefault="00DD3C1C" w:rsidP="00A07209">
      <w:pPr>
        <w:numPr>
          <w:ilvl w:val="0"/>
          <w:numId w:val="313"/>
        </w:numPr>
        <w:tabs>
          <w:tab w:val="left" w:pos="360"/>
        </w:tabs>
        <w:spacing w:after="0" w:line="240" w:lineRule="auto"/>
        <w:rPr>
          <w:b/>
          <w:smallCaps/>
        </w:rPr>
      </w:pPr>
      <w:r>
        <w:rPr>
          <w:b/>
        </w:rPr>
        <w:t>Overview</w:t>
      </w:r>
    </w:p>
    <w:p w14:paraId="2E524F61" w14:textId="77777777" w:rsidR="00DD3C1C" w:rsidRPr="00DD3C1C" w:rsidRDefault="00DD3C1C" w:rsidP="00DD3C1C">
      <w:pPr>
        <w:spacing w:after="0" w:line="240" w:lineRule="auto"/>
        <w:rPr>
          <w:b/>
          <w:smallCaps/>
        </w:rPr>
      </w:pPr>
    </w:p>
    <w:p w14:paraId="26BBFD6E" w14:textId="77777777" w:rsidR="00DD3C1C" w:rsidRPr="00DD3C1C" w:rsidRDefault="00DD3C1C" w:rsidP="00DD3C1C">
      <w:pPr>
        <w:tabs>
          <w:tab w:val="left" w:pos="360"/>
        </w:tabs>
        <w:spacing w:after="0" w:line="240" w:lineRule="auto"/>
        <w:ind w:left="360"/>
      </w:pPr>
      <w:r>
        <w:t>Federal regulations require additional protections for children involved in research. These requirements include, among other things, IRB review for some research activities involving children that would be exempt if the participants were adults, use of parental permission and child assent instead of informed consent for participation, and conditions for IRB approval of proposed research depending on the level of risk.</w:t>
      </w:r>
    </w:p>
    <w:p w14:paraId="14F6197D" w14:textId="77777777" w:rsidR="00DD3C1C" w:rsidRPr="00DD3C1C" w:rsidRDefault="00DD3C1C" w:rsidP="00DD3C1C">
      <w:pPr>
        <w:tabs>
          <w:tab w:val="left" w:pos="360"/>
        </w:tabs>
        <w:spacing w:after="0" w:line="240" w:lineRule="auto"/>
        <w:ind w:left="360"/>
      </w:pPr>
    </w:p>
    <w:p w14:paraId="403C908D" w14:textId="77777777" w:rsidR="00DD3C1C" w:rsidRPr="00DD3C1C" w:rsidRDefault="00DD3C1C" w:rsidP="00DD3C1C">
      <w:pPr>
        <w:tabs>
          <w:tab w:val="left" w:pos="360"/>
        </w:tabs>
        <w:spacing w:after="0" w:line="240" w:lineRule="auto"/>
        <w:ind w:left="360"/>
      </w:pPr>
      <w:r>
        <w:t>The purpose of this policy is to describe the additional protections that must be provided to children involved in research.</w:t>
      </w:r>
    </w:p>
    <w:p w14:paraId="6E823747" w14:textId="77777777" w:rsidR="00DD3C1C" w:rsidRPr="00DD3C1C" w:rsidRDefault="00DD3C1C" w:rsidP="00DD3C1C">
      <w:pPr>
        <w:spacing w:after="0" w:line="240" w:lineRule="auto"/>
        <w:rPr>
          <w:b/>
          <w:smallCaps/>
        </w:rPr>
      </w:pPr>
    </w:p>
    <w:p w14:paraId="148F98A1" w14:textId="77777777" w:rsidR="00DD3C1C" w:rsidRPr="00DD3C1C" w:rsidRDefault="00DD3C1C" w:rsidP="00A07209">
      <w:pPr>
        <w:numPr>
          <w:ilvl w:val="0"/>
          <w:numId w:val="313"/>
        </w:numPr>
        <w:tabs>
          <w:tab w:val="num" w:pos="360"/>
        </w:tabs>
        <w:spacing w:after="0" w:line="240" w:lineRule="auto"/>
        <w:rPr>
          <w:b/>
          <w:smallCaps/>
        </w:rPr>
      </w:pPr>
      <w:r>
        <w:rPr>
          <w:b/>
        </w:rPr>
        <w:t xml:space="preserve">Definitions </w:t>
      </w:r>
    </w:p>
    <w:p w14:paraId="63DF1973" w14:textId="77777777" w:rsidR="00DD3C1C" w:rsidRPr="00DD3C1C" w:rsidRDefault="00DD3C1C" w:rsidP="00DD3C1C">
      <w:pPr>
        <w:spacing w:after="0" w:line="240" w:lineRule="auto"/>
        <w:rPr>
          <w:b/>
          <w:smallCaps/>
        </w:rPr>
      </w:pPr>
    </w:p>
    <w:p w14:paraId="00E03D21" w14:textId="77777777" w:rsidR="00DD3C1C" w:rsidRPr="00DD3C1C" w:rsidRDefault="00DD3C1C" w:rsidP="00DD3C1C">
      <w:pPr>
        <w:spacing w:after="0" w:line="240" w:lineRule="auto"/>
        <w:ind w:left="360"/>
      </w:pPr>
      <w:r>
        <w:rPr>
          <w:b/>
        </w:rPr>
        <w:t xml:space="preserve">Assent: </w:t>
      </w:r>
      <w:r>
        <w:t>Agreement to participate in research expressed by an individual (e.g., a child) who cannot provide legally effective informed consent to participate on his/her own behalf.</w:t>
      </w:r>
    </w:p>
    <w:p w14:paraId="3595C121" w14:textId="77777777" w:rsidR="00DD3C1C" w:rsidRPr="00DD3C1C" w:rsidRDefault="00DD3C1C" w:rsidP="00DD3C1C">
      <w:pPr>
        <w:spacing w:after="0" w:line="240" w:lineRule="auto"/>
        <w:ind w:left="360"/>
        <w:rPr>
          <w:i/>
        </w:rPr>
      </w:pPr>
      <w:r>
        <w:rPr>
          <w:i/>
        </w:rPr>
        <w:t>Note: Failure to object does not constitute assent.</w:t>
      </w:r>
    </w:p>
    <w:p w14:paraId="4D1ED3EC" w14:textId="77777777" w:rsidR="00DD3C1C" w:rsidRPr="00DD3C1C" w:rsidRDefault="00DD3C1C" w:rsidP="00DD3C1C">
      <w:pPr>
        <w:spacing w:after="0" w:line="240" w:lineRule="auto"/>
      </w:pPr>
    </w:p>
    <w:p w14:paraId="32B4EE3C" w14:textId="77777777" w:rsidR="00DD3C1C" w:rsidRPr="00DD3C1C" w:rsidRDefault="00DD3C1C" w:rsidP="00DD3C1C">
      <w:pPr>
        <w:spacing w:after="0" w:line="240" w:lineRule="auto"/>
        <w:ind w:left="360"/>
      </w:pPr>
      <w:r>
        <w:rPr>
          <w:b/>
        </w:rPr>
        <w:t>Child/Children:</w:t>
      </w:r>
      <w:r>
        <w:rPr>
          <w:b/>
          <w:szCs w:val="20"/>
        </w:rPr>
        <w:t xml:space="preserve"> </w:t>
      </w:r>
      <w:r>
        <w:t>Person(s) who have not attained the legal age for consent to treatments or procedures involved in the research, under the applicable law of the jurisdiction in which the research will be conducted. For purposes of HRPP policy, individuals under 18 years of age are considered children in Ohio unless they meet the definition of emancipated minors.</w:t>
      </w:r>
    </w:p>
    <w:p w14:paraId="6224440B" w14:textId="77777777" w:rsidR="00DD3C1C" w:rsidRPr="00DD3C1C" w:rsidRDefault="00DD3C1C" w:rsidP="00DD3C1C">
      <w:pPr>
        <w:spacing w:after="0" w:line="240" w:lineRule="auto"/>
        <w:ind w:left="360"/>
        <w:rPr>
          <w:b/>
        </w:rPr>
      </w:pPr>
    </w:p>
    <w:p w14:paraId="24534871" w14:textId="77777777" w:rsidR="00DD3C1C" w:rsidRPr="00DD3C1C" w:rsidRDefault="00DD3C1C" w:rsidP="00DD3C1C">
      <w:pPr>
        <w:spacing w:after="60" w:line="240" w:lineRule="auto"/>
        <w:ind w:left="360"/>
      </w:pPr>
      <w:r>
        <w:rPr>
          <w:b/>
        </w:rPr>
        <w:t>Emancipated Minors:</w:t>
      </w:r>
      <w:r>
        <w:rPr>
          <w:b/>
          <w:szCs w:val="20"/>
        </w:rPr>
        <w:t xml:space="preserve"> </w:t>
      </w:r>
      <w:r>
        <w:t>For purposes of HRPP policy, the following persons under the legal age of 18, who because of their unique circumstance have the legal rights of adults, including the right to consent to treatments or procedures involved in research:</w:t>
      </w:r>
    </w:p>
    <w:p w14:paraId="2A0EE6DA" w14:textId="77777777" w:rsidR="00DD3C1C" w:rsidRPr="00DD3C1C" w:rsidRDefault="00DD3C1C" w:rsidP="00A07209">
      <w:pPr>
        <w:numPr>
          <w:ilvl w:val="0"/>
          <w:numId w:val="234"/>
        </w:numPr>
        <w:tabs>
          <w:tab w:val="num" w:pos="1080"/>
        </w:tabs>
        <w:spacing w:after="60" w:line="240" w:lineRule="auto"/>
        <w:ind w:left="1080"/>
      </w:pPr>
      <w:r>
        <w:t>Persons under the age of 18 on active duty in the military</w:t>
      </w:r>
    </w:p>
    <w:p w14:paraId="18BAFDD5" w14:textId="77777777" w:rsidR="00DD3C1C" w:rsidRPr="00DD3C1C" w:rsidRDefault="00DD3C1C" w:rsidP="00A07209">
      <w:pPr>
        <w:numPr>
          <w:ilvl w:val="0"/>
          <w:numId w:val="234"/>
        </w:numPr>
        <w:tabs>
          <w:tab w:val="num" w:pos="1080"/>
        </w:tabs>
        <w:spacing w:after="120" w:line="240" w:lineRule="auto"/>
        <w:ind w:left="1080"/>
      </w:pPr>
      <w:r>
        <w:t>Married persons under 18 years of age.</w:t>
      </w:r>
    </w:p>
    <w:p w14:paraId="58A8968A" w14:textId="77777777" w:rsidR="00DD3C1C" w:rsidRPr="00DD3C1C" w:rsidRDefault="00DD3C1C" w:rsidP="00DD3C1C">
      <w:pPr>
        <w:spacing w:after="0" w:line="240" w:lineRule="auto"/>
        <w:ind w:left="360"/>
      </w:pPr>
      <w:r>
        <w:rPr>
          <w:i/>
        </w:rPr>
        <w:t>Note: Pregnancy or childbirth outside of marriage does not emancipate a minor in Ohio.</w:t>
      </w:r>
    </w:p>
    <w:p w14:paraId="56A414E2" w14:textId="77777777" w:rsidR="00DD3C1C" w:rsidRPr="00DD3C1C" w:rsidRDefault="00DD3C1C" w:rsidP="00DD3C1C">
      <w:pPr>
        <w:spacing w:after="0" w:line="240" w:lineRule="auto"/>
      </w:pPr>
    </w:p>
    <w:p w14:paraId="6FC1F964" w14:textId="77777777" w:rsidR="00DD3C1C" w:rsidRPr="00DD3C1C" w:rsidRDefault="00DD3C1C" w:rsidP="00DD3C1C">
      <w:pPr>
        <w:spacing w:after="0" w:line="240" w:lineRule="auto"/>
        <w:ind w:left="360"/>
        <w:rPr>
          <w:i/>
        </w:rPr>
      </w:pPr>
      <w:r>
        <w:rPr>
          <w:b/>
        </w:rPr>
        <w:t>Guardian:</w:t>
      </w:r>
      <w:r>
        <w:rPr>
          <w:b/>
          <w:szCs w:val="20"/>
        </w:rPr>
        <w:t xml:space="preserve"> </w:t>
      </w:r>
      <w:r>
        <w:t xml:space="preserve">An individual who is authorized under applicable state or local law to consent on behalf of a child to general medical care. In Ohio, a guardian may be a grandparent, other family member, or other person, association, or agency other than the biological or adoptive parents who has been formally appointed as a guardian or legal representative by a court to care for a child, including to consent on behalf of a child to general medical care. </w:t>
      </w:r>
      <w:r>
        <w:rPr>
          <w:i/>
        </w:rPr>
        <w:t>Note: Grandparents or other family members who are not formally appointed as guardians or legal representatives by a court generally do not have the authority to provide consent on behalf of a child without consent by the child’s parents.</w:t>
      </w:r>
    </w:p>
    <w:p w14:paraId="7F89629E" w14:textId="77777777" w:rsidR="00DD3C1C" w:rsidRPr="00DD3C1C" w:rsidRDefault="00DD3C1C" w:rsidP="00DD3C1C">
      <w:pPr>
        <w:spacing w:after="0" w:line="240" w:lineRule="auto"/>
      </w:pPr>
    </w:p>
    <w:p w14:paraId="549939D0" w14:textId="77777777" w:rsidR="00DD3C1C" w:rsidRPr="00DD3C1C" w:rsidRDefault="00DD3C1C" w:rsidP="00DD3C1C">
      <w:pPr>
        <w:spacing w:after="0" w:line="240" w:lineRule="auto"/>
        <w:ind w:left="360"/>
      </w:pPr>
      <w:r>
        <w:rPr>
          <w:b/>
        </w:rPr>
        <w:t xml:space="preserve">Parent: </w:t>
      </w:r>
      <w:r>
        <w:t xml:space="preserve">A child’s biological or adoptive mother or biological or adoptive father. </w:t>
      </w:r>
    </w:p>
    <w:p w14:paraId="154BC87E" w14:textId="77777777" w:rsidR="00DD3C1C" w:rsidRPr="00DD3C1C" w:rsidRDefault="00DD3C1C" w:rsidP="00DD3C1C">
      <w:pPr>
        <w:spacing w:after="0" w:line="240" w:lineRule="auto"/>
      </w:pPr>
    </w:p>
    <w:p w14:paraId="17573AC8" w14:textId="77777777" w:rsidR="00DD3C1C" w:rsidRPr="00DD3C1C" w:rsidRDefault="00DD3C1C" w:rsidP="00FF59B8">
      <w:pPr>
        <w:spacing w:after="0" w:line="240" w:lineRule="auto"/>
        <w:ind w:left="360"/>
      </w:pPr>
      <w:r>
        <w:rPr>
          <w:b/>
        </w:rPr>
        <w:t>Permission:</w:t>
      </w:r>
      <w:r>
        <w:rPr>
          <w:b/>
          <w:szCs w:val="20"/>
        </w:rPr>
        <w:t xml:space="preserve"> </w:t>
      </w:r>
      <w:r>
        <w:t>The agreement of a parent(s) or legal guardian to the participation of his/her child or ward in research.</w:t>
      </w:r>
    </w:p>
    <w:p w14:paraId="0876B631" w14:textId="77777777" w:rsidR="00DD3C1C" w:rsidRPr="00DD3C1C" w:rsidRDefault="00DD3C1C" w:rsidP="00DD3C1C">
      <w:pPr>
        <w:spacing w:after="0" w:line="240" w:lineRule="auto"/>
      </w:pPr>
    </w:p>
    <w:p w14:paraId="4D383DBB" w14:textId="77777777" w:rsidR="00DD3C1C" w:rsidRPr="00076836" w:rsidRDefault="00DD3C1C" w:rsidP="00A07209">
      <w:pPr>
        <w:pStyle w:val="ListParagraph"/>
        <w:numPr>
          <w:ilvl w:val="0"/>
          <w:numId w:val="313"/>
        </w:numPr>
        <w:spacing w:after="0" w:line="240" w:lineRule="auto"/>
        <w:rPr>
          <w:b/>
        </w:rPr>
      </w:pPr>
      <w:r>
        <w:rPr>
          <w:b/>
        </w:rPr>
        <w:t>General Information</w:t>
      </w:r>
    </w:p>
    <w:p w14:paraId="01A5172A" w14:textId="77777777" w:rsidR="00DD3C1C" w:rsidRPr="00DD3C1C" w:rsidRDefault="00DD3C1C" w:rsidP="00DD3C1C">
      <w:pPr>
        <w:spacing w:after="0" w:line="240" w:lineRule="auto"/>
        <w:rPr>
          <w:b/>
        </w:rPr>
      </w:pPr>
    </w:p>
    <w:p w14:paraId="35764CC6" w14:textId="77777777" w:rsidR="00DD3C1C" w:rsidRPr="00DD3C1C" w:rsidRDefault="00DD3C1C" w:rsidP="00A07209">
      <w:pPr>
        <w:numPr>
          <w:ilvl w:val="0"/>
          <w:numId w:val="306"/>
        </w:numPr>
        <w:spacing w:after="0" w:line="240" w:lineRule="auto"/>
        <w:ind w:left="1080"/>
      </w:pPr>
      <w:r>
        <w:t>To approve research involving children, the IRB must determine that the proposed research provides the special protections for children specified by federal regulations and this policy, in addition to meeting the criteria for approval of all human subjects research described by HRPP policy [</w:t>
      </w:r>
      <w:hyperlink r:id="rId272" w:history="1">
        <w:r>
          <w:rPr>
            <w:color w:val="0000FF"/>
            <w:u w:val="single"/>
          </w:rPr>
          <w:t>Review of Research by the Convened IRB</w:t>
        </w:r>
      </w:hyperlink>
      <w:r>
        <w:t>].</w:t>
      </w:r>
    </w:p>
    <w:p w14:paraId="166C0959" w14:textId="77777777" w:rsidR="00DD3C1C" w:rsidRPr="00DD3C1C" w:rsidRDefault="00DD3C1C" w:rsidP="00076836">
      <w:pPr>
        <w:spacing w:after="0" w:line="240" w:lineRule="auto"/>
      </w:pPr>
    </w:p>
    <w:p w14:paraId="49AF49DD" w14:textId="77777777" w:rsidR="00DD3C1C" w:rsidRPr="00DD3C1C" w:rsidRDefault="00DD3C1C" w:rsidP="00A07209">
      <w:pPr>
        <w:widowControl w:val="0"/>
        <w:numPr>
          <w:ilvl w:val="0"/>
          <w:numId w:val="306"/>
        </w:numPr>
        <w:autoSpaceDE w:val="0"/>
        <w:autoSpaceDN w:val="0"/>
        <w:adjustRightInd w:val="0"/>
        <w:spacing w:after="0" w:line="240" w:lineRule="auto"/>
        <w:ind w:left="1080"/>
      </w:pPr>
      <w:r>
        <w:t xml:space="preserve">One or both parents (or a guardian) must provide and document permission for a child to participate in </w:t>
      </w:r>
      <w:r>
        <w:lastRenderedPageBreak/>
        <w:t>research, unless these requirements are waived by the IRB. In most cases, children capable of assent must also express their willingness to participate. For more information on the requirements for permission of parents (or guardians) and assent of children, see HRPP policy [</w:t>
      </w:r>
      <w:hyperlink r:id="rId273" w:history="1">
        <w:r>
          <w:rPr>
            <w:color w:val="0000FF"/>
            <w:u w:val="single"/>
          </w:rPr>
          <w:t>Assent and Parental Permission</w:t>
        </w:r>
      </w:hyperlink>
      <w:r>
        <w:t>].</w:t>
      </w:r>
    </w:p>
    <w:p w14:paraId="64B17568" w14:textId="77777777" w:rsidR="00DD3C1C" w:rsidRPr="00DD3C1C" w:rsidRDefault="00DD3C1C" w:rsidP="00DD3C1C">
      <w:pPr>
        <w:widowControl w:val="0"/>
        <w:autoSpaceDE w:val="0"/>
        <w:autoSpaceDN w:val="0"/>
        <w:adjustRightInd w:val="0"/>
        <w:spacing w:after="0" w:line="240" w:lineRule="auto"/>
      </w:pPr>
    </w:p>
    <w:p w14:paraId="06F1F39F" w14:textId="77777777" w:rsidR="00DD3C1C" w:rsidRPr="00DD3C1C" w:rsidRDefault="00DD3C1C" w:rsidP="00A07209">
      <w:pPr>
        <w:widowControl w:val="0"/>
        <w:numPr>
          <w:ilvl w:val="0"/>
          <w:numId w:val="306"/>
        </w:numPr>
        <w:autoSpaceDE w:val="0"/>
        <w:autoSpaceDN w:val="0"/>
        <w:adjustRightInd w:val="0"/>
        <w:spacing w:after="0" w:line="240" w:lineRule="auto"/>
        <w:ind w:left="1080"/>
      </w:pPr>
      <w:r>
        <w:t>The exemption in DHHS regulations for research involving survey or interview procedures or observation of public behavior (Category 2) does not apply to research with children, except for research involving educational tests or observations of public behavior when the investigator does not participate in the activities being observed. For more information on exempt research, see HRPP policy [</w:t>
      </w:r>
      <w:hyperlink r:id="rId274" w:history="1">
        <w:r>
          <w:rPr>
            <w:color w:val="0000FF"/>
            <w:u w:val="single"/>
          </w:rPr>
          <w:t>Exempt Research</w:t>
        </w:r>
      </w:hyperlink>
      <w:r>
        <w:t>].</w:t>
      </w:r>
    </w:p>
    <w:p w14:paraId="0B1BD044" w14:textId="77777777" w:rsidR="00DD3C1C" w:rsidRPr="00DD3C1C" w:rsidRDefault="00DD3C1C" w:rsidP="00DD3C1C">
      <w:pPr>
        <w:widowControl w:val="0"/>
        <w:autoSpaceDE w:val="0"/>
        <w:autoSpaceDN w:val="0"/>
        <w:adjustRightInd w:val="0"/>
        <w:spacing w:after="0" w:line="240" w:lineRule="auto"/>
      </w:pPr>
    </w:p>
    <w:p w14:paraId="45116857" w14:textId="77777777" w:rsidR="00DD3C1C" w:rsidRPr="00DD3C1C" w:rsidRDefault="00DD3C1C" w:rsidP="00A07209">
      <w:pPr>
        <w:widowControl w:val="0"/>
        <w:numPr>
          <w:ilvl w:val="0"/>
          <w:numId w:val="306"/>
        </w:numPr>
        <w:autoSpaceDE w:val="0"/>
        <w:autoSpaceDN w:val="0"/>
        <w:adjustRightInd w:val="0"/>
        <w:spacing w:after="0" w:line="240" w:lineRule="auto"/>
        <w:ind w:left="1080"/>
      </w:pPr>
      <w:r>
        <w:t>If the research involves incarcerated and/or pregnant children, the requirements for research involving prisoners and/or pregnant women, respectively, must be met in addition to the requirements for research involving children. For more information, see HRPP policies [</w:t>
      </w:r>
      <w:hyperlink r:id="rId275" w:history="1">
        <w:r>
          <w:rPr>
            <w:color w:val="0000FF"/>
            <w:u w:val="single"/>
          </w:rPr>
          <w:t>Research Involving Prisoners</w:t>
        </w:r>
      </w:hyperlink>
      <w:r>
        <w:t>] and [</w:t>
      </w:r>
      <w:hyperlink r:id="rId276" w:history="1">
        <w:r>
          <w:rPr>
            <w:color w:val="0000FF"/>
            <w:u w:val="single"/>
          </w:rPr>
          <w:t>Research Involving Pregnant Women, Fetuses, or Neonates</w:t>
        </w:r>
      </w:hyperlink>
      <w:r>
        <w:t>].</w:t>
      </w:r>
    </w:p>
    <w:p w14:paraId="47DCAED1" w14:textId="77777777" w:rsidR="00DD3C1C" w:rsidRPr="00DD3C1C" w:rsidRDefault="00DD3C1C" w:rsidP="00076836">
      <w:pPr>
        <w:widowControl w:val="0"/>
        <w:autoSpaceDE w:val="0"/>
        <w:autoSpaceDN w:val="0"/>
        <w:adjustRightInd w:val="0"/>
        <w:spacing w:after="0" w:line="240" w:lineRule="auto"/>
      </w:pPr>
    </w:p>
    <w:p w14:paraId="782B6043" w14:textId="77777777" w:rsidR="00DD3C1C" w:rsidRPr="00DD3C1C" w:rsidRDefault="00DD3C1C" w:rsidP="00A07209">
      <w:pPr>
        <w:widowControl w:val="0"/>
        <w:numPr>
          <w:ilvl w:val="0"/>
          <w:numId w:val="306"/>
        </w:numPr>
        <w:autoSpaceDE w:val="0"/>
        <w:autoSpaceDN w:val="0"/>
        <w:adjustRightInd w:val="0"/>
        <w:spacing w:after="0" w:line="240" w:lineRule="auto"/>
        <w:ind w:left="1080"/>
      </w:pPr>
      <w:r>
        <w:t>When a child who was enrolled in research with parental or guardian permission reaches the legal age of consent, he/she must provide informed consent (unless waived) to continue study participation. For more information, see HRPP policy [</w:t>
      </w:r>
      <w:hyperlink r:id="rId277" w:history="1">
        <w:r>
          <w:rPr>
            <w:color w:val="0000FF"/>
            <w:u w:val="single"/>
          </w:rPr>
          <w:t>Assent and Parental Permission</w:t>
        </w:r>
      </w:hyperlink>
      <w:r>
        <w:t>].</w:t>
      </w:r>
    </w:p>
    <w:p w14:paraId="3318F076" w14:textId="77777777" w:rsidR="00DD3C1C" w:rsidRPr="00DD3C1C" w:rsidRDefault="00DD3C1C" w:rsidP="00076836">
      <w:pPr>
        <w:widowControl w:val="0"/>
        <w:autoSpaceDE w:val="0"/>
        <w:autoSpaceDN w:val="0"/>
        <w:adjustRightInd w:val="0"/>
        <w:spacing w:after="0" w:line="240" w:lineRule="auto"/>
      </w:pPr>
    </w:p>
    <w:p w14:paraId="5ECDBE19" w14:textId="77777777" w:rsidR="00DD3C1C" w:rsidRPr="00DD3C1C" w:rsidRDefault="00DD3C1C" w:rsidP="00A07209">
      <w:pPr>
        <w:widowControl w:val="0"/>
        <w:numPr>
          <w:ilvl w:val="0"/>
          <w:numId w:val="306"/>
        </w:numPr>
        <w:autoSpaceDE w:val="0"/>
        <w:autoSpaceDN w:val="0"/>
        <w:adjustRightInd w:val="0"/>
        <w:spacing w:after="0" w:line="240" w:lineRule="auto"/>
        <w:ind w:left="1080"/>
      </w:pPr>
      <w:r>
        <w:t xml:space="preserve">In certain situations, children under 18 years of age may legally provide informed consent for some or all of the activities involved in research (e.g., to </w:t>
      </w:r>
      <w:r>
        <w:rPr>
          <w:bCs/>
          <w:color w:val="000000"/>
        </w:rPr>
        <w:t>release information from education records). For more information on special circumstances involving assent and parental permission, see HRPP policy [</w:t>
      </w:r>
      <w:hyperlink r:id="rId278" w:history="1">
        <w:r>
          <w:rPr>
            <w:bCs/>
            <w:color w:val="0000FF"/>
            <w:u w:val="single"/>
          </w:rPr>
          <w:t>Assent and Parental Permission</w:t>
        </w:r>
      </w:hyperlink>
      <w:r>
        <w:rPr>
          <w:bCs/>
          <w:color w:val="000000"/>
        </w:rPr>
        <w:t>].</w:t>
      </w:r>
    </w:p>
    <w:p w14:paraId="1602C01E" w14:textId="77777777" w:rsidR="00DD3C1C" w:rsidRPr="00DD3C1C" w:rsidRDefault="00DD3C1C" w:rsidP="00DD3C1C">
      <w:pPr>
        <w:spacing w:after="0" w:line="240" w:lineRule="auto"/>
        <w:rPr>
          <w:b/>
        </w:rPr>
      </w:pPr>
    </w:p>
    <w:p w14:paraId="0290FC1E" w14:textId="77777777" w:rsidR="00DD3C1C" w:rsidRPr="00076836" w:rsidRDefault="00DD3C1C" w:rsidP="00A07209">
      <w:pPr>
        <w:pStyle w:val="ListParagraph"/>
        <w:numPr>
          <w:ilvl w:val="0"/>
          <w:numId w:val="313"/>
        </w:numPr>
        <w:spacing w:after="0" w:line="240" w:lineRule="auto"/>
        <w:rPr>
          <w:b/>
        </w:rPr>
      </w:pPr>
      <w:r>
        <w:rPr>
          <w:b/>
        </w:rPr>
        <w:t>Permissible Categories of Research</w:t>
      </w:r>
    </w:p>
    <w:p w14:paraId="0F24CDBD" w14:textId="77777777" w:rsidR="00DD3C1C" w:rsidRPr="00DD3C1C" w:rsidRDefault="00DD3C1C" w:rsidP="00DD3C1C">
      <w:pPr>
        <w:spacing w:after="0" w:line="240" w:lineRule="auto"/>
        <w:rPr>
          <w:i/>
        </w:rPr>
      </w:pPr>
    </w:p>
    <w:p w14:paraId="11F5800A" w14:textId="77777777" w:rsidR="00FF59B8" w:rsidRDefault="00DD3C1C" w:rsidP="00A07209">
      <w:pPr>
        <w:pStyle w:val="ListParagraph"/>
        <w:numPr>
          <w:ilvl w:val="0"/>
          <w:numId w:val="308"/>
        </w:numPr>
        <w:spacing w:after="0" w:line="240" w:lineRule="auto"/>
      </w:pPr>
      <w:r>
        <w:t>Three categories of research involving children may be approved by the IRB. These categories differ according to the level of risk involved, prospect of direct benefit to participants, and anticipated research findings. For all categories, the proposed research must satisfy the requirements for parental or guardian permission and child assent described by HRPP policy [</w:t>
      </w:r>
      <w:hyperlink r:id="rId279" w:history="1">
        <w:r>
          <w:rPr>
            <w:color w:val="0000FF"/>
            <w:u w:val="single"/>
          </w:rPr>
          <w:t>Assent and Parental Permission</w:t>
        </w:r>
      </w:hyperlink>
      <w:r>
        <w:t>].</w:t>
      </w:r>
    </w:p>
    <w:p w14:paraId="123DC8D7" w14:textId="77777777" w:rsidR="00DD3C1C" w:rsidRPr="00FF59B8" w:rsidRDefault="00DD3C1C" w:rsidP="00A07209">
      <w:pPr>
        <w:pStyle w:val="ListParagraph"/>
        <w:numPr>
          <w:ilvl w:val="0"/>
          <w:numId w:val="308"/>
        </w:numPr>
        <w:spacing w:after="0" w:line="240" w:lineRule="auto"/>
      </w:pPr>
      <w:r>
        <w:t>The following are the categories of research that may involve children and any additional conditions that must be met for approval:</w:t>
      </w:r>
    </w:p>
    <w:p w14:paraId="674EA556" w14:textId="77777777" w:rsidR="00DD3C1C" w:rsidRPr="00FF59B8" w:rsidRDefault="00DD3C1C" w:rsidP="00A07209">
      <w:pPr>
        <w:pStyle w:val="ListParagraph"/>
        <w:numPr>
          <w:ilvl w:val="4"/>
          <w:numId w:val="313"/>
        </w:numPr>
        <w:tabs>
          <w:tab w:val="num" w:pos="1080"/>
        </w:tabs>
        <w:spacing w:after="120" w:line="240" w:lineRule="auto"/>
      </w:pPr>
      <w:r>
        <w:t>Research involving not greater than minimal risk</w:t>
      </w:r>
    </w:p>
    <w:p w14:paraId="4F29CE26" w14:textId="77777777" w:rsidR="00DD3C1C" w:rsidRPr="00DD3C1C" w:rsidRDefault="00DD3C1C" w:rsidP="00A07209">
      <w:pPr>
        <w:numPr>
          <w:ilvl w:val="4"/>
          <w:numId w:val="313"/>
        </w:numPr>
        <w:tabs>
          <w:tab w:val="num" w:pos="1512"/>
        </w:tabs>
        <w:spacing w:after="0" w:line="240" w:lineRule="auto"/>
      </w:pPr>
      <w:r>
        <w:t>Research involving greater than minimal risk, but presenting the prospect of direct benefit</w:t>
      </w:r>
    </w:p>
    <w:p w14:paraId="11D675F4" w14:textId="77777777" w:rsidR="00DD3C1C" w:rsidRPr="00DD3C1C" w:rsidRDefault="00DD3C1C" w:rsidP="00A07209">
      <w:pPr>
        <w:numPr>
          <w:ilvl w:val="3"/>
          <w:numId w:val="301"/>
        </w:numPr>
        <w:tabs>
          <w:tab w:val="num" w:pos="1800"/>
        </w:tabs>
        <w:spacing w:after="0" w:line="240" w:lineRule="auto"/>
      </w:pPr>
      <w:r>
        <w:t>The risk is justified by the anticipated benefit to the child.</w:t>
      </w:r>
    </w:p>
    <w:p w14:paraId="6B77C590" w14:textId="77777777" w:rsidR="00DD3C1C" w:rsidRPr="00DD3C1C" w:rsidRDefault="00DD3C1C" w:rsidP="00A07209">
      <w:pPr>
        <w:numPr>
          <w:ilvl w:val="3"/>
          <w:numId w:val="301"/>
        </w:numPr>
        <w:tabs>
          <w:tab w:val="num" w:pos="1800"/>
        </w:tabs>
        <w:spacing w:after="120" w:line="240" w:lineRule="auto"/>
      </w:pPr>
      <w:r>
        <w:t>Comparison of the risk to the anticipated benefit is at least as favorable as that presented by available alternative approaches.</w:t>
      </w:r>
    </w:p>
    <w:p w14:paraId="6CE320CB" w14:textId="77777777" w:rsidR="00DD3C1C" w:rsidRPr="00DD3C1C" w:rsidRDefault="00DD3C1C" w:rsidP="00A07209">
      <w:pPr>
        <w:numPr>
          <w:ilvl w:val="4"/>
          <w:numId w:val="313"/>
        </w:numPr>
        <w:tabs>
          <w:tab w:val="num" w:pos="1512"/>
        </w:tabs>
        <w:spacing w:after="60" w:line="240" w:lineRule="auto"/>
      </w:pPr>
      <w:r>
        <w:t>Research involving greater than minimal risk without the prospect of direct benefit, but likely to yield generalizable knowledge about the child’s disorder or condition</w:t>
      </w:r>
    </w:p>
    <w:p w14:paraId="606DF2C5" w14:textId="77777777" w:rsidR="00DD3C1C" w:rsidRPr="00DD3C1C" w:rsidRDefault="00DD3C1C" w:rsidP="00A07209">
      <w:pPr>
        <w:numPr>
          <w:ilvl w:val="3"/>
          <w:numId w:val="302"/>
        </w:numPr>
        <w:spacing w:after="60" w:line="240" w:lineRule="auto"/>
      </w:pPr>
      <w:r>
        <w:t>The risk presents no more than a minor increase over minimal risk.</w:t>
      </w:r>
    </w:p>
    <w:p w14:paraId="7507667A" w14:textId="77777777" w:rsidR="00DD3C1C" w:rsidRPr="00DD3C1C" w:rsidRDefault="00DD3C1C" w:rsidP="00A07209">
      <w:pPr>
        <w:numPr>
          <w:ilvl w:val="3"/>
          <w:numId w:val="302"/>
        </w:numPr>
        <w:spacing w:after="60" w:line="240" w:lineRule="auto"/>
      </w:pPr>
      <w:r>
        <w:t>The research involves experiences that are reasonably equivalent to those in the child’s actual (or expected) medical, dental, psychological, social, or educational situations.</w:t>
      </w:r>
    </w:p>
    <w:p w14:paraId="37F33A47" w14:textId="77777777" w:rsidR="00DD3C1C" w:rsidRPr="00DD3C1C" w:rsidRDefault="00DD3C1C" w:rsidP="00A07209">
      <w:pPr>
        <w:numPr>
          <w:ilvl w:val="3"/>
          <w:numId w:val="302"/>
        </w:numPr>
        <w:spacing w:after="0" w:line="240" w:lineRule="auto"/>
      </w:pPr>
      <w:r>
        <w:t>The research is likely to yield generalizable knowledge about the child’s disorder or condition that is of critical importance for the understanding or improvement of the disorder/condition.</w:t>
      </w:r>
    </w:p>
    <w:p w14:paraId="090F7543" w14:textId="77777777" w:rsidR="00DD3C1C" w:rsidRPr="0051193F" w:rsidRDefault="00DD3C1C" w:rsidP="00A07209">
      <w:pPr>
        <w:pStyle w:val="ListParagraph"/>
        <w:widowControl w:val="0"/>
        <w:numPr>
          <w:ilvl w:val="1"/>
          <w:numId w:val="454"/>
        </w:numPr>
        <w:autoSpaceDE w:val="0"/>
        <w:autoSpaceDN w:val="0"/>
        <w:adjustRightInd w:val="0"/>
        <w:spacing w:after="0" w:line="240" w:lineRule="auto"/>
        <w:ind w:left="1152"/>
        <w:rPr>
          <w:bCs/>
        </w:rPr>
      </w:pPr>
      <w:r>
        <w:rPr>
          <w:bCs/>
        </w:rPr>
        <w:t>Research that does not fall into one of the three categories above, but presents a reasonable opportunity to further the understanding, prevention, or alleviation of a serious problem affecting the health or welfare of children requires additional review, as described below</w:t>
      </w:r>
    </w:p>
    <w:p w14:paraId="3112390C" w14:textId="77777777" w:rsidR="00DD3C1C" w:rsidRPr="00DD3C1C" w:rsidRDefault="00DD3C1C" w:rsidP="00DD3C1C">
      <w:pPr>
        <w:spacing w:after="0" w:line="240" w:lineRule="auto"/>
      </w:pPr>
    </w:p>
    <w:p w14:paraId="2323538F" w14:textId="77777777" w:rsidR="00DD3C1C" w:rsidRPr="00076836" w:rsidRDefault="00DD3C1C" w:rsidP="00A07209">
      <w:pPr>
        <w:pStyle w:val="ListParagraph"/>
        <w:numPr>
          <w:ilvl w:val="0"/>
          <w:numId w:val="454"/>
        </w:numPr>
        <w:spacing w:after="0" w:line="240" w:lineRule="auto"/>
        <w:rPr>
          <w:b/>
        </w:rPr>
      </w:pPr>
      <w:r>
        <w:rPr>
          <w:b/>
        </w:rPr>
        <w:t>Research Subject to DHHS Regulations Requiring Additional Review (“407 Review”)</w:t>
      </w:r>
    </w:p>
    <w:p w14:paraId="1D495265" w14:textId="77777777" w:rsidR="00DD3C1C" w:rsidRPr="00DD3C1C" w:rsidRDefault="00DD3C1C" w:rsidP="00DD3C1C">
      <w:pPr>
        <w:spacing w:after="0" w:line="240" w:lineRule="auto"/>
        <w:ind w:left="360"/>
        <w:rPr>
          <w:b/>
        </w:rPr>
      </w:pPr>
    </w:p>
    <w:p w14:paraId="20EA9E12" w14:textId="77777777" w:rsidR="00DD3C1C" w:rsidRPr="00DD3C1C" w:rsidRDefault="00DD3C1C" w:rsidP="00A07209">
      <w:pPr>
        <w:numPr>
          <w:ilvl w:val="0"/>
          <w:numId w:val="309"/>
        </w:numPr>
        <w:spacing w:after="60" w:line="240" w:lineRule="auto"/>
      </w:pPr>
      <w:r>
        <w:lastRenderedPageBreak/>
        <w:t xml:space="preserve">Additional requirements apply for research involving children that is conducted or supported by DHHS and that does not fall into one of the three categories of approvable research </w:t>
      </w:r>
      <w:hyperlink w:anchor="categories" w:history="1">
        <w:r>
          <w:rPr>
            <w:color w:val="0000FF"/>
            <w:u w:val="single"/>
          </w:rPr>
          <w:t>described above</w:t>
        </w:r>
      </w:hyperlink>
      <w:r>
        <w:t>. The research may be conducted only under all of the following conditions:</w:t>
      </w:r>
    </w:p>
    <w:p w14:paraId="63BEE6EA"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t>The IRB finds and documents that the research presents a reasonable opportunity to further the understanding, prevention, or alleviation of a serious problem affecting the health or welfare of children.</w:t>
      </w:r>
    </w:p>
    <w:p w14:paraId="2DAD78B3"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t xml:space="preserve">The research is reviewed by OHRP (on behalf of DHHS), in consultation with a panel of </w:t>
      </w:r>
      <w:r>
        <w:rPr>
          <w:bCs/>
        </w:rPr>
        <w:t>experts in pertinent disciplines (e.g., science, medicine, education, ethics, law, etc.) and relevant child advocates.</w:t>
      </w:r>
    </w:p>
    <w:p w14:paraId="72FC2EC2"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rPr>
          <w:bCs/>
        </w:rPr>
        <w:t>An opportunity is provided for public review and comment (including a public meeting announced in the</w:t>
      </w:r>
      <w:r>
        <w:rPr>
          <w:bCs/>
          <w:i/>
        </w:rPr>
        <w:t xml:space="preserve"> Federal Register</w:t>
      </w:r>
      <w:r>
        <w:rPr>
          <w:bCs/>
        </w:rPr>
        <w:t>).</w:t>
      </w:r>
    </w:p>
    <w:p w14:paraId="4F9AD079" w14:textId="77777777" w:rsidR="00DD3C1C" w:rsidRPr="00DD3C1C" w:rsidRDefault="00DD3C1C" w:rsidP="00A07209">
      <w:pPr>
        <w:widowControl w:val="0"/>
        <w:numPr>
          <w:ilvl w:val="0"/>
          <w:numId w:val="307"/>
        </w:numPr>
        <w:tabs>
          <w:tab w:val="num" w:pos="1440"/>
        </w:tabs>
        <w:autoSpaceDE w:val="0"/>
        <w:autoSpaceDN w:val="0"/>
        <w:adjustRightInd w:val="0"/>
        <w:spacing w:after="60" w:line="240" w:lineRule="auto"/>
        <w:ind w:left="1440"/>
      </w:pPr>
      <w:r>
        <w:rPr>
          <w:bCs/>
        </w:rPr>
        <w:t>The Assistant Secretary for Health (on behalf of the Secretary) will determine either:</w:t>
      </w:r>
    </w:p>
    <w:p w14:paraId="013C7F83" w14:textId="77777777" w:rsidR="00DD3C1C" w:rsidRPr="00DD3C1C" w:rsidRDefault="00DD3C1C" w:rsidP="00A07209">
      <w:pPr>
        <w:widowControl w:val="0"/>
        <w:numPr>
          <w:ilvl w:val="0"/>
          <w:numId w:val="455"/>
        </w:numPr>
        <w:autoSpaceDE w:val="0"/>
        <w:autoSpaceDN w:val="0"/>
        <w:adjustRightInd w:val="0"/>
        <w:spacing w:after="60" w:line="240" w:lineRule="auto"/>
      </w:pPr>
      <w:r>
        <w:rPr>
          <w:bCs/>
        </w:rPr>
        <w:t>The research satisfies the regulatory conditions for approval.</w:t>
      </w:r>
    </w:p>
    <w:p w14:paraId="08F477FF" w14:textId="77777777" w:rsidR="00DD3C1C" w:rsidRPr="00DD3C1C" w:rsidRDefault="00DD3C1C" w:rsidP="00A07209">
      <w:pPr>
        <w:widowControl w:val="0"/>
        <w:numPr>
          <w:ilvl w:val="0"/>
          <w:numId w:val="455"/>
        </w:numPr>
        <w:autoSpaceDE w:val="0"/>
        <w:autoSpaceDN w:val="0"/>
        <w:adjustRightInd w:val="0"/>
        <w:spacing w:after="0" w:line="240" w:lineRule="auto"/>
      </w:pPr>
      <w:r>
        <w:rPr>
          <w:bCs/>
        </w:rPr>
        <w:t xml:space="preserve">The research presents a reasonable opportunity to further the understanding, prevention, or alleviation of a serious problem affecting the health or welfare of children; will be conducted in accordance </w:t>
      </w:r>
      <w:r>
        <w:t>with sound ethical principles; and that adequate provisions will be made for soliciting the assent of children and the permission of their parents or guardians.</w:t>
      </w:r>
    </w:p>
    <w:p w14:paraId="25AC15FB" w14:textId="77777777" w:rsidR="00DD3C1C" w:rsidRPr="00DD3C1C" w:rsidRDefault="00DD3C1C" w:rsidP="00DD3C1C">
      <w:pPr>
        <w:widowControl w:val="0"/>
        <w:autoSpaceDE w:val="0"/>
        <w:autoSpaceDN w:val="0"/>
        <w:adjustRightInd w:val="0"/>
        <w:spacing w:after="0" w:line="240" w:lineRule="auto"/>
      </w:pPr>
    </w:p>
    <w:p w14:paraId="55D400D5" w14:textId="77777777" w:rsidR="00DD3C1C" w:rsidRPr="00DD3C1C" w:rsidRDefault="00DD3C1C" w:rsidP="00A07209">
      <w:pPr>
        <w:numPr>
          <w:ilvl w:val="0"/>
          <w:numId w:val="311"/>
        </w:numPr>
        <w:spacing w:after="60" w:line="240" w:lineRule="auto"/>
        <w:rPr>
          <w:b/>
          <w:bCs/>
          <w:color w:val="000000"/>
        </w:rPr>
      </w:pPr>
      <w:r>
        <w:rPr>
          <w:bCs/>
          <w:color w:val="000000"/>
        </w:rPr>
        <w:t>Upon IRB approval, ORRP staff will forward the “407 review request” to OHRP. The following information should be included:</w:t>
      </w:r>
    </w:p>
    <w:p w14:paraId="4130C7E1" w14:textId="77777777" w:rsidR="00DD3C1C" w:rsidRPr="00DD3C1C" w:rsidRDefault="00DD3C1C" w:rsidP="00A07209">
      <w:pPr>
        <w:numPr>
          <w:ilvl w:val="3"/>
          <w:numId w:val="296"/>
        </w:numPr>
        <w:spacing w:after="60" w:line="240" w:lineRule="auto"/>
        <w:ind w:left="1440"/>
        <w:rPr>
          <w:bCs/>
          <w:color w:val="000000"/>
        </w:rPr>
      </w:pPr>
      <w:r>
        <w:rPr>
          <w:bCs/>
          <w:color w:val="000000"/>
        </w:rPr>
        <w:t>Institution name and OHRP Federal-wide Assurance (FWA) number</w:t>
      </w:r>
    </w:p>
    <w:p w14:paraId="0770D277" w14:textId="77777777" w:rsidR="00DD3C1C" w:rsidRPr="00DD3C1C" w:rsidRDefault="00DD3C1C" w:rsidP="00A07209">
      <w:pPr>
        <w:numPr>
          <w:ilvl w:val="3"/>
          <w:numId w:val="296"/>
        </w:numPr>
        <w:spacing w:after="60" w:line="240" w:lineRule="auto"/>
        <w:ind w:left="1440"/>
        <w:rPr>
          <w:bCs/>
          <w:color w:val="000000"/>
        </w:rPr>
      </w:pPr>
      <w:r>
        <w:rPr>
          <w:bCs/>
          <w:color w:val="000000"/>
        </w:rPr>
        <w:t>IRB name and registration number</w:t>
      </w:r>
    </w:p>
    <w:p w14:paraId="0E46DCE6" w14:textId="77777777" w:rsidR="00DD3C1C" w:rsidRPr="00DD3C1C" w:rsidRDefault="00DD3C1C" w:rsidP="00A07209">
      <w:pPr>
        <w:numPr>
          <w:ilvl w:val="3"/>
          <w:numId w:val="296"/>
        </w:numPr>
        <w:spacing w:after="60" w:line="240" w:lineRule="auto"/>
        <w:ind w:left="1440"/>
        <w:rPr>
          <w:b/>
          <w:bCs/>
          <w:color w:val="000000"/>
        </w:rPr>
      </w:pPr>
      <w:r>
        <w:t>Institutional contact's name, title, telephone and fax numbers, mailing address, and email address</w:t>
      </w:r>
    </w:p>
    <w:p w14:paraId="4F9529D6" w14:textId="77777777" w:rsidR="00DD3C1C" w:rsidRPr="00DD3C1C" w:rsidRDefault="00DD3C1C" w:rsidP="00A07209">
      <w:pPr>
        <w:numPr>
          <w:ilvl w:val="3"/>
          <w:numId w:val="296"/>
        </w:numPr>
        <w:spacing w:after="60" w:line="240" w:lineRule="auto"/>
        <w:ind w:left="1440"/>
        <w:rPr>
          <w:b/>
          <w:bCs/>
          <w:color w:val="000000"/>
        </w:rPr>
      </w:pPr>
      <w:r>
        <w:t>IRB documentation that the proposed research does not meet the regulatory requirements for approval but presents a reasonable opportunity to understand, prevent, or alleviate a serious problem affecting the health or welfare of children</w:t>
      </w:r>
    </w:p>
    <w:p w14:paraId="2872DF1E" w14:textId="77777777" w:rsidR="00DD3C1C" w:rsidRPr="00DD3C1C" w:rsidRDefault="00DD3C1C" w:rsidP="00A07209">
      <w:pPr>
        <w:numPr>
          <w:ilvl w:val="3"/>
          <w:numId w:val="296"/>
        </w:numPr>
        <w:spacing w:after="60" w:line="240" w:lineRule="auto"/>
        <w:ind w:left="1440"/>
        <w:rPr>
          <w:b/>
          <w:bCs/>
          <w:color w:val="000000"/>
        </w:rPr>
      </w:pPr>
      <w:r>
        <w:t>Title of protocol and name of principal investigator</w:t>
      </w:r>
    </w:p>
    <w:p w14:paraId="59E65CB6" w14:textId="77777777" w:rsidR="00DD3C1C" w:rsidRPr="00DD3C1C" w:rsidRDefault="00DD3C1C" w:rsidP="00A07209">
      <w:pPr>
        <w:numPr>
          <w:ilvl w:val="3"/>
          <w:numId w:val="296"/>
        </w:numPr>
        <w:spacing w:after="60" w:line="240" w:lineRule="auto"/>
        <w:ind w:left="1440"/>
        <w:rPr>
          <w:b/>
          <w:bCs/>
          <w:color w:val="000000"/>
        </w:rPr>
      </w:pPr>
      <w:r>
        <w:t>Most current version of protocol reviewed by the IRB (modified by the principal investigator if required by the IRB)</w:t>
      </w:r>
    </w:p>
    <w:p w14:paraId="757F91A6" w14:textId="77777777" w:rsidR="00DD3C1C" w:rsidRPr="00DD3C1C" w:rsidRDefault="00DD3C1C" w:rsidP="00A07209">
      <w:pPr>
        <w:numPr>
          <w:ilvl w:val="3"/>
          <w:numId w:val="296"/>
        </w:numPr>
        <w:spacing w:after="60" w:line="240" w:lineRule="auto"/>
        <w:ind w:left="1440"/>
        <w:rPr>
          <w:b/>
          <w:bCs/>
          <w:color w:val="000000"/>
        </w:rPr>
      </w:pPr>
      <w:r>
        <w:t>DHHS application number and name of funding agency</w:t>
      </w:r>
    </w:p>
    <w:p w14:paraId="3A037DD9" w14:textId="77777777" w:rsidR="00DD3C1C" w:rsidRPr="00DD3C1C" w:rsidRDefault="00DD3C1C" w:rsidP="00A07209">
      <w:pPr>
        <w:numPr>
          <w:ilvl w:val="3"/>
          <w:numId w:val="296"/>
        </w:numPr>
        <w:spacing w:after="60" w:line="240" w:lineRule="auto"/>
        <w:ind w:left="1440"/>
        <w:rPr>
          <w:b/>
          <w:bCs/>
          <w:color w:val="000000"/>
        </w:rPr>
      </w:pPr>
      <w:r>
        <w:rPr>
          <w:bCs/>
          <w:color w:val="000000"/>
        </w:rPr>
        <w:t>Relevant grant application or proposal</w:t>
      </w:r>
    </w:p>
    <w:p w14:paraId="32FFC114" w14:textId="77777777" w:rsidR="00DD3C1C" w:rsidRPr="00DD3C1C" w:rsidRDefault="00DD3C1C" w:rsidP="00A07209">
      <w:pPr>
        <w:numPr>
          <w:ilvl w:val="3"/>
          <w:numId w:val="296"/>
        </w:numPr>
        <w:spacing w:after="60" w:line="240" w:lineRule="auto"/>
        <w:ind w:left="1440"/>
        <w:rPr>
          <w:b/>
          <w:bCs/>
          <w:color w:val="000000"/>
        </w:rPr>
      </w:pPr>
      <w:r>
        <w:t>Most current version of parental permission/assent documents reviewed by the IRB (modified by the principal investigator if required by the IRB)</w:t>
      </w:r>
    </w:p>
    <w:p w14:paraId="189EEE8A" w14:textId="77777777" w:rsidR="00DD3C1C" w:rsidRPr="00DD3C1C" w:rsidRDefault="00DD3C1C" w:rsidP="00A07209">
      <w:pPr>
        <w:numPr>
          <w:ilvl w:val="3"/>
          <w:numId w:val="296"/>
        </w:numPr>
        <w:spacing w:after="0" w:line="240" w:lineRule="auto"/>
        <w:ind w:left="1440"/>
        <w:rPr>
          <w:b/>
          <w:bCs/>
          <w:color w:val="000000"/>
        </w:rPr>
      </w:pPr>
      <w:r>
        <w:t>Relevant IRB minutes and correspondence</w:t>
      </w:r>
    </w:p>
    <w:p w14:paraId="2431E88B" w14:textId="77777777" w:rsidR="00DD3C1C" w:rsidRPr="00DD3C1C" w:rsidRDefault="00DD3C1C" w:rsidP="00DD3C1C">
      <w:pPr>
        <w:widowControl w:val="0"/>
        <w:autoSpaceDE w:val="0"/>
        <w:autoSpaceDN w:val="0"/>
        <w:adjustRightInd w:val="0"/>
        <w:spacing w:after="0" w:line="240" w:lineRule="auto"/>
      </w:pPr>
    </w:p>
    <w:p w14:paraId="29B2F01E" w14:textId="77777777" w:rsidR="00DD3C1C" w:rsidRPr="00DD3C1C" w:rsidRDefault="00DD3C1C" w:rsidP="00A07209">
      <w:pPr>
        <w:numPr>
          <w:ilvl w:val="0"/>
          <w:numId w:val="311"/>
        </w:numPr>
        <w:spacing w:after="0" w:line="240" w:lineRule="auto"/>
      </w:pPr>
      <w:r>
        <w:t>When FDA regulations also apply to the research, OHRP delegates its authority to FDA to convene a panel of experts (i.e., FDA Pediatric Advisory Committee, Pediatrics Ethics Subcommittee) to review the research, solicit public comment, and advise the Secretary (DHHS).</w:t>
      </w:r>
    </w:p>
    <w:p w14:paraId="50B27DA6" w14:textId="77777777" w:rsidR="00DD3C1C" w:rsidRPr="00DD3C1C" w:rsidRDefault="00DD3C1C" w:rsidP="00DD3C1C">
      <w:pPr>
        <w:spacing w:after="0" w:line="240" w:lineRule="auto"/>
        <w:ind w:left="720"/>
      </w:pPr>
    </w:p>
    <w:p w14:paraId="6A8B1F78" w14:textId="77777777" w:rsidR="00DD3C1C" w:rsidRPr="00DD3C1C" w:rsidRDefault="00DD3C1C" w:rsidP="00A07209">
      <w:pPr>
        <w:numPr>
          <w:ilvl w:val="0"/>
          <w:numId w:val="311"/>
        </w:numPr>
        <w:spacing w:after="0" w:line="240" w:lineRule="auto"/>
      </w:pPr>
      <w:r>
        <w:t xml:space="preserve">For more information on the </w:t>
      </w:r>
      <w:r>
        <w:rPr>
          <w:bCs/>
        </w:rPr>
        <w:t>407 review process, see</w:t>
      </w:r>
      <w:r>
        <w:t xml:space="preserve"> </w:t>
      </w:r>
      <w:hyperlink r:id="rId280" w:history="1">
        <w:r>
          <w:rPr>
            <w:color w:val="0000FF"/>
            <w:u w:val="single"/>
          </w:rPr>
          <w:t>OHRP Guidance on the DHHS 45 CFR 46.407 ("407") Review Process</w:t>
        </w:r>
      </w:hyperlink>
      <w:r>
        <w:t>.</w:t>
      </w:r>
    </w:p>
    <w:p w14:paraId="76433A72" w14:textId="77777777" w:rsidR="00DD3C1C" w:rsidRPr="00DD3C1C" w:rsidRDefault="00DD3C1C" w:rsidP="00DD3C1C">
      <w:pPr>
        <w:spacing w:after="0" w:line="240" w:lineRule="auto"/>
        <w:ind w:left="360"/>
      </w:pPr>
    </w:p>
    <w:p w14:paraId="0C263149" w14:textId="77777777" w:rsidR="00DD3C1C" w:rsidRPr="00076836" w:rsidRDefault="00DD3C1C" w:rsidP="00A07209">
      <w:pPr>
        <w:pStyle w:val="ListParagraph"/>
        <w:numPr>
          <w:ilvl w:val="0"/>
          <w:numId w:val="454"/>
        </w:numPr>
        <w:spacing w:after="0" w:line="240" w:lineRule="auto"/>
        <w:rPr>
          <w:b/>
        </w:rPr>
      </w:pPr>
      <w:r>
        <w:rPr>
          <w:b/>
        </w:rPr>
        <w:t>Research Not Subject to DHHS Regulations Requiring Additional Review</w:t>
      </w:r>
    </w:p>
    <w:p w14:paraId="303D7963" w14:textId="77777777" w:rsidR="00DD3C1C" w:rsidRPr="00DD3C1C" w:rsidRDefault="00DD3C1C" w:rsidP="00DD3C1C">
      <w:pPr>
        <w:widowControl w:val="0"/>
        <w:autoSpaceDE w:val="0"/>
        <w:autoSpaceDN w:val="0"/>
        <w:adjustRightInd w:val="0"/>
        <w:spacing w:after="0" w:line="240" w:lineRule="auto"/>
        <w:rPr>
          <w:bCs/>
          <w:i/>
        </w:rPr>
      </w:pPr>
    </w:p>
    <w:p w14:paraId="4166A9D3" w14:textId="77777777" w:rsidR="00DD3C1C" w:rsidRPr="00DD3C1C" w:rsidRDefault="00DD3C1C" w:rsidP="00DD3C1C">
      <w:pPr>
        <w:widowControl w:val="0"/>
        <w:autoSpaceDE w:val="0"/>
        <w:autoSpaceDN w:val="0"/>
        <w:adjustRightInd w:val="0"/>
        <w:spacing w:after="60" w:line="240" w:lineRule="auto"/>
        <w:ind w:left="360"/>
      </w:pPr>
      <w:r>
        <w:rPr>
          <w:bCs/>
        </w:rPr>
        <w:t xml:space="preserve">Research involving children </w:t>
      </w:r>
      <w:r>
        <w:t>that does not fall into one of the three categories of approvable research described above</w:t>
      </w:r>
      <w:r>
        <w:rPr>
          <w:bCs/>
        </w:rPr>
        <w:t xml:space="preserve"> (see “</w:t>
      </w:r>
      <w:hyperlink w:anchor="categories" w:history="1">
        <w:r>
          <w:rPr>
            <w:bCs/>
            <w:color w:val="0000FF"/>
            <w:u w:val="single"/>
          </w:rPr>
          <w:t>Permissible Categories of Research</w:t>
        </w:r>
      </w:hyperlink>
      <w:r>
        <w:rPr>
          <w:bCs/>
        </w:rPr>
        <w:t>”) and that is not subject to DHHS regulations may be conducted under all of the following conditions:</w:t>
      </w:r>
    </w:p>
    <w:p w14:paraId="1A8DDBD8"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rPr>
          <w:bCs/>
        </w:rPr>
        <w:t>The IRB finds that the research presents a reasonable opportunity to further the understanding, prevention, or alleviation of a serious problem affecting the health or welfare of children.</w:t>
      </w:r>
    </w:p>
    <w:p w14:paraId="4F37BF4A"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lastRenderedPageBreak/>
        <w:t>Consultation is obtained, as necessary, from expert(s) in pertinent disciplines (e.g., science, medicine, education, ethics, law, etc.) and relevant child advocates</w:t>
      </w:r>
    </w:p>
    <w:p w14:paraId="28B26136" w14:textId="77777777" w:rsidR="00DD3C1C" w:rsidRPr="00DD3C1C" w:rsidRDefault="00DD3C1C" w:rsidP="00A07209">
      <w:pPr>
        <w:widowControl w:val="0"/>
        <w:numPr>
          <w:ilvl w:val="0"/>
          <w:numId w:val="276"/>
        </w:numPr>
        <w:tabs>
          <w:tab w:val="num" w:pos="1080"/>
        </w:tabs>
        <w:autoSpaceDE w:val="0"/>
        <w:autoSpaceDN w:val="0"/>
        <w:adjustRightInd w:val="0"/>
        <w:spacing w:after="60" w:line="240" w:lineRule="auto"/>
        <w:ind w:left="1080"/>
      </w:pPr>
      <w:r>
        <w:t>An opportunity is provided for review and comment by the local community where the research is to be conducted.</w:t>
      </w:r>
    </w:p>
    <w:p w14:paraId="5E481A99" w14:textId="77777777" w:rsidR="00DD3C1C" w:rsidRPr="00DD3C1C" w:rsidRDefault="00DD3C1C" w:rsidP="00A07209">
      <w:pPr>
        <w:widowControl w:val="0"/>
        <w:numPr>
          <w:ilvl w:val="0"/>
          <w:numId w:val="276"/>
        </w:numPr>
        <w:tabs>
          <w:tab w:val="num" w:pos="1080"/>
        </w:tabs>
        <w:autoSpaceDE w:val="0"/>
        <w:autoSpaceDN w:val="0"/>
        <w:adjustRightInd w:val="0"/>
        <w:spacing w:after="0" w:line="240" w:lineRule="auto"/>
        <w:ind w:left="1080"/>
      </w:pPr>
      <w:r>
        <w:t>The institutional official, in consultation with the above groups, determines that the research is consistent with sound ethical principles and the requirements of HRPP policy regarding assent and parental permission and may proceed.</w:t>
      </w:r>
    </w:p>
    <w:p w14:paraId="0F315273" w14:textId="77777777" w:rsidR="00DD3C1C" w:rsidRPr="00DD3C1C" w:rsidRDefault="00DD3C1C" w:rsidP="00DD3C1C">
      <w:pPr>
        <w:widowControl w:val="0"/>
        <w:autoSpaceDE w:val="0"/>
        <w:autoSpaceDN w:val="0"/>
        <w:adjustRightInd w:val="0"/>
        <w:spacing w:after="0" w:line="240" w:lineRule="auto"/>
      </w:pPr>
    </w:p>
    <w:p w14:paraId="7234CAB5" w14:textId="77777777" w:rsidR="00DD3C1C" w:rsidRPr="00DD3C1C" w:rsidRDefault="00DD3C1C" w:rsidP="00DD3C1C">
      <w:pPr>
        <w:widowControl w:val="0"/>
        <w:autoSpaceDE w:val="0"/>
        <w:autoSpaceDN w:val="0"/>
        <w:adjustRightInd w:val="0"/>
        <w:spacing w:after="0" w:line="240" w:lineRule="auto"/>
        <w:ind w:left="360"/>
      </w:pPr>
      <w:r>
        <w:t>The principal investigator and any consultants assisting with the review will be invited to attend the IRB meeting at which the research is discussed.</w:t>
      </w:r>
    </w:p>
    <w:p w14:paraId="6E518626" w14:textId="77777777" w:rsidR="00DD3C1C" w:rsidRPr="00DD3C1C" w:rsidRDefault="00DD3C1C" w:rsidP="00DD3C1C">
      <w:pPr>
        <w:spacing w:after="0" w:line="240" w:lineRule="auto"/>
        <w:rPr>
          <w:b/>
        </w:rPr>
      </w:pPr>
    </w:p>
    <w:p w14:paraId="48945E82" w14:textId="77777777" w:rsidR="00DD3C1C" w:rsidRPr="00076836" w:rsidRDefault="00DD3C1C" w:rsidP="00A07209">
      <w:pPr>
        <w:pStyle w:val="ListParagraph"/>
        <w:numPr>
          <w:ilvl w:val="0"/>
          <w:numId w:val="454"/>
        </w:numPr>
        <w:spacing w:after="0" w:line="240" w:lineRule="auto"/>
        <w:rPr>
          <w:b/>
        </w:rPr>
      </w:pPr>
      <w:r>
        <w:rPr>
          <w:b/>
        </w:rPr>
        <w:t>Wards</w:t>
      </w:r>
    </w:p>
    <w:p w14:paraId="7EFA810E" w14:textId="77777777" w:rsidR="00DD3C1C" w:rsidRPr="00DD3C1C" w:rsidRDefault="00DD3C1C" w:rsidP="00DD3C1C">
      <w:pPr>
        <w:spacing w:after="0" w:line="240" w:lineRule="auto"/>
      </w:pPr>
    </w:p>
    <w:p w14:paraId="6B360280" w14:textId="77777777" w:rsidR="00DD3C1C" w:rsidRPr="00DD3C1C" w:rsidRDefault="00DD3C1C" w:rsidP="00DD3C1C">
      <w:pPr>
        <w:spacing w:after="0" w:line="240" w:lineRule="auto"/>
        <w:ind w:left="360"/>
      </w:pPr>
      <w:r>
        <w:t>As described below, specific protections are required for children who are also wards of the state or any other agency, institution, or entity.</w:t>
      </w:r>
    </w:p>
    <w:p w14:paraId="120AD1A1" w14:textId="77777777" w:rsidR="00DD3C1C" w:rsidRPr="00DD3C1C" w:rsidRDefault="00DD3C1C" w:rsidP="00DD3C1C">
      <w:pPr>
        <w:spacing w:after="0" w:line="240" w:lineRule="auto"/>
      </w:pPr>
    </w:p>
    <w:p w14:paraId="4418BAF8" w14:textId="77777777" w:rsidR="00DD3C1C" w:rsidRPr="00DD3C1C" w:rsidRDefault="00DD3C1C" w:rsidP="00A07209">
      <w:pPr>
        <w:numPr>
          <w:ilvl w:val="0"/>
          <w:numId w:val="303"/>
        </w:numPr>
        <w:spacing w:after="60" w:line="240" w:lineRule="auto"/>
        <w:ind w:left="1080"/>
      </w:pPr>
      <w:r>
        <w:t>Children who are wards may be included in research involving greater than minimal risk without the prospect of direct benefit but likely to yield generalizable knowledge about the child’s disorder or condition</w:t>
      </w:r>
      <w:r>
        <w:rPr>
          <w:b/>
        </w:rPr>
        <w:t xml:space="preserve"> </w:t>
      </w:r>
      <w:r>
        <w:t>if the research is either:</w:t>
      </w:r>
    </w:p>
    <w:p w14:paraId="03C99FC1" w14:textId="77777777" w:rsidR="00DD3C1C" w:rsidRPr="00DD3C1C" w:rsidRDefault="00DD3C1C" w:rsidP="00A07209">
      <w:pPr>
        <w:numPr>
          <w:ilvl w:val="3"/>
          <w:numId w:val="304"/>
        </w:numPr>
        <w:tabs>
          <w:tab w:val="num" w:pos="1440"/>
        </w:tabs>
        <w:spacing w:after="60" w:line="240" w:lineRule="auto"/>
        <w:ind w:left="1440"/>
      </w:pPr>
      <w:r>
        <w:t>Related to their status as wards</w:t>
      </w:r>
    </w:p>
    <w:p w14:paraId="6902528D" w14:textId="77777777" w:rsidR="00DD3C1C" w:rsidRPr="00DD3C1C" w:rsidRDefault="00DD3C1C" w:rsidP="00A07209">
      <w:pPr>
        <w:numPr>
          <w:ilvl w:val="3"/>
          <w:numId w:val="304"/>
        </w:numPr>
        <w:tabs>
          <w:tab w:val="num" w:pos="1440"/>
        </w:tabs>
        <w:spacing w:after="0" w:line="240" w:lineRule="auto"/>
        <w:ind w:left="1440"/>
      </w:pPr>
      <w:r>
        <w:t>Conducted in schools, camps, hospitals, institutions, or similar settings in which the majority of children involved as participants are not wards</w:t>
      </w:r>
    </w:p>
    <w:p w14:paraId="1925E835" w14:textId="77777777" w:rsidR="00DD3C1C" w:rsidRPr="00DD3C1C" w:rsidRDefault="00DD3C1C" w:rsidP="00DD3C1C">
      <w:pPr>
        <w:spacing w:after="0" w:line="240" w:lineRule="auto"/>
      </w:pPr>
    </w:p>
    <w:p w14:paraId="5E49EBD4" w14:textId="77777777" w:rsidR="00DD3C1C" w:rsidRPr="00DD3C1C" w:rsidRDefault="00DD3C1C" w:rsidP="00A07209">
      <w:pPr>
        <w:numPr>
          <w:ilvl w:val="0"/>
          <w:numId w:val="303"/>
        </w:numPr>
        <w:spacing w:after="60" w:line="240" w:lineRule="auto"/>
        <w:ind w:left="1080"/>
      </w:pPr>
      <w:r>
        <w:t>When wards are included in the research described above, an advocate must be appointed for each child who is a ward to protect the child, to the extent possible, from exploitation, coercion, or undue influence. The following requirements apply to individuals serving as advocates:</w:t>
      </w:r>
    </w:p>
    <w:p w14:paraId="54E91528" w14:textId="77777777" w:rsidR="00DD3C1C" w:rsidRPr="00DD3C1C" w:rsidRDefault="00DD3C1C" w:rsidP="00A07209">
      <w:pPr>
        <w:numPr>
          <w:ilvl w:val="3"/>
          <w:numId w:val="305"/>
        </w:numPr>
        <w:tabs>
          <w:tab w:val="num" w:pos="1440"/>
        </w:tabs>
        <w:spacing w:after="60" w:line="240" w:lineRule="auto"/>
        <w:ind w:left="1440"/>
      </w:pPr>
      <w:r>
        <w:t xml:space="preserve">The advocate will serve in addition to any other individual acting on behalf of the child as a guardian or </w:t>
      </w:r>
      <w:r>
        <w:rPr>
          <w:i/>
        </w:rPr>
        <w:t>in loco parentis.</w:t>
      </w:r>
    </w:p>
    <w:p w14:paraId="0CDD8403" w14:textId="77777777" w:rsidR="00DD3C1C" w:rsidRPr="00DD3C1C" w:rsidRDefault="00DD3C1C" w:rsidP="00A07209">
      <w:pPr>
        <w:numPr>
          <w:ilvl w:val="3"/>
          <w:numId w:val="305"/>
        </w:numPr>
        <w:tabs>
          <w:tab w:val="num" w:pos="1440"/>
        </w:tabs>
        <w:spacing w:after="60" w:line="240" w:lineRule="auto"/>
        <w:ind w:left="1440"/>
      </w:pPr>
      <w:r>
        <w:t>An individual may serve as an advocate for more than one child.</w:t>
      </w:r>
    </w:p>
    <w:p w14:paraId="291E30D2" w14:textId="77777777" w:rsidR="00DD3C1C" w:rsidRPr="00DD3C1C" w:rsidRDefault="00DD3C1C" w:rsidP="00A07209">
      <w:pPr>
        <w:numPr>
          <w:ilvl w:val="3"/>
          <w:numId w:val="305"/>
        </w:numPr>
        <w:tabs>
          <w:tab w:val="num" w:pos="1440"/>
        </w:tabs>
        <w:spacing w:after="60" w:line="240" w:lineRule="auto"/>
        <w:ind w:left="1440"/>
      </w:pPr>
      <w:r>
        <w:t>The advocate must be an individual who has the background/experience and agrees to act in the best interests of the child throughout the child’s participation in the research.</w:t>
      </w:r>
    </w:p>
    <w:p w14:paraId="0643B7F1" w14:textId="77777777" w:rsidR="00DD3C1C" w:rsidRPr="00DD3C1C" w:rsidRDefault="00DD3C1C" w:rsidP="00A07209">
      <w:pPr>
        <w:numPr>
          <w:ilvl w:val="5"/>
          <w:numId w:val="456"/>
        </w:numPr>
        <w:tabs>
          <w:tab w:val="num" w:pos="2160"/>
        </w:tabs>
        <w:spacing w:after="60" w:line="240" w:lineRule="auto"/>
      </w:pPr>
      <w:r>
        <w:t>This includes helping to ensure that the child understands what will be required of him/her during the research, and if capable, that the child provides assent to participate.</w:t>
      </w:r>
    </w:p>
    <w:p w14:paraId="6EF44F3F" w14:textId="77777777" w:rsidR="00DD3C1C" w:rsidRPr="00DD3C1C" w:rsidRDefault="00DD3C1C" w:rsidP="00A07209">
      <w:pPr>
        <w:numPr>
          <w:ilvl w:val="5"/>
          <w:numId w:val="456"/>
        </w:numPr>
        <w:tabs>
          <w:tab w:val="num" w:pos="2160"/>
        </w:tabs>
        <w:spacing w:after="60" w:line="240" w:lineRule="auto"/>
      </w:pPr>
      <w:r>
        <w:t>Acting in the best interests of the child could also include evaluating the ongoing effect(s) of the research on the child.</w:t>
      </w:r>
    </w:p>
    <w:p w14:paraId="2D9114A8" w14:textId="77777777" w:rsidR="00DD3C1C" w:rsidRPr="00DD3C1C" w:rsidRDefault="00DD3C1C" w:rsidP="00A07209">
      <w:pPr>
        <w:numPr>
          <w:ilvl w:val="3"/>
          <w:numId w:val="305"/>
        </w:numPr>
        <w:tabs>
          <w:tab w:val="num" w:pos="1440"/>
        </w:tabs>
        <w:spacing w:after="0" w:line="240" w:lineRule="auto"/>
        <w:ind w:left="1440"/>
      </w:pPr>
      <w:r>
        <w:t>The advocate must not be associated in any way (except in the role as an advocate or IRB member) with the research, investigator(s), or guardian organization.</w:t>
      </w:r>
    </w:p>
    <w:p w14:paraId="31D232BF" w14:textId="77777777" w:rsidR="00DD3C1C" w:rsidRPr="00DD3C1C" w:rsidRDefault="00DD3C1C" w:rsidP="00DD3C1C">
      <w:pPr>
        <w:spacing w:after="0" w:line="240" w:lineRule="auto"/>
      </w:pPr>
    </w:p>
    <w:p w14:paraId="67F18853" w14:textId="77777777" w:rsidR="00DD3C1C" w:rsidRPr="00DD3C1C" w:rsidRDefault="00DD3C1C" w:rsidP="00A07209">
      <w:pPr>
        <w:numPr>
          <w:ilvl w:val="0"/>
          <w:numId w:val="303"/>
        </w:numPr>
        <w:spacing w:after="0" w:line="240" w:lineRule="auto"/>
        <w:ind w:left="1080"/>
      </w:pPr>
      <w:r>
        <w:t>Examples of individuals who might serve as advocates are IRB members, patient advocates, caseworkers, social workers, or counselors knowledgeable about children’s rights and welfare. An advocate’s appointment should be made by a group or individual with no interest in or affiliation with the research being conducted. The IRB should review and approve the process for appointing advocates.</w:t>
      </w:r>
    </w:p>
    <w:p w14:paraId="3807C82C" w14:textId="77777777" w:rsidR="00DD3C1C" w:rsidRPr="00DD3C1C" w:rsidRDefault="00DD3C1C" w:rsidP="00DD3C1C">
      <w:pPr>
        <w:spacing w:after="0" w:line="240" w:lineRule="auto"/>
        <w:rPr>
          <w:bCs/>
          <w:color w:val="000000"/>
        </w:rPr>
      </w:pPr>
    </w:p>
    <w:p w14:paraId="1D9708AB" w14:textId="77777777" w:rsidR="00DD3C1C" w:rsidRPr="00DD3C1C" w:rsidRDefault="00DD3C1C" w:rsidP="00A07209">
      <w:pPr>
        <w:numPr>
          <w:ilvl w:val="0"/>
          <w:numId w:val="312"/>
        </w:numPr>
        <w:tabs>
          <w:tab w:val="num" w:pos="360"/>
        </w:tabs>
        <w:spacing w:after="0" w:line="240" w:lineRule="auto"/>
        <w:ind w:left="360"/>
        <w:rPr>
          <w:b/>
        </w:rPr>
      </w:pPr>
      <w:r>
        <w:rPr>
          <w:b/>
        </w:rPr>
        <w:t>Documentation</w:t>
      </w:r>
    </w:p>
    <w:p w14:paraId="463442F1" w14:textId="77777777" w:rsidR="00DD3C1C" w:rsidRPr="00DD3C1C" w:rsidRDefault="00DD3C1C" w:rsidP="00DD3C1C">
      <w:pPr>
        <w:spacing w:after="0" w:line="240" w:lineRule="auto"/>
      </w:pPr>
    </w:p>
    <w:p w14:paraId="5DF8E194" w14:textId="77777777" w:rsidR="00DD3C1C" w:rsidRPr="00DD3C1C" w:rsidRDefault="00DD3C1C" w:rsidP="00DD3C1C">
      <w:pPr>
        <w:spacing w:after="0" w:line="240" w:lineRule="auto"/>
        <w:ind w:left="360"/>
      </w:pPr>
      <w:r>
        <w:t>Protocol-specific findings related to the additional protections required for research involving children will be documented according to the HRPP policies [</w:t>
      </w:r>
      <w:hyperlink r:id="rId281" w:history="1">
        <w:r>
          <w:rPr>
            <w:color w:val="0000FF"/>
            <w:u w:val="single"/>
          </w:rPr>
          <w:t>IRB Recordkeeping</w:t>
        </w:r>
      </w:hyperlink>
      <w:r>
        <w:t>] and [</w:t>
      </w:r>
      <w:hyperlink r:id="rId282" w:history="1">
        <w:r>
          <w:rPr>
            <w:color w:val="0000FF"/>
            <w:u w:val="single"/>
          </w:rPr>
          <w:t>Expedited and Administrative Review Procedures</w:t>
        </w:r>
      </w:hyperlink>
      <w:r>
        <w:t xml:space="preserve">]. </w:t>
      </w:r>
    </w:p>
    <w:p w14:paraId="2FF2D64A" w14:textId="77777777" w:rsidR="00DD3C1C" w:rsidRPr="00DD3C1C" w:rsidRDefault="00DD3C1C" w:rsidP="00DD3C1C">
      <w:pPr>
        <w:spacing w:after="0" w:line="240" w:lineRule="auto"/>
      </w:pPr>
    </w:p>
    <w:p w14:paraId="1213A176" w14:textId="77777777" w:rsidR="00DD3C1C" w:rsidRPr="00DD3C1C" w:rsidRDefault="00DD3C1C" w:rsidP="00A07209">
      <w:pPr>
        <w:numPr>
          <w:ilvl w:val="0"/>
          <w:numId w:val="312"/>
        </w:numPr>
        <w:tabs>
          <w:tab w:val="num" w:pos="360"/>
        </w:tabs>
        <w:spacing w:after="0" w:line="240" w:lineRule="auto"/>
        <w:ind w:left="360"/>
      </w:pPr>
      <w:r>
        <w:rPr>
          <w:b/>
        </w:rPr>
        <w:lastRenderedPageBreak/>
        <w:t>Additional Information on Inclusion of Children in Research</w:t>
      </w:r>
    </w:p>
    <w:p w14:paraId="1625F7C6" w14:textId="77777777" w:rsidR="00DD3C1C" w:rsidRPr="00DD3C1C" w:rsidRDefault="00DD3C1C" w:rsidP="00DD3C1C">
      <w:pPr>
        <w:spacing w:after="0" w:line="240" w:lineRule="auto"/>
        <w:rPr>
          <w:b/>
        </w:rPr>
      </w:pPr>
    </w:p>
    <w:p w14:paraId="499F1A7B" w14:textId="77777777" w:rsidR="00DD3C1C" w:rsidRPr="00DD3C1C" w:rsidRDefault="00DD3C1C" w:rsidP="00A07209">
      <w:pPr>
        <w:numPr>
          <w:ilvl w:val="0"/>
          <w:numId w:val="310"/>
        </w:numPr>
        <w:spacing w:after="0" w:line="240" w:lineRule="auto"/>
      </w:pPr>
      <w:r>
        <w:t xml:space="preserve">For more information on NIH requirements for inclusion of children in research, see </w:t>
      </w:r>
      <w:hyperlink r:id="rId283" w:history="1">
        <w:r>
          <w:rPr>
            <w:color w:val="0000FF"/>
            <w:u w:val="single"/>
          </w:rPr>
          <w:t>NIH Policy and Guidelines on the Inclusion of Children as Participants in Research Involving Human Subjects</w:t>
        </w:r>
      </w:hyperlink>
      <w:r>
        <w:t xml:space="preserve"> and </w:t>
      </w:r>
      <w:hyperlink r:id="rId284" w:history="1">
        <w:r>
          <w:rPr>
            <w:color w:val="0000FF"/>
            <w:u w:val="single"/>
          </w:rPr>
          <w:t>NIH Inclusion Across the Lifespan Policy Implementation</w:t>
        </w:r>
      </w:hyperlink>
      <w:r>
        <w:t>.</w:t>
      </w:r>
    </w:p>
    <w:p w14:paraId="77C7B952" w14:textId="77777777" w:rsidR="00DD3C1C" w:rsidRPr="00DD3C1C" w:rsidRDefault="00DD3C1C" w:rsidP="00DD3C1C">
      <w:pPr>
        <w:spacing w:after="0" w:line="240" w:lineRule="auto"/>
        <w:ind w:left="720"/>
      </w:pPr>
    </w:p>
    <w:p w14:paraId="441D7A6C" w14:textId="77777777" w:rsidR="00DD3C1C" w:rsidRPr="00DD3C1C" w:rsidRDefault="00DD3C1C" w:rsidP="00A07209">
      <w:pPr>
        <w:numPr>
          <w:ilvl w:val="0"/>
          <w:numId w:val="310"/>
        </w:numPr>
        <w:spacing w:after="0" w:line="240" w:lineRule="auto"/>
      </w:pPr>
      <w:r>
        <w:t xml:space="preserve">For more information on the “407 review process” for DHHS-conducted or supported research involving children, see </w:t>
      </w:r>
      <w:hyperlink r:id="rId285" w:history="1">
        <w:r>
          <w:rPr>
            <w:color w:val="0000FF"/>
            <w:u w:val="single"/>
          </w:rPr>
          <w:t>OHRP Guidance on the DHHS 45 CFR 46.407 ("407") Review Process</w:t>
        </w:r>
      </w:hyperlink>
      <w:r>
        <w:t>.</w:t>
      </w:r>
    </w:p>
    <w:p w14:paraId="39EE4FFC" w14:textId="77777777" w:rsidR="00DD3C1C" w:rsidRPr="00DD3C1C" w:rsidRDefault="00DD3C1C" w:rsidP="00DD3C1C">
      <w:pPr>
        <w:spacing w:after="0" w:line="240" w:lineRule="auto"/>
      </w:pPr>
    </w:p>
    <w:p w14:paraId="067F4CB8" w14:textId="77777777" w:rsidR="00DD3C1C" w:rsidRPr="00DD3C1C" w:rsidRDefault="00DD3C1C" w:rsidP="00A07209">
      <w:pPr>
        <w:numPr>
          <w:ilvl w:val="0"/>
          <w:numId w:val="312"/>
        </w:numPr>
        <w:spacing w:after="0" w:line="240" w:lineRule="auto"/>
        <w:ind w:left="360"/>
      </w:pPr>
      <w:r>
        <w:rPr>
          <w:b/>
        </w:rPr>
        <w:t>Applicable Regulations/Guidance</w:t>
      </w:r>
    </w:p>
    <w:p w14:paraId="5CAEDDF9" w14:textId="77777777" w:rsidR="00DD3C1C" w:rsidRPr="00DD3C1C" w:rsidRDefault="00DD3C1C" w:rsidP="00DD3C1C">
      <w:pPr>
        <w:spacing w:after="0" w:line="240" w:lineRule="auto"/>
        <w:ind w:left="1224"/>
      </w:pPr>
    </w:p>
    <w:p w14:paraId="3B867CF6" w14:textId="77777777" w:rsidR="00DD3C1C" w:rsidRPr="00DD3C1C" w:rsidRDefault="00DD3C1C" w:rsidP="00DD3C1C">
      <w:pPr>
        <w:spacing w:after="0" w:line="240" w:lineRule="auto"/>
        <w:ind w:left="360"/>
      </w:pPr>
      <w:r>
        <w:t>21 CFR 50.50, 21 CFR 50.51, 21 CFR 50.52, 21 CFR 50.53, 21 CFR 50.54, 21 CFR 50.55, 21 CFR 50.56, 45 CFR 46.401, 45 CFR 46.402, 45 CFR 46.403, 45 CFR 46.404, 45 CFR 46.405, 45 CFR 46.406, 45 CFR 46.407, 45 CFR 46.408, 45 CFR 46.409, NIH “NIH Policy and Guidelines on the Inclusion of Individuals Across the Lifespan as Participants in Research Involving Human Subjects” (12/19/17), OHRP “Research With Children FAQs,” OHRP “Special Protections for Children as Research Subjects: Children Involved as Subjects in Research: Guidance on the HHS 45 CFR 46.407 ("407") Review Process” (05/26/05)</w:t>
      </w:r>
    </w:p>
    <w:p w14:paraId="3174CB99" w14:textId="77777777" w:rsidR="00DD3C1C" w:rsidRPr="00DD3C1C" w:rsidRDefault="00DD3C1C" w:rsidP="00DD3C1C">
      <w:pPr>
        <w:spacing w:after="0" w:line="240" w:lineRule="auto"/>
        <w:ind w:left="360"/>
      </w:pPr>
    </w:p>
    <w:p w14:paraId="68B38B70" w14:textId="77777777" w:rsidR="00DD3C1C" w:rsidRPr="00DD3C1C" w:rsidRDefault="00DD3C1C" w:rsidP="00A07209">
      <w:pPr>
        <w:numPr>
          <w:ilvl w:val="0"/>
          <w:numId w:val="312"/>
        </w:numPr>
        <w:spacing w:after="0" w:line="240" w:lineRule="auto"/>
        <w:ind w:left="360"/>
        <w:rPr>
          <w:b/>
        </w:rPr>
      </w:pPr>
      <w:r>
        <w:t xml:space="preserve"> </w:t>
      </w:r>
      <w:r>
        <w:rPr>
          <w:b/>
        </w:rPr>
        <w:t>History</w:t>
      </w:r>
    </w:p>
    <w:p w14:paraId="4AF9463E" w14:textId="77777777" w:rsidR="00DD3C1C" w:rsidRPr="00DD3C1C" w:rsidRDefault="00DD3C1C" w:rsidP="00DD3C1C">
      <w:pPr>
        <w:spacing w:after="0" w:line="240" w:lineRule="auto"/>
      </w:pPr>
    </w:p>
    <w:p w14:paraId="58088A58" w14:textId="77777777" w:rsidR="00DD3C1C" w:rsidRPr="00DD3C1C" w:rsidRDefault="00DD3C1C" w:rsidP="00DD3C1C">
      <w:pPr>
        <w:spacing w:after="0" w:line="240" w:lineRule="auto"/>
        <w:ind w:left="360"/>
      </w:pPr>
      <w:r>
        <w:t>Issued: 02/16/2009</w:t>
      </w:r>
    </w:p>
    <w:p w14:paraId="5AB0394B" w14:textId="77777777" w:rsidR="00DD3C1C" w:rsidRPr="00DD3C1C" w:rsidRDefault="00DD3C1C" w:rsidP="00DD3C1C">
      <w:pPr>
        <w:spacing w:after="0" w:line="240" w:lineRule="auto"/>
        <w:ind w:left="360"/>
      </w:pPr>
      <w:r>
        <w:t>Revised: 04/28/2009, 06/04/2012</w:t>
      </w:r>
    </w:p>
    <w:p w14:paraId="3592DE98" w14:textId="77777777" w:rsidR="00DD3C1C" w:rsidRPr="00DD3C1C" w:rsidRDefault="00DD3C1C" w:rsidP="00DD3C1C">
      <w:pPr>
        <w:spacing w:after="0" w:line="240" w:lineRule="auto"/>
        <w:ind w:left="360"/>
      </w:pPr>
      <w:r>
        <w:t>Edited: 07/13/2016, 01/22/2019, 04/20/2022</w:t>
      </w:r>
    </w:p>
    <w:p w14:paraId="5E7239B8" w14:textId="77777777" w:rsidR="00471B9E" w:rsidRDefault="00471B9E">
      <w:pPr>
        <w:rPr>
          <w:b/>
          <w:bCs/>
          <w:i/>
          <w:iCs/>
          <w:sz w:val="28"/>
          <w:szCs w:val="28"/>
        </w:rPr>
      </w:pPr>
      <w:r>
        <w:br w:type="page"/>
      </w:r>
    </w:p>
    <w:p w14:paraId="5F1D3324" w14:textId="77777777" w:rsidR="00404880" w:rsidRDefault="086699A8" w:rsidP="00076836">
      <w:pPr>
        <w:pStyle w:val="Heading2"/>
        <w:jc w:val="center"/>
      </w:pPr>
      <w:bookmarkStart w:id="337" w:name="_Appendix_B-23_"/>
      <w:bookmarkStart w:id="338" w:name="B23"/>
      <w:bookmarkStart w:id="339" w:name="_Toc212142220"/>
      <w:bookmarkStart w:id="340" w:name="_Toc225507760"/>
      <w:bookmarkEnd w:id="337"/>
      <w:r>
        <w:lastRenderedPageBreak/>
        <w:t xml:space="preserve">Appendix B-23  </w:t>
      </w:r>
      <w:bookmarkEnd w:id="338"/>
      <w:r>
        <w:tab/>
        <w:t>Vulnerable Populations: Students, Employees, and Adults with Impaired Decision-Making Capacity</w:t>
      </w:r>
      <w:bookmarkEnd w:id="339"/>
      <w:bookmarkEnd w:id="340"/>
    </w:p>
    <w:p w14:paraId="7E3FCA1C" w14:textId="77777777" w:rsidR="00404880" w:rsidRPr="00BA63C3" w:rsidRDefault="00404880" w:rsidP="00404880">
      <w:pPr>
        <w:jc w:val="center"/>
        <w:rPr>
          <w:b/>
          <w:smallCaps/>
        </w:rPr>
      </w:pPr>
    </w:p>
    <w:p w14:paraId="703992CC" w14:textId="77777777" w:rsidR="00404880" w:rsidRPr="00BA63C3" w:rsidRDefault="00404880" w:rsidP="00A07209">
      <w:pPr>
        <w:numPr>
          <w:ilvl w:val="0"/>
          <w:numId w:val="323"/>
        </w:numPr>
        <w:spacing w:after="0" w:line="240" w:lineRule="auto"/>
        <w:rPr>
          <w:b/>
          <w:smallCaps/>
        </w:rPr>
      </w:pPr>
      <w:r>
        <w:rPr>
          <w:b/>
        </w:rPr>
        <w:t>Overview</w:t>
      </w:r>
      <w:r>
        <w:rPr>
          <w:b/>
        </w:rPr>
        <w:br/>
      </w:r>
    </w:p>
    <w:p w14:paraId="6BC19B69" w14:textId="77777777" w:rsidR="00404880" w:rsidRPr="00BA63C3" w:rsidRDefault="00404880" w:rsidP="00471D7F">
      <w:pPr>
        <w:ind w:left="360"/>
      </w:pPr>
      <w:r>
        <w:t>The purpose of this policy is to outline additional protections that investigators and IRBs should consider when proposed research activities involve potentially vulnerable populations, including students, employees, and adults with impaired decision-making capacity.</w:t>
      </w:r>
    </w:p>
    <w:p w14:paraId="7D73FC5C" w14:textId="77777777" w:rsidR="00404880" w:rsidRDefault="00404880" w:rsidP="00A07209">
      <w:pPr>
        <w:numPr>
          <w:ilvl w:val="0"/>
          <w:numId w:val="323"/>
        </w:numPr>
        <w:spacing w:after="0" w:line="240" w:lineRule="auto"/>
        <w:ind w:left="360" w:hanging="360"/>
        <w:rPr>
          <w:b/>
          <w:smallCaps/>
        </w:rPr>
      </w:pPr>
      <w:r>
        <w:rPr>
          <w:b/>
        </w:rPr>
        <w:t xml:space="preserve">Definitions </w:t>
      </w:r>
    </w:p>
    <w:p w14:paraId="65A540F1" w14:textId="77777777" w:rsidR="00471D7F" w:rsidRPr="00471D7F" w:rsidRDefault="00471D7F" w:rsidP="00471D7F">
      <w:pPr>
        <w:spacing w:after="0" w:line="240" w:lineRule="auto"/>
        <w:ind w:left="360"/>
        <w:rPr>
          <w:b/>
          <w:smallCaps/>
        </w:rPr>
      </w:pPr>
    </w:p>
    <w:p w14:paraId="0FB95092" w14:textId="77777777" w:rsidR="00404880" w:rsidRPr="00471D7F" w:rsidRDefault="00404880" w:rsidP="00471D7F">
      <w:pPr>
        <w:ind w:left="360"/>
        <w:rPr>
          <w:i/>
        </w:rPr>
      </w:pPr>
      <w:r>
        <w:rPr>
          <w:b/>
        </w:rPr>
        <w:t xml:space="preserve">Impaired decision-making capacity: </w:t>
      </w:r>
      <w:r>
        <w:t xml:space="preserve">As it applies to informed consent, lacking the ability to provide valid informed consent to participate in research (e.g., as a result of trauma, intellectual disability, certain mental illnesses, cognitive impairment, or dementia). </w:t>
      </w:r>
      <w:r>
        <w:rPr>
          <w:i/>
        </w:rPr>
        <w:t>Note: Impaired decision-making capacity may be temporary, permanent, progressive, or fluctuating.</w:t>
      </w:r>
    </w:p>
    <w:p w14:paraId="53549D8C" w14:textId="77777777" w:rsidR="00404880" w:rsidRPr="00BA63C3" w:rsidRDefault="00404880" w:rsidP="00404880">
      <w:pPr>
        <w:spacing w:after="60"/>
        <w:ind w:left="360"/>
      </w:pPr>
      <w:r>
        <w:rPr>
          <w:b/>
        </w:rPr>
        <w:t xml:space="preserve">Legally Authorized Representative: </w:t>
      </w:r>
      <w:r>
        <w:t>An individual, judicial, or other body authorized under applicable law to consent on behalf of a prospective subject to the subject’s participation in the procedure(s) involved in the research. For purposes of HRPP policy, the following are recognized in Ohio as legally authorized representatives:</w:t>
      </w:r>
    </w:p>
    <w:p w14:paraId="702CD9A6" w14:textId="77777777" w:rsidR="00404880" w:rsidRPr="00BA63C3" w:rsidRDefault="00404880" w:rsidP="00A07209">
      <w:pPr>
        <w:numPr>
          <w:ilvl w:val="0"/>
          <w:numId w:val="208"/>
        </w:numPr>
        <w:tabs>
          <w:tab w:val="clear" w:pos="3600"/>
          <w:tab w:val="num" w:pos="1080"/>
        </w:tabs>
        <w:spacing w:after="60" w:line="240" w:lineRule="auto"/>
        <w:ind w:left="1080"/>
      </w:pPr>
      <w:r>
        <w:t>Persons appointed as health care agents under an Ohio Durable Power of Attorney for Health Care</w:t>
      </w:r>
    </w:p>
    <w:p w14:paraId="03A6B4B0" w14:textId="77777777" w:rsidR="00404880" w:rsidRPr="00BA63C3" w:rsidRDefault="00404880" w:rsidP="00A07209">
      <w:pPr>
        <w:numPr>
          <w:ilvl w:val="0"/>
          <w:numId w:val="208"/>
        </w:numPr>
        <w:tabs>
          <w:tab w:val="clear" w:pos="3600"/>
          <w:tab w:val="num" w:pos="1080"/>
        </w:tabs>
        <w:spacing w:after="60" w:line="240" w:lineRule="auto"/>
        <w:ind w:left="1080"/>
      </w:pPr>
      <w:r>
        <w:t>Court-appointed guardians</w:t>
      </w:r>
    </w:p>
    <w:p w14:paraId="2D6E6F53" w14:textId="77777777" w:rsidR="00404880" w:rsidRPr="00BA63C3" w:rsidRDefault="00404880" w:rsidP="00A07209">
      <w:pPr>
        <w:numPr>
          <w:ilvl w:val="0"/>
          <w:numId w:val="208"/>
        </w:numPr>
        <w:tabs>
          <w:tab w:val="clear" w:pos="3600"/>
          <w:tab w:val="num" w:pos="1080"/>
        </w:tabs>
        <w:spacing w:after="0" w:line="240" w:lineRule="auto"/>
        <w:ind w:left="1080"/>
      </w:pPr>
      <w:r>
        <w:t>Next of kin in the following order: spouse, adult child, parent, and adult sibling</w:t>
      </w:r>
    </w:p>
    <w:p w14:paraId="00B17D27" w14:textId="77777777" w:rsidR="00404880" w:rsidRPr="00BA63C3" w:rsidRDefault="00404880" w:rsidP="00404880"/>
    <w:p w14:paraId="341AE4E9" w14:textId="77777777" w:rsidR="00404880" w:rsidRDefault="00404880" w:rsidP="00A07209">
      <w:pPr>
        <w:numPr>
          <w:ilvl w:val="0"/>
          <w:numId w:val="323"/>
        </w:numPr>
        <w:spacing w:after="0" w:line="240" w:lineRule="auto"/>
        <w:ind w:left="360" w:hanging="360"/>
        <w:rPr>
          <w:b/>
        </w:rPr>
      </w:pPr>
      <w:r>
        <w:rPr>
          <w:b/>
        </w:rPr>
        <w:t>General Information</w:t>
      </w:r>
    </w:p>
    <w:p w14:paraId="06CC8AC7" w14:textId="77777777" w:rsidR="00471D7F" w:rsidRPr="00471D7F" w:rsidRDefault="00471D7F" w:rsidP="00471D7F">
      <w:pPr>
        <w:spacing w:after="0" w:line="240" w:lineRule="auto"/>
        <w:ind w:left="360"/>
        <w:rPr>
          <w:b/>
        </w:rPr>
      </w:pPr>
    </w:p>
    <w:p w14:paraId="6FF4A1E2" w14:textId="77777777" w:rsidR="00404880" w:rsidRDefault="00404880" w:rsidP="00A07209">
      <w:pPr>
        <w:numPr>
          <w:ilvl w:val="0"/>
          <w:numId w:val="316"/>
        </w:numPr>
        <w:spacing w:after="0" w:line="240" w:lineRule="auto"/>
      </w:pPr>
      <w:r>
        <w:t>Federal regulations require additional protections for subjects vulnerable to coercion or undue influence, such as children, prisoners, individuals with impaired decision-making capacity, or economically or educationally disadvantaged persons. These, and other individuals not specifically named in the regulations, may be vulnerable to coercion or undue influence because their autonomy is limited in some way, thereby affecting their ability to provide voluntary, informed consent.</w:t>
      </w:r>
    </w:p>
    <w:p w14:paraId="16F35C65" w14:textId="77777777" w:rsidR="00471D7F" w:rsidRPr="00471D7F" w:rsidRDefault="00471D7F" w:rsidP="00471D7F">
      <w:pPr>
        <w:spacing w:after="0" w:line="240" w:lineRule="auto"/>
        <w:ind w:left="720"/>
      </w:pPr>
    </w:p>
    <w:p w14:paraId="112C3F2C" w14:textId="77777777" w:rsidR="00404880" w:rsidRDefault="00404880" w:rsidP="00A07209">
      <w:pPr>
        <w:numPr>
          <w:ilvl w:val="0"/>
          <w:numId w:val="316"/>
        </w:numPr>
        <w:spacing w:after="0" w:line="240" w:lineRule="auto"/>
      </w:pPr>
      <w:r>
        <w:t>Pressures to participate may be subtle, as when research is conducted in settings or institutions providing employment or services (e.g., medical care or education). Individuals may believe that choosing or refusing to participate will influence access to or the quality of employment opportunities or desired services. Research should be designed to address any such potential pressures to maintain an individual’s right to decline participation. Investigators and IRBs should give particular consideration to subject selection, recruitment, and informed consent processes.</w:t>
      </w:r>
    </w:p>
    <w:p w14:paraId="69804277" w14:textId="77777777" w:rsidR="00471D7F" w:rsidRPr="00471D7F" w:rsidRDefault="00471D7F" w:rsidP="00471D7F">
      <w:pPr>
        <w:spacing w:after="0" w:line="240" w:lineRule="auto"/>
      </w:pPr>
    </w:p>
    <w:p w14:paraId="7882B402" w14:textId="77777777" w:rsidR="00404880" w:rsidRPr="00BA63C3" w:rsidRDefault="00404880" w:rsidP="00A07209">
      <w:pPr>
        <w:numPr>
          <w:ilvl w:val="0"/>
          <w:numId w:val="316"/>
        </w:numPr>
        <w:spacing w:after="0" w:line="240" w:lineRule="auto"/>
      </w:pPr>
      <w:r>
        <w:t>Observation of the consent process (e.g., by IRB members or ORRP staff) or other similar protections should be considered when concerns exist about whether potential participants can exercise free choice regarding research participation. Examples include studies involving individuals whose willingness to participate may be unduly influenced by the expectation of potential benefits for their disease or condition, or those who may be in a position to fear negative consequences (real or perceived) from a supervisor or other authority figure for refusing to participate.</w:t>
      </w:r>
    </w:p>
    <w:p w14:paraId="49409654" w14:textId="77777777" w:rsidR="00404880" w:rsidRPr="00BA63C3" w:rsidRDefault="00404880" w:rsidP="00404880">
      <w:pPr>
        <w:ind w:left="360"/>
        <w:rPr>
          <w:b/>
        </w:rPr>
      </w:pPr>
    </w:p>
    <w:p w14:paraId="4DD3FA0B" w14:textId="77777777" w:rsidR="00404880" w:rsidRPr="00BA63C3" w:rsidRDefault="00404880" w:rsidP="00A07209">
      <w:pPr>
        <w:numPr>
          <w:ilvl w:val="0"/>
          <w:numId w:val="323"/>
        </w:numPr>
        <w:spacing w:after="0" w:line="240" w:lineRule="auto"/>
        <w:ind w:left="360" w:hanging="360"/>
        <w:rPr>
          <w:b/>
        </w:rPr>
      </w:pPr>
      <w:r>
        <w:rPr>
          <w:b/>
        </w:rPr>
        <w:t>Students as Research Participants</w:t>
      </w:r>
    </w:p>
    <w:p w14:paraId="582C568E" w14:textId="77777777" w:rsidR="00404880" w:rsidRPr="00BA63C3" w:rsidRDefault="00404880" w:rsidP="00404880">
      <w:pPr>
        <w:rPr>
          <w:b/>
        </w:rPr>
      </w:pPr>
    </w:p>
    <w:p w14:paraId="38016844" w14:textId="77777777" w:rsidR="00404880" w:rsidRPr="00BA63C3" w:rsidRDefault="00404880" w:rsidP="00A07209">
      <w:pPr>
        <w:numPr>
          <w:ilvl w:val="1"/>
          <w:numId w:val="323"/>
        </w:numPr>
        <w:spacing w:after="0" w:line="240" w:lineRule="auto"/>
        <w:ind w:left="720" w:hanging="360"/>
        <w:rPr>
          <w:color w:val="000000"/>
        </w:rPr>
      </w:pPr>
      <w:r>
        <w:lastRenderedPageBreak/>
        <w:t xml:space="preserve">Students, including Ohio State students (e.g., undergraduates, graduate students, medical students, residents, fellows, doctoral students, etc.) may be recruited for research participation; however, a student must not be required to participate in research (without a comparable non-research alternative offered) as a course requirement. Students (individuals or groups) should not be selected solely on the basis of convenience when they would not otherwise be appropriate for inclusion. For more information on equitable selection of subjects, see HRPP policy </w:t>
      </w:r>
      <w:hyperlink r:id="rId286" w:history="1">
        <w:r>
          <w:rPr>
            <w:rStyle w:val="Hyperlink"/>
            <w:bCs/>
          </w:rPr>
          <w:t>[Recruiting Methods, Recruitment Materials, and Participant Compensation]</w:t>
        </w:r>
        <w:r>
          <w:rPr>
            <w:rStyle w:val="Hyperlink"/>
          </w:rPr>
          <w:t>.</w:t>
        </w:r>
      </w:hyperlink>
    </w:p>
    <w:p w14:paraId="2909DB03" w14:textId="77777777" w:rsidR="00404880" w:rsidRPr="00BA63C3" w:rsidRDefault="00404880" w:rsidP="00471D7F">
      <w:pPr>
        <w:ind w:left="720"/>
      </w:pPr>
    </w:p>
    <w:p w14:paraId="7A23C18D"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Recruitment of students as research participants must be designed to minimize the possibility of coercion or undue influence. In general, potential participants should be solicited from a “broad base” of individuals meeting the conditions for study, rather than by personal solicitation of specific students. Strategies to minimize the potential influence of an investigator when recruiting his/her own students include </w:t>
      </w:r>
      <w:r>
        <w:t>recruitment by general announcements, postings or sign-up sheets, or other methods that require a student interested in participation to initiate contact with the investigator(s).</w:t>
      </w:r>
    </w:p>
    <w:p w14:paraId="48C538A8" w14:textId="77777777" w:rsidR="00404880" w:rsidRPr="00BA63C3" w:rsidRDefault="00404880" w:rsidP="00471D7F">
      <w:pPr>
        <w:ind w:left="720"/>
        <w:rPr>
          <w:color w:val="000000"/>
        </w:rPr>
      </w:pPr>
    </w:p>
    <w:p w14:paraId="511B5760" w14:textId="77777777" w:rsidR="00404880" w:rsidRPr="00BA63C3" w:rsidRDefault="00404880" w:rsidP="00A07209">
      <w:pPr>
        <w:numPr>
          <w:ilvl w:val="1"/>
          <w:numId w:val="323"/>
        </w:numPr>
        <w:spacing w:after="0" w:line="240" w:lineRule="auto"/>
        <w:ind w:left="720" w:hanging="360"/>
        <w:rPr>
          <w:color w:val="000000"/>
        </w:rPr>
      </w:pPr>
      <w:r>
        <w:rPr>
          <w:color w:val="000000"/>
        </w:rPr>
        <w:t xml:space="preserve">Investigators and IRBs must consider strategies to ensure voluntary participation when the subjects of research include students who receive instruction directly from the investigator(s). Young students, in particular, </w:t>
      </w:r>
      <w:r>
        <w:t>may volunteer to participate in research in an effort to please a teacher (</w:t>
      </w:r>
      <w:r>
        <w:rPr>
          <w:iCs/>
        </w:rPr>
        <w:t>e.g</w:t>
      </w:r>
      <w:r>
        <w:t>., as when credit is given for participation in class) or because they fear that failure to participate will negatively affect their relationship with the teacher-investigator or faculty in general (</w:t>
      </w:r>
      <w:r>
        <w:rPr>
          <w:iCs/>
        </w:rPr>
        <w:t>i.e</w:t>
      </w:r>
      <w:r>
        <w:t xml:space="preserve">., by seeming uncooperative or unaware of scholarly research). Students’ cultural or religious backgrounds (e.g., requiring deference to authority figures) may also influence their choices. </w:t>
      </w:r>
      <w:r>
        <w:rPr>
          <w:color w:val="000000"/>
        </w:rPr>
        <w:t>A student’s decision about research participation must not affect (favorably or unfavorably) grades, potential letters of recommendation, or other opportunities or decisions made by teacher-investigators.</w:t>
      </w:r>
    </w:p>
    <w:p w14:paraId="20F3EF9E" w14:textId="77777777" w:rsidR="00404880" w:rsidRPr="00BA63C3" w:rsidRDefault="00404880" w:rsidP="00471D7F">
      <w:pPr>
        <w:ind w:left="720"/>
        <w:rPr>
          <w:color w:val="000000"/>
        </w:rPr>
      </w:pPr>
    </w:p>
    <w:p w14:paraId="493C4FE6" w14:textId="77777777" w:rsidR="00404880" w:rsidRPr="00BA63C3" w:rsidRDefault="00404880" w:rsidP="00A07209">
      <w:pPr>
        <w:numPr>
          <w:ilvl w:val="1"/>
          <w:numId w:val="323"/>
        </w:numPr>
        <w:spacing w:after="0" w:line="240" w:lineRule="auto"/>
        <w:ind w:left="720" w:hanging="360"/>
        <w:rPr>
          <w:color w:val="000000"/>
        </w:rPr>
      </w:pPr>
      <w:r>
        <w:t>Except in unusual circumstances, investigators should not enroll students from their own classes when the research involves greater than minimal risk without the prospect of direct benefit. Such studies should proceed only when the IRB determines that adequate provisions have been made to minimize the possibility of coercion, and that the research is of significant importance and cannot be conducted without the enrollment of these students.</w:t>
      </w:r>
    </w:p>
    <w:p w14:paraId="29D1F9AE" w14:textId="77777777" w:rsidR="00404880" w:rsidRPr="00BA63C3" w:rsidRDefault="00404880" w:rsidP="00471D7F">
      <w:pPr>
        <w:ind w:left="720"/>
        <w:rPr>
          <w:color w:val="000000"/>
        </w:rPr>
      </w:pPr>
    </w:p>
    <w:p w14:paraId="77645ADB" w14:textId="77777777" w:rsidR="00404880" w:rsidRPr="00BA63C3" w:rsidRDefault="00404880" w:rsidP="00A07209">
      <w:pPr>
        <w:numPr>
          <w:ilvl w:val="1"/>
          <w:numId w:val="323"/>
        </w:numPr>
        <w:spacing w:after="0" w:line="240" w:lineRule="auto"/>
        <w:ind w:left="720" w:hanging="360"/>
        <w:rPr>
          <w:color w:val="000000"/>
        </w:rPr>
      </w:pPr>
      <w:r>
        <w:rPr>
          <w:color w:val="000000"/>
        </w:rPr>
        <w:t>Additional safeguards may be needed to protect the privacy interests of research participants when the participants are students. Classroom conditions may make it difficult for investigators to keep an individual’s participation confidential, which could pose risks to participants (e.g., when stigma is associated with the condition or question under study or when peer pressure is a component of the research). In such situations, consideration should be given to whether conducting the research off-site and/or outside of regular school hours may minimize potential risks.</w:t>
      </w:r>
    </w:p>
    <w:p w14:paraId="5FFE6ACF" w14:textId="77777777" w:rsidR="00404880" w:rsidRPr="00BA63C3" w:rsidRDefault="00404880" w:rsidP="00471D7F">
      <w:pPr>
        <w:ind w:left="720"/>
        <w:rPr>
          <w:color w:val="000000"/>
        </w:rPr>
      </w:pPr>
    </w:p>
    <w:p w14:paraId="3E546CBA" w14:textId="77777777" w:rsidR="00404880" w:rsidRPr="00BA63C3" w:rsidRDefault="00404880" w:rsidP="00A07209">
      <w:pPr>
        <w:numPr>
          <w:ilvl w:val="1"/>
          <w:numId w:val="323"/>
        </w:numPr>
        <w:spacing w:after="0" w:line="240" w:lineRule="auto"/>
        <w:ind w:left="720" w:hanging="360"/>
        <w:rPr>
          <w:color w:val="000000"/>
        </w:rPr>
      </w:pPr>
      <w:r>
        <w:rPr>
          <w:color w:val="000000"/>
        </w:rPr>
        <w:t>Protecting the confidentiality of research participants’ personal information when the participants are students may also present additional challenges. The extent to which personal information and/or research data may be accessible to parents, teachers, or others not directly involved in the research must be considered and disclosed to potential participants and their parents/guardians (as applicable) in the informed consent and assent processes.</w:t>
      </w:r>
    </w:p>
    <w:p w14:paraId="47DBFA21" w14:textId="77777777" w:rsidR="00404880" w:rsidRPr="00BA63C3" w:rsidRDefault="00404880" w:rsidP="00471D7F">
      <w:pPr>
        <w:ind w:left="720"/>
        <w:rPr>
          <w:highlight w:val="cyan"/>
        </w:rPr>
      </w:pPr>
    </w:p>
    <w:p w14:paraId="5D17A6AB" w14:textId="77777777" w:rsidR="00404880" w:rsidRDefault="00404880" w:rsidP="00A07209">
      <w:pPr>
        <w:numPr>
          <w:ilvl w:val="1"/>
          <w:numId w:val="323"/>
        </w:numPr>
        <w:spacing w:after="0" w:line="240" w:lineRule="auto"/>
        <w:ind w:left="720" w:hanging="360"/>
      </w:pPr>
      <w:r>
        <w:t xml:space="preserve">In cases where regular classroom activities are also the topic of research, investigators must clarify for potential research participants (and/or their parents, as applicable) those activities that are optional and distinct from required classroom activities that would take place even without the research. When access to students, educational records, or school facilities is needed for recruitment and/or research activities, a letter of support </w:t>
      </w:r>
      <w:r>
        <w:lastRenderedPageBreak/>
        <w:t>from an individual authorized to speak on behalf of the school/district (e.g., principal or superintendent) is generally required.</w:t>
      </w:r>
    </w:p>
    <w:p w14:paraId="6F61D06D" w14:textId="77777777" w:rsidR="00471D7F" w:rsidRPr="00471D7F" w:rsidRDefault="00471D7F" w:rsidP="00471D7F">
      <w:pPr>
        <w:spacing w:after="0" w:line="240" w:lineRule="auto"/>
      </w:pPr>
    </w:p>
    <w:p w14:paraId="1685CB6E" w14:textId="77777777" w:rsidR="00404880" w:rsidRPr="00BA63C3" w:rsidRDefault="00404880" w:rsidP="00A07209">
      <w:pPr>
        <w:numPr>
          <w:ilvl w:val="1"/>
          <w:numId w:val="323"/>
        </w:numPr>
        <w:spacing w:after="0" w:line="240" w:lineRule="auto"/>
        <w:ind w:left="720" w:hanging="360"/>
        <w:rPr>
          <w:color w:val="000000"/>
        </w:rPr>
      </w:pPr>
      <w:r>
        <w:t xml:space="preserve">Certain additional protections for students and parents are provided by federal regulations. The proposed use of student education records for research must comply with the requirements of the </w:t>
      </w:r>
      <w:hyperlink r:id="rId287" w:history="1">
        <w:r>
          <w:rPr>
            <w:rStyle w:val="Hyperlink"/>
          </w:rPr>
          <w:t>Family Educational and Rights Privacy Act (FERPA)</w:t>
        </w:r>
      </w:hyperlink>
      <w:r>
        <w:t xml:space="preserve">. Research involving surveys with students must comply with the </w:t>
      </w:r>
      <w:hyperlink r:id="rId288" w:history="1">
        <w:r>
          <w:rPr>
            <w:rStyle w:val="Hyperlink"/>
          </w:rPr>
          <w:t>Protection of Pupil Rights Amendment (PPRA)</w:t>
        </w:r>
      </w:hyperlink>
      <w:r>
        <w:t>.</w:t>
      </w:r>
    </w:p>
    <w:p w14:paraId="25D9E8BE" w14:textId="77777777" w:rsidR="00404880" w:rsidRPr="00BA63C3" w:rsidRDefault="00404880" w:rsidP="00404880">
      <w:pPr>
        <w:rPr>
          <w:color w:val="000000"/>
        </w:rPr>
      </w:pPr>
    </w:p>
    <w:p w14:paraId="33C29A30" w14:textId="77777777" w:rsidR="00404880" w:rsidRDefault="00404880" w:rsidP="00A07209">
      <w:pPr>
        <w:pStyle w:val="Heading3"/>
        <w:numPr>
          <w:ilvl w:val="0"/>
          <w:numId w:val="323"/>
        </w:numPr>
        <w:spacing w:after="0"/>
        <w:ind w:left="360" w:hanging="360"/>
      </w:pPr>
      <w:r>
        <w:t>Student Research “Pools”</w:t>
      </w:r>
    </w:p>
    <w:p w14:paraId="4BA2031F" w14:textId="77777777" w:rsidR="00471D7F" w:rsidRPr="00471D7F" w:rsidRDefault="00471D7F" w:rsidP="00471D7F"/>
    <w:p w14:paraId="215E9461" w14:textId="77777777" w:rsidR="00404880" w:rsidRDefault="00404880" w:rsidP="00A07209">
      <w:pPr>
        <w:numPr>
          <w:ilvl w:val="1"/>
          <w:numId w:val="323"/>
        </w:numPr>
        <w:spacing w:after="0" w:line="240" w:lineRule="auto"/>
        <w:ind w:left="720" w:hanging="360"/>
        <w:rPr>
          <w:color w:val="000000"/>
        </w:rPr>
      </w:pPr>
      <w:r>
        <w:rPr>
          <w:color w:val="000000"/>
        </w:rPr>
        <w:t xml:space="preserve">Ohio State students are offered the opportunity to participate in research (as subjects) in various ways. Examples include participation for credit as part of a course requirement (e.g., Psychology Research Education Program), for “extra credit” in a course, or in exchange for payment. A </w:t>
      </w:r>
      <w:r>
        <w:t>student must not be required to participate in research for course credit unless a comparable non-research alternative is also offered.</w:t>
      </w:r>
    </w:p>
    <w:p w14:paraId="446F1817" w14:textId="77777777" w:rsidR="00471D7F" w:rsidRPr="00471D7F" w:rsidRDefault="00471D7F" w:rsidP="00471D7F">
      <w:pPr>
        <w:spacing w:after="0" w:line="240" w:lineRule="auto"/>
        <w:ind w:left="720"/>
        <w:rPr>
          <w:color w:val="000000"/>
        </w:rPr>
      </w:pPr>
    </w:p>
    <w:p w14:paraId="74FC15CD" w14:textId="77777777" w:rsidR="00404880" w:rsidRDefault="00404880" w:rsidP="00A07209">
      <w:pPr>
        <w:numPr>
          <w:ilvl w:val="1"/>
          <w:numId w:val="323"/>
        </w:numPr>
        <w:spacing w:after="0" w:line="240" w:lineRule="auto"/>
        <w:ind w:left="720" w:hanging="360"/>
        <w:rPr>
          <w:color w:val="000000"/>
        </w:rPr>
      </w:pPr>
      <w:r>
        <w:rPr>
          <w:color w:val="000000"/>
        </w:rPr>
        <w:t>To minimize the potential for coercion, alternatives to participating in research for course credit that are offered must be comparable in terms of time, effort, and fulfillment of course requirements. Examples include reading and/or writing research papers, attending research presentations offered by faculty, or observing performance of research studies</w:t>
      </w:r>
    </w:p>
    <w:p w14:paraId="05DD4573" w14:textId="77777777" w:rsidR="00471D7F" w:rsidRPr="00471D7F" w:rsidRDefault="00471D7F" w:rsidP="00471D7F">
      <w:pPr>
        <w:spacing w:after="0" w:line="240" w:lineRule="auto"/>
        <w:rPr>
          <w:color w:val="000000"/>
        </w:rPr>
      </w:pPr>
    </w:p>
    <w:p w14:paraId="14BDF684" w14:textId="77777777" w:rsidR="00404880" w:rsidRPr="00471D7F" w:rsidRDefault="00404880" w:rsidP="00A07209">
      <w:pPr>
        <w:numPr>
          <w:ilvl w:val="1"/>
          <w:numId w:val="323"/>
        </w:numPr>
        <w:spacing w:after="0" w:line="240" w:lineRule="auto"/>
        <w:ind w:left="720" w:hanging="360"/>
        <w:rPr>
          <w:color w:val="000000"/>
        </w:rPr>
      </w:pPr>
      <w:r>
        <w:rPr>
          <w:color w:val="000000"/>
        </w:rPr>
        <w:t xml:space="preserve">All research participants, including students, must be free to withdraw from participation at any point in a study without penalty. Students who withdraw from a research study for course credit must receive full course credit for participation. When payment is offered, </w:t>
      </w:r>
      <w:r>
        <w:t>credit for payment should accrue as the study progresses (</w:t>
      </w:r>
      <w:r>
        <w:rPr>
          <w:color w:val="000000"/>
        </w:rPr>
        <w:t xml:space="preserve">as appropriate to the research) </w:t>
      </w:r>
      <w:r>
        <w:t>and should not be contingent upon the student completing the entire study. For more information, see HRPP policy</w:t>
      </w:r>
      <w:r>
        <w:rPr>
          <w:color w:val="000000"/>
        </w:rPr>
        <w:t xml:space="preserve"> </w:t>
      </w:r>
      <w:r>
        <w:t>[</w:t>
      </w:r>
      <w:hyperlink r:id="rId289" w:history="1">
        <w:r>
          <w:rPr>
            <w:rStyle w:val="Hyperlink"/>
          </w:rPr>
          <w:t>Recruiting Methods, Recruitment Materials, and Participant Compensation</w:t>
        </w:r>
      </w:hyperlink>
      <w:r>
        <w:t>].</w:t>
      </w:r>
    </w:p>
    <w:p w14:paraId="56A6E019" w14:textId="77777777" w:rsidR="00471D7F" w:rsidRPr="00BA63C3" w:rsidRDefault="00471D7F" w:rsidP="00471D7F">
      <w:pPr>
        <w:spacing w:after="0" w:line="240" w:lineRule="auto"/>
        <w:rPr>
          <w:color w:val="000000"/>
        </w:rPr>
      </w:pPr>
    </w:p>
    <w:p w14:paraId="5AEFF71F" w14:textId="77777777" w:rsidR="00404880" w:rsidRPr="00BA63C3" w:rsidRDefault="00404880" w:rsidP="00A07209">
      <w:pPr>
        <w:numPr>
          <w:ilvl w:val="1"/>
          <w:numId w:val="323"/>
        </w:numPr>
        <w:spacing w:after="0" w:line="240" w:lineRule="auto"/>
        <w:ind w:left="720" w:hanging="360"/>
        <w:rPr>
          <w:color w:val="000000"/>
        </w:rPr>
      </w:pPr>
      <w:r>
        <w:rPr>
          <w:color w:val="000000"/>
        </w:rPr>
        <w:t>Study-specific informed consent is required as described by federal regulations and HRPP policies [</w:t>
      </w:r>
      <w:hyperlink r:id="rId290" w:history="1">
        <w:r>
          <w:rPr>
            <w:rStyle w:val="Hyperlink"/>
          </w:rPr>
          <w:t>Informed Consent Process and the Elements of Informed Consent</w:t>
        </w:r>
      </w:hyperlink>
      <w:r>
        <w:t>] and [</w:t>
      </w:r>
      <w:hyperlink r:id="rId291" w:history="1">
        <w:r>
          <w:rPr>
            <w:rStyle w:val="Hyperlink"/>
          </w:rPr>
          <w:t>Documentation of the Informed Consent Process</w:t>
        </w:r>
      </w:hyperlink>
      <w:r>
        <w:t xml:space="preserve">]. </w:t>
      </w:r>
      <w:r>
        <w:rPr>
          <w:color w:val="000000"/>
        </w:rPr>
        <w:t>Parental permission and assent are required for Ohio State students (including high school students taking Ohio State courses) who meet the regulatory definition of children. Refer to HRPP policy [</w:t>
      </w:r>
      <w:hyperlink r:id="rId292" w:history="1">
        <w:r>
          <w:rPr>
            <w:rStyle w:val="Hyperlink"/>
          </w:rPr>
          <w:t>Research Involving Children</w:t>
        </w:r>
      </w:hyperlink>
      <w:r>
        <w:rPr>
          <w:color w:val="000000"/>
        </w:rPr>
        <w:t>] for additional guidance on this population.</w:t>
      </w:r>
    </w:p>
    <w:p w14:paraId="42E84A83" w14:textId="77777777" w:rsidR="00404880" w:rsidRPr="00BA63C3" w:rsidRDefault="00404880" w:rsidP="00404880">
      <w:pPr>
        <w:pStyle w:val="Title"/>
      </w:pPr>
    </w:p>
    <w:p w14:paraId="647F4CCB" w14:textId="77777777" w:rsidR="00404880" w:rsidRPr="00BA63C3" w:rsidRDefault="00404880" w:rsidP="00A07209">
      <w:pPr>
        <w:pStyle w:val="Heading3"/>
        <w:numPr>
          <w:ilvl w:val="0"/>
          <w:numId w:val="323"/>
        </w:numPr>
        <w:spacing w:after="0"/>
        <w:ind w:left="360" w:hanging="360"/>
      </w:pPr>
      <w:r>
        <w:t>Employees as Research Participants</w:t>
      </w:r>
    </w:p>
    <w:p w14:paraId="02B1F359" w14:textId="77777777" w:rsidR="00404880" w:rsidRPr="00BA63C3" w:rsidRDefault="00404880" w:rsidP="00404880">
      <w:pPr>
        <w:pStyle w:val="Title"/>
      </w:pPr>
    </w:p>
    <w:p w14:paraId="7FD14A83" w14:textId="77777777" w:rsidR="00404880" w:rsidRPr="00BA63C3" w:rsidRDefault="00404880" w:rsidP="00A07209">
      <w:pPr>
        <w:numPr>
          <w:ilvl w:val="1"/>
          <w:numId w:val="323"/>
        </w:numPr>
        <w:spacing w:after="0" w:line="240" w:lineRule="auto"/>
        <w:ind w:left="720" w:hanging="360"/>
        <w:rPr>
          <w:color w:val="000000"/>
        </w:rPr>
      </w:pPr>
      <w:r>
        <w:t xml:space="preserve">Employees, including university employees (e.g., full-time, part-time, temporary, visiting, student employee appointments), may be recruited for research participation; however, an employee must not be required to participate in research as a condition of employment. Employees (individuals or groups) should not be selected solely on the basis of convenience when they would not otherwise be appropriate for inclusion. For more information on equitable selection of subjects, see HRPP policy </w:t>
      </w:r>
      <w:r>
        <w:rPr>
          <w:bCs/>
          <w:color w:val="000000"/>
        </w:rPr>
        <w:t>[</w:t>
      </w:r>
      <w:hyperlink r:id="rId293" w:history="1">
        <w:r>
          <w:rPr>
            <w:rStyle w:val="Hyperlink"/>
            <w:bCs/>
          </w:rPr>
          <w:t>Recruiting Methods, Recruitment Materials, and Participant Compensation</w:t>
        </w:r>
      </w:hyperlink>
      <w:r>
        <w:rPr>
          <w:bCs/>
          <w:color w:val="000000"/>
        </w:rPr>
        <w:t>]</w:t>
      </w:r>
      <w:r>
        <w:t>.</w:t>
      </w:r>
    </w:p>
    <w:p w14:paraId="1B2471BD" w14:textId="77777777" w:rsidR="00404880" w:rsidRPr="00BA63C3" w:rsidRDefault="00404880" w:rsidP="00404880">
      <w:pPr>
        <w:ind w:left="360"/>
        <w:rPr>
          <w:color w:val="000000"/>
        </w:rPr>
      </w:pPr>
    </w:p>
    <w:p w14:paraId="602C2AA9" w14:textId="77777777" w:rsidR="00404880" w:rsidRPr="00BA63C3" w:rsidRDefault="00404880" w:rsidP="00A07209">
      <w:pPr>
        <w:numPr>
          <w:ilvl w:val="1"/>
          <w:numId w:val="323"/>
        </w:numPr>
        <w:spacing w:after="0" w:line="240" w:lineRule="auto"/>
        <w:ind w:left="720" w:hanging="360"/>
        <w:rPr>
          <w:color w:val="000000"/>
        </w:rPr>
      </w:pPr>
      <w:r>
        <w:rPr>
          <w:color w:val="000000"/>
        </w:rPr>
        <w:lastRenderedPageBreak/>
        <w:t xml:space="preserve">Recruitment of potential participants who are employees must be designed to minimize the possibility of coercion or undue influence. In general, potential participants should be solicited from a “broad base” of individuals meeting the conditions for study, rather than from individuals who report directly to the investigator(s). Strategies to minimize the potential influence of an investigator when recruiting his/her own employees include </w:t>
      </w:r>
      <w:r>
        <w:t>recruitment through a third party unassociated in a supervisory relationship with the employee, postings or sign-up sheets, or other methods that require an employee interested in participation to initiate contact with the investigator(s).</w:t>
      </w:r>
    </w:p>
    <w:p w14:paraId="196D8EC8" w14:textId="77777777" w:rsidR="00404880" w:rsidRPr="00BA63C3" w:rsidRDefault="00404880" w:rsidP="00404880">
      <w:pPr>
        <w:ind w:left="360"/>
        <w:rPr>
          <w:color w:val="000000"/>
        </w:rPr>
      </w:pPr>
    </w:p>
    <w:p w14:paraId="1B0B4C06" w14:textId="77777777" w:rsidR="00404880" w:rsidRPr="00BA63C3" w:rsidRDefault="00404880" w:rsidP="00A07209">
      <w:pPr>
        <w:numPr>
          <w:ilvl w:val="1"/>
          <w:numId w:val="323"/>
        </w:numPr>
        <w:spacing w:after="0" w:line="240" w:lineRule="auto"/>
        <w:ind w:left="720" w:hanging="360"/>
        <w:rPr>
          <w:color w:val="000000"/>
        </w:rPr>
      </w:pPr>
      <w:r>
        <w:rPr>
          <w:color w:val="000000"/>
        </w:rPr>
        <w:t>Investigators and IRBs must consider strategies to ensure voluntary participation when the subjects of research include employees who are directly supervised by the investigator(s). An employee’s decision about research participation must not affect (favorably or unfavorably) performance evaluations, career advancement, or other employment-related decisions made by peers or supervisors.</w:t>
      </w:r>
    </w:p>
    <w:p w14:paraId="1B7052F4" w14:textId="77777777" w:rsidR="00404880" w:rsidRPr="00BA63C3" w:rsidRDefault="00404880" w:rsidP="00404880">
      <w:pPr>
        <w:rPr>
          <w:color w:val="000000"/>
        </w:rPr>
      </w:pPr>
    </w:p>
    <w:p w14:paraId="3F2B2D23" w14:textId="77777777" w:rsidR="00404880" w:rsidRPr="00BA63C3" w:rsidRDefault="00404880" w:rsidP="00A07209">
      <w:pPr>
        <w:numPr>
          <w:ilvl w:val="1"/>
          <w:numId w:val="323"/>
        </w:numPr>
        <w:spacing w:after="0" w:line="240" w:lineRule="auto"/>
        <w:ind w:left="720" w:hanging="360"/>
        <w:rPr>
          <w:color w:val="000000"/>
        </w:rPr>
      </w:pPr>
      <w:r>
        <w:t>Except in unusual circumstances, investigators should not enroll employees under their direct supervision when the research involves greater than minimal risk without the prospect of direct benefit. Such studies should proceed only when the IRB determines that adequate provisions have been made to minimize the possibility of coercion, and that the research is of significant importance and cannot be conducted without the enrollment of these employees.</w:t>
      </w:r>
    </w:p>
    <w:p w14:paraId="766F7107" w14:textId="77777777" w:rsidR="00404880" w:rsidRPr="00BA63C3" w:rsidRDefault="00404880" w:rsidP="00404880">
      <w:pPr>
        <w:rPr>
          <w:color w:val="000000"/>
        </w:rPr>
      </w:pPr>
    </w:p>
    <w:p w14:paraId="2C50072A" w14:textId="77777777" w:rsidR="00404880" w:rsidRPr="00BA63C3" w:rsidRDefault="00404880" w:rsidP="00A07209">
      <w:pPr>
        <w:numPr>
          <w:ilvl w:val="1"/>
          <w:numId w:val="323"/>
        </w:numPr>
        <w:spacing w:after="0" w:line="240" w:lineRule="auto"/>
        <w:ind w:left="720" w:hanging="360"/>
        <w:rPr>
          <w:color w:val="000000"/>
        </w:rPr>
      </w:pPr>
      <w:r>
        <w:rPr>
          <w:color w:val="000000"/>
        </w:rPr>
        <w:t>Additional safeguards may be needed to protect the privacy interests of employees who are also research participants. Workplace conditions may make it difficult for investigators to keep an individual’s participation confidential, which could pose risks to participants (e.g., when stigma is associated with the condition or question under study or when peer pressure is a component of the research). In such situations, research should be conducted off-site and/or outside of regular work hours when possible to minimize potential risks.</w:t>
      </w:r>
    </w:p>
    <w:p w14:paraId="152FA636" w14:textId="77777777" w:rsidR="00404880" w:rsidRPr="00BA63C3" w:rsidRDefault="00404880" w:rsidP="00404880">
      <w:pPr>
        <w:rPr>
          <w:color w:val="000000"/>
        </w:rPr>
      </w:pPr>
    </w:p>
    <w:p w14:paraId="600811D3" w14:textId="77777777" w:rsidR="00404880" w:rsidRPr="00BA63C3" w:rsidRDefault="00404880" w:rsidP="00A07209">
      <w:pPr>
        <w:numPr>
          <w:ilvl w:val="1"/>
          <w:numId w:val="323"/>
        </w:numPr>
        <w:spacing w:after="0" w:line="240" w:lineRule="auto"/>
        <w:ind w:left="720" w:hanging="360"/>
        <w:rPr>
          <w:color w:val="000000"/>
        </w:rPr>
      </w:pPr>
      <w:r>
        <w:rPr>
          <w:color w:val="000000"/>
        </w:rPr>
        <w:t>Protecting the confidentiality of research participants’ personal information when the participants are employees may also present additional challenges. The extent to which medical information and/or research data may be accessible to supervisors or others not directly involved in the research must be considered and disclosed to potential participants in the informed consent process.</w:t>
      </w:r>
    </w:p>
    <w:p w14:paraId="30A0ABF0" w14:textId="77777777" w:rsidR="00404880" w:rsidRPr="00BA63C3" w:rsidRDefault="00404880" w:rsidP="00404880">
      <w:pPr>
        <w:rPr>
          <w:highlight w:val="cyan"/>
        </w:rPr>
      </w:pPr>
    </w:p>
    <w:p w14:paraId="1EF0D953" w14:textId="77777777" w:rsidR="00404880" w:rsidRPr="00BA63C3" w:rsidRDefault="00404880" w:rsidP="00A07209">
      <w:pPr>
        <w:numPr>
          <w:ilvl w:val="1"/>
          <w:numId w:val="323"/>
        </w:numPr>
        <w:spacing w:after="0" w:line="240" w:lineRule="auto"/>
        <w:ind w:left="720" w:hanging="360"/>
      </w:pPr>
      <w:r>
        <w:t>In cases where regular workplace activities are also the topic of research, investigators must clarify for potential research participants those activities that are optional and distinct from any mandatory workplace activities that would take place even without the research. When access to individuals or the facilities of the site is needed for recruitment and/or research activities, a letter of support from someone authorized to speak on behalf of the employees/site may be required.</w:t>
      </w:r>
    </w:p>
    <w:p w14:paraId="18CE1567" w14:textId="77777777" w:rsidR="00404880" w:rsidRPr="00BA63C3" w:rsidRDefault="00404880" w:rsidP="00404880">
      <w:pPr>
        <w:pStyle w:val="Title"/>
        <w:ind w:hanging="360"/>
      </w:pPr>
    </w:p>
    <w:p w14:paraId="3517D880" w14:textId="77777777" w:rsidR="00404880" w:rsidRPr="00BA63C3" w:rsidRDefault="00404880" w:rsidP="00A07209">
      <w:pPr>
        <w:pStyle w:val="Heading3"/>
        <w:numPr>
          <w:ilvl w:val="0"/>
          <w:numId w:val="323"/>
        </w:numPr>
        <w:spacing w:after="0"/>
        <w:ind w:left="360" w:hanging="360"/>
      </w:pPr>
      <w:r>
        <w:t xml:space="preserve">Adults with Impaired Decision-making Capacity </w:t>
      </w:r>
    </w:p>
    <w:p w14:paraId="6ED9764C" w14:textId="77777777" w:rsidR="00404880" w:rsidRPr="00BA63C3" w:rsidRDefault="00404880" w:rsidP="00404880">
      <w:pPr>
        <w:rPr>
          <w:i/>
        </w:rPr>
      </w:pPr>
    </w:p>
    <w:p w14:paraId="279C2C9C" w14:textId="77777777" w:rsidR="00404880" w:rsidRPr="00BA63C3" w:rsidRDefault="00404880" w:rsidP="00A07209">
      <w:pPr>
        <w:numPr>
          <w:ilvl w:val="0"/>
          <w:numId w:val="317"/>
        </w:numPr>
        <w:spacing w:after="0" w:line="240" w:lineRule="auto"/>
      </w:pPr>
      <w:r>
        <w:t xml:space="preserve">Impaired decision-making capacity comprises a broad range of conditions. Examples include healthy individuals in shock (temporary decisional impairment), those born with severe intellectual disabilities (permanent decisional impairment), individuals with age-related dementia (progressive decisional impairment), individuals with mental illnesses such as schizophrenia (fluctuating capacity), and individuals under the influence of certain drugs (temporary and/or fluctuating capacity). Generally, all adults should be presumed capable of providing </w:t>
      </w:r>
      <w:r>
        <w:lastRenderedPageBreak/>
        <w:t>informed consent unless there is either specific evidence that an individual’s condition/disability would impair reasoning or judgment or another indication that the individual is unable to understand and choose whether or not to participate in research.</w:t>
      </w:r>
    </w:p>
    <w:p w14:paraId="2D681ED6" w14:textId="77777777" w:rsidR="00404880" w:rsidRPr="00BA63C3" w:rsidRDefault="00404880" w:rsidP="00404880">
      <w:pPr>
        <w:ind w:left="720"/>
      </w:pPr>
    </w:p>
    <w:p w14:paraId="0E73BA22" w14:textId="77777777" w:rsidR="00404880" w:rsidRPr="00BA63C3" w:rsidRDefault="00404880" w:rsidP="00A07209">
      <w:pPr>
        <w:numPr>
          <w:ilvl w:val="0"/>
          <w:numId w:val="317"/>
        </w:numPr>
        <w:spacing w:after="0" w:line="240" w:lineRule="auto"/>
      </w:pPr>
      <w:r>
        <w:t>Investigators and IRBs should consider the capacity of potential research participants to provide informed consent; methods to assess capacity appropriate to the research should be included, when necessary. Key factors in individuals' consideration of research participation include an appreciation of how the risks, benefits, and alternatives to participation apply to them personally. When the research involves greater than minimal risk,</w:t>
      </w:r>
      <w:r>
        <w:rPr>
          <w:bCs/>
        </w:rPr>
        <w:t xml:space="preserve"> an independent assessment of the potential participant’s capacity to consent should be performed (or confirmed)</w:t>
      </w:r>
      <w:r>
        <w:t>, except in unusual circumstances where the IRB determines that the research is of critical importance and could not be conducted if the independent assessment were to be required. Methods to provide independent assessments include subjective assessments made by a qualified professional independent of the research team or use of a valid objective instrument(s) designed to evaluate capacity.</w:t>
      </w:r>
    </w:p>
    <w:p w14:paraId="08B85B49" w14:textId="77777777" w:rsidR="00404880" w:rsidRPr="00BA63C3" w:rsidRDefault="00404880" w:rsidP="00404880"/>
    <w:p w14:paraId="2392A416" w14:textId="77777777" w:rsidR="00404880" w:rsidRPr="003D6965" w:rsidRDefault="00404880" w:rsidP="00A07209">
      <w:pPr>
        <w:numPr>
          <w:ilvl w:val="0"/>
          <w:numId w:val="317"/>
        </w:numPr>
        <w:spacing w:after="0" w:line="240" w:lineRule="auto"/>
      </w:pPr>
      <w:r>
        <w:t>Federal regulations require additional safeguards to protect the rights and welfare of research subjects who are likely to be vulnerable to coercion or undue influence. Among others, the regulations include children and individuals with impaired decision-making capacity in this category of subjects. As when children are the subjects of research, for adults with impaired decision-making capacity to provide informed consent, obtaining assent may be one appropriate safeguard (see “</w:t>
      </w:r>
      <w:hyperlink w:anchor="assentadults" w:history="1">
        <w:r>
          <w:rPr>
            <w:rStyle w:val="Hyperlink"/>
          </w:rPr>
          <w:t>Assent of Adults</w:t>
        </w:r>
      </w:hyperlink>
      <w:r>
        <w:t xml:space="preserve">” below). </w:t>
      </w:r>
      <w:r>
        <w:rPr>
          <w:bCs/>
          <w:color w:val="000000"/>
        </w:rPr>
        <w:t>Additional protections for adults with impaired decision-making capacity should be proportional to the severity of the decisional impairment and level of risk.</w:t>
      </w:r>
    </w:p>
    <w:p w14:paraId="4BADAC0B" w14:textId="77777777" w:rsidR="00404880" w:rsidRDefault="00404880" w:rsidP="00404880">
      <w:pPr>
        <w:pStyle w:val="ListParagraph"/>
        <w:ind w:left="0"/>
      </w:pPr>
    </w:p>
    <w:p w14:paraId="60AE09D8" w14:textId="77777777" w:rsidR="00404880" w:rsidRPr="00D15BBE" w:rsidRDefault="00404880" w:rsidP="00A07209">
      <w:pPr>
        <w:numPr>
          <w:ilvl w:val="0"/>
          <w:numId w:val="317"/>
        </w:numPr>
        <w:spacing w:after="120" w:line="240" w:lineRule="auto"/>
      </w:pPr>
      <w:r>
        <w:t xml:space="preserve">The following are the categories of research that may involve adults with impaired decision-making capacity and any additional conditions that must be met for approval: </w:t>
      </w:r>
    </w:p>
    <w:p w14:paraId="0FBC9A3C" w14:textId="77777777" w:rsidR="00404880" w:rsidRDefault="00404880" w:rsidP="00A07209">
      <w:pPr>
        <w:numPr>
          <w:ilvl w:val="0"/>
          <w:numId w:val="321"/>
        </w:numPr>
        <w:spacing w:after="120" w:line="240" w:lineRule="auto"/>
        <w:ind w:left="1080"/>
      </w:pPr>
      <w:r>
        <w:t>Research involving not greater than minimal risk that presents the prospect of direct benefit to such adults</w:t>
      </w:r>
    </w:p>
    <w:p w14:paraId="51759F73" w14:textId="77777777" w:rsidR="00404880" w:rsidRDefault="00404880" w:rsidP="00A07209">
      <w:pPr>
        <w:numPr>
          <w:ilvl w:val="0"/>
          <w:numId w:val="321"/>
        </w:numPr>
        <w:spacing w:after="120" w:line="240" w:lineRule="auto"/>
        <w:ind w:left="1080"/>
      </w:pPr>
      <w:r>
        <w:t>Research involving greater than minimal risk but presenting the prospect of direct benefit when comparison of the risk to the anticipated benefit to such adults is at least as favorable as that presented by alternative approaches</w:t>
      </w:r>
    </w:p>
    <w:p w14:paraId="2872ECB3" w14:textId="77777777" w:rsidR="00404880" w:rsidRDefault="00404880" w:rsidP="00A07209">
      <w:pPr>
        <w:numPr>
          <w:ilvl w:val="0"/>
          <w:numId w:val="321"/>
        </w:numPr>
        <w:spacing w:after="60" w:line="240" w:lineRule="auto"/>
        <w:ind w:left="1080"/>
      </w:pPr>
      <w:r>
        <w:t xml:space="preserve">Research involving greater than minimal risk </w:t>
      </w:r>
      <w:r>
        <w:rPr>
          <w:i/>
        </w:rPr>
        <w:t>without</w:t>
      </w:r>
      <w:r>
        <w:t xml:space="preserve"> the prospect of direct benefit but likely to yield generalizable knowledge about the individual’s disorder or condition, provided that</w:t>
      </w:r>
    </w:p>
    <w:p w14:paraId="5BEF5469" w14:textId="77777777" w:rsidR="00404880" w:rsidRDefault="00404880" w:rsidP="00A07209">
      <w:pPr>
        <w:numPr>
          <w:ilvl w:val="1"/>
          <w:numId w:val="321"/>
        </w:numPr>
        <w:spacing w:after="60" w:line="240" w:lineRule="auto"/>
      </w:pPr>
      <w:r>
        <w:t>The risk to such adults presents no more than a minor increase over minimal risk, and</w:t>
      </w:r>
    </w:p>
    <w:p w14:paraId="078621A1" w14:textId="77777777" w:rsidR="00404880" w:rsidRDefault="00404880" w:rsidP="00A07209">
      <w:pPr>
        <w:numPr>
          <w:ilvl w:val="1"/>
          <w:numId w:val="321"/>
        </w:numPr>
        <w:spacing w:after="0" w:line="240" w:lineRule="auto"/>
      </w:pPr>
      <w:r>
        <w:t>The investigators cannot obtain the desired information by enrolling adults cognitively capable of providing consent</w:t>
      </w:r>
    </w:p>
    <w:p w14:paraId="3FC4DD07" w14:textId="77777777" w:rsidR="00404880" w:rsidRDefault="00404880" w:rsidP="00404880">
      <w:pPr>
        <w:ind w:left="1440"/>
      </w:pPr>
    </w:p>
    <w:p w14:paraId="7E603094" w14:textId="77777777" w:rsidR="00404880" w:rsidRDefault="00404880" w:rsidP="00404880">
      <w:pPr>
        <w:ind w:left="720" w:hanging="432"/>
        <w:rPr>
          <w:b/>
        </w:rPr>
      </w:pPr>
      <w:r>
        <w:rPr>
          <w:b/>
        </w:rPr>
        <w:t xml:space="preserve">E.   </w:t>
      </w:r>
      <w:r>
        <w:t>Investigators and IRBs should consider the following in their decision to enroll adults with impaired decision-making capacity:</w:t>
      </w:r>
    </w:p>
    <w:p w14:paraId="4B349234" w14:textId="77777777" w:rsidR="00404880" w:rsidRPr="00461CDA" w:rsidRDefault="00404880" w:rsidP="00A07209">
      <w:pPr>
        <w:numPr>
          <w:ilvl w:val="0"/>
          <w:numId w:val="322"/>
        </w:numPr>
        <w:spacing w:after="0" w:line="240" w:lineRule="auto"/>
        <w:rPr>
          <w:b/>
        </w:rPr>
      </w:pPr>
      <w:r>
        <w:t>The extent to which the research aims to improve the understanding, diagnosis, prevention, or treatment of the disorders or conditions that are the cause of the incapacity.</w:t>
      </w:r>
    </w:p>
    <w:p w14:paraId="3AD9B938" w14:textId="77777777" w:rsidR="00404880" w:rsidRDefault="00404880" w:rsidP="00A07209">
      <w:pPr>
        <w:numPr>
          <w:ilvl w:val="0"/>
          <w:numId w:val="322"/>
        </w:numPr>
        <w:spacing w:after="0" w:line="240" w:lineRule="auto"/>
      </w:pPr>
      <w:r>
        <w:t>The study of related conditions, phenomena, or circumstances that uniquely affect the research participants may contribute in important ways to the current or future welfare of the study population and therefore may also serve to justify their inclusion in research.</w:t>
      </w:r>
    </w:p>
    <w:p w14:paraId="4DA37B80" w14:textId="77777777" w:rsidR="00404880" w:rsidRPr="00C06EE9" w:rsidRDefault="00404880" w:rsidP="00A07209">
      <w:pPr>
        <w:numPr>
          <w:ilvl w:val="0"/>
          <w:numId w:val="322"/>
        </w:numPr>
        <w:spacing w:after="0" w:line="240" w:lineRule="auto"/>
      </w:pPr>
      <w:r>
        <w:t>The inclusion of individuals who lack capacity may be appropriate in research that offers therapeutic or other benefits to the individual participant when standard approaches are less effective, unproven, or unsatisfactory.</w:t>
      </w:r>
    </w:p>
    <w:p w14:paraId="13C5B565" w14:textId="77777777" w:rsidR="00404880" w:rsidRDefault="00404880" w:rsidP="00404880">
      <w:pPr>
        <w:pStyle w:val="ListParagraph"/>
      </w:pPr>
    </w:p>
    <w:p w14:paraId="22CC99A4" w14:textId="77777777" w:rsidR="00404880" w:rsidRPr="00BA63C3" w:rsidRDefault="00404880" w:rsidP="00A07209">
      <w:pPr>
        <w:numPr>
          <w:ilvl w:val="1"/>
          <w:numId w:val="319"/>
        </w:numPr>
        <w:autoSpaceDE w:val="0"/>
        <w:autoSpaceDN w:val="0"/>
        <w:adjustRightInd w:val="0"/>
        <w:spacing w:after="60" w:line="240" w:lineRule="auto"/>
        <w:rPr>
          <w:bCs/>
          <w:color w:val="000000"/>
        </w:rPr>
      </w:pPr>
      <w:r>
        <w:rPr>
          <w:bCs/>
          <w:color w:val="000000"/>
        </w:rPr>
        <w:lastRenderedPageBreak/>
        <w:t>Investigators and IRBs should consider additional safeguards, balancing the need for protection with the individuals’ right to autonomy. Examples of additional safeguards include (but are not limited to) the following:</w:t>
      </w:r>
    </w:p>
    <w:p w14:paraId="1E2EFA07" w14:textId="77777777" w:rsidR="00404880" w:rsidRPr="00116DB8" w:rsidRDefault="00404880" w:rsidP="00116DB8">
      <w:pPr>
        <w:ind w:left="360" w:firstLine="720"/>
        <w:rPr>
          <w:b/>
        </w:rPr>
      </w:pPr>
      <w:r>
        <w:t>Securing an independent assessment of the participant’s capacity to consent</w:t>
      </w:r>
    </w:p>
    <w:p w14:paraId="0B3AA308"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Identification of a legally authorized representative who has the authority to consent to the adult’s participation in research</w:t>
      </w:r>
    </w:p>
    <w:p w14:paraId="638D1E21"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Obtaining assent from the participant, in addition to surrogate consent</w:t>
      </w:r>
    </w:p>
    <w:p w14:paraId="37C9C8FB"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Regular assessment of the participant’s capacity and provisions for reconfirming the consent of a participant who regains capacity during the course of the research</w:t>
      </w:r>
    </w:p>
    <w:p w14:paraId="53301BBA"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Involvement of family members familiar with the participant’s personal values</w:t>
      </w:r>
    </w:p>
    <w:p w14:paraId="77A4808A"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Designation of an individual at the beginning of the study to serve as a legally authorized representative (only) if the participant’s decision-making capacity becomes compromised during the study</w:t>
      </w:r>
    </w:p>
    <w:p w14:paraId="7CE42364"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Use of informational/educational techniques to enhance communication and understanding during the consent/assent processes</w:t>
      </w:r>
    </w:p>
    <w:p w14:paraId="572EBDDF"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Including “waiting periods” in the consent/assent processes</w:t>
      </w:r>
    </w:p>
    <w:p w14:paraId="3736E84F"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Involvement of a research subject advocate</w:t>
      </w:r>
    </w:p>
    <w:p w14:paraId="507ADF70"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Limiting the risks to which an adult with impaired decision-making capacity is exposed when direct benefits are not anticipated</w:t>
      </w:r>
    </w:p>
    <w:p w14:paraId="14DAA322" w14:textId="77777777" w:rsidR="00404880" w:rsidRPr="00BA63C3" w:rsidRDefault="00404880" w:rsidP="00A07209">
      <w:pPr>
        <w:numPr>
          <w:ilvl w:val="2"/>
          <w:numId w:val="320"/>
        </w:numPr>
        <w:tabs>
          <w:tab w:val="clear" w:pos="360"/>
          <w:tab w:val="num" w:pos="1440"/>
        </w:tabs>
        <w:autoSpaceDE w:val="0"/>
        <w:autoSpaceDN w:val="0"/>
        <w:adjustRightInd w:val="0"/>
        <w:spacing w:after="60" w:line="240" w:lineRule="auto"/>
        <w:ind w:left="1800"/>
        <w:rPr>
          <w:bCs/>
          <w:color w:val="000000"/>
        </w:rPr>
      </w:pPr>
      <w:r>
        <w:rPr>
          <w:bCs/>
          <w:color w:val="000000"/>
        </w:rPr>
        <w:t>Use of an independent monitor or data monitoring committee</w:t>
      </w:r>
    </w:p>
    <w:p w14:paraId="22B101DB" w14:textId="77777777" w:rsidR="00404880" w:rsidRDefault="00404880" w:rsidP="00A07209">
      <w:pPr>
        <w:numPr>
          <w:ilvl w:val="2"/>
          <w:numId w:val="320"/>
        </w:numPr>
        <w:tabs>
          <w:tab w:val="clear" w:pos="360"/>
          <w:tab w:val="num" w:pos="1440"/>
        </w:tabs>
        <w:autoSpaceDE w:val="0"/>
        <w:autoSpaceDN w:val="0"/>
        <w:adjustRightInd w:val="0"/>
        <w:spacing w:after="0" w:line="240" w:lineRule="auto"/>
        <w:ind w:left="1800"/>
        <w:rPr>
          <w:bCs/>
          <w:color w:val="000000"/>
        </w:rPr>
      </w:pPr>
      <w:r>
        <w:rPr>
          <w:bCs/>
          <w:color w:val="000000"/>
        </w:rPr>
        <w:t>Observation of the informed consent/assent processes by a third party as designated by the IRB</w:t>
      </w:r>
    </w:p>
    <w:p w14:paraId="7BA0F25E" w14:textId="77777777" w:rsidR="00471D7F" w:rsidRPr="00471D7F" w:rsidRDefault="00471D7F" w:rsidP="00471D7F">
      <w:pPr>
        <w:autoSpaceDE w:val="0"/>
        <w:autoSpaceDN w:val="0"/>
        <w:adjustRightInd w:val="0"/>
        <w:spacing w:after="0" w:line="240" w:lineRule="auto"/>
        <w:ind w:left="1800"/>
        <w:rPr>
          <w:bCs/>
          <w:color w:val="000000"/>
        </w:rPr>
      </w:pPr>
    </w:p>
    <w:p w14:paraId="687EE8BF" w14:textId="77777777" w:rsidR="00404880" w:rsidRDefault="00404880" w:rsidP="00A07209">
      <w:pPr>
        <w:numPr>
          <w:ilvl w:val="1"/>
          <w:numId w:val="319"/>
        </w:numPr>
        <w:spacing w:after="0" w:line="240" w:lineRule="auto"/>
        <w:ind w:hanging="360"/>
      </w:pPr>
      <w:r>
        <w:rPr>
          <w:bCs/>
        </w:rPr>
        <w:t xml:space="preserve">Regulations require that </w:t>
      </w:r>
      <w:r>
        <w:t>IRBs regularly reviewing research involving vulnerable subjects consider including one or more individuals who are knowledgeable about and experienced in working with these subjects. When reviewing research involving adults with impaired decision-making capacity, the university IRBs will include an individual(s) with appropriate background, knowledge, and experience, and/or a representative(s) of relevant advocacy groups as a member(s) or consultant(s) to the IRB. For more information, see HRPP policy [</w:t>
      </w:r>
      <w:hyperlink r:id="rId294" w:history="1">
        <w:r>
          <w:rPr>
            <w:rStyle w:val="Hyperlink"/>
          </w:rPr>
          <w:t>IRB Composition and IRB Member Roles and Responsibilities</w:t>
        </w:r>
      </w:hyperlink>
      <w:r>
        <w:t>].</w:t>
      </w:r>
    </w:p>
    <w:p w14:paraId="67B3D71A" w14:textId="77777777" w:rsidR="00471D7F" w:rsidRPr="00471D7F" w:rsidRDefault="00471D7F" w:rsidP="00471D7F">
      <w:pPr>
        <w:spacing w:after="0" w:line="240" w:lineRule="auto"/>
        <w:ind w:left="720"/>
      </w:pPr>
    </w:p>
    <w:p w14:paraId="794FF9FA" w14:textId="77777777" w:rsidR="00404880" w:rsidRPr="00BA63C3" w:rsidRDefault="00404880" w:rsidP="00A07209">
      <w:pPr>
        <w:numPr>
          <w:ilvl w:val="1"/>
          <w:numId w:val="319"/>
        </w:numPr>
        <w:spacing w:after="0" w:line="240" w:lineRule="auto"/>
        <w:ind w:hanging="360"/>
      </w:pPr>
      <w:r>
        <w:t>For information about the requirements for involving adults with impaired decision-making capacity in research in life-threatening situations, see HRPP policies [</w:t>
      </w:r>
      <w:hyperlink r:id="rId295" w:history="1">
        <w:r>
          <w:rPr>
            <w:rStyle w:val="Hyperlink"/>
          </w:rPr>
          <w:t>Planned Emergency Research</w:t>
        </w:r>
      </w:hyperlink>
      <w:r>
        <w:t>] and [</w:t>
      </w:r>
      <w:hyperlink r:id="rId296" w:history="1">
        <w:r>
          <w:rPr>
            <w:rStyle w:val="Hyperlink"/>
          </w:rPr>
          <w:t>Emergency Use of Investigational Drugs, Biologics, or Devices</w:t>
        </w:r>
      </w:hyperlink>
      <w:r>
        <w:t>].</w:t>
      </w:r>
    </w:p>
    <w:p w14:paraId="0C35DD7D" w14:textId="77777777" w:rsidR="00404880" w:rsidRPr="00BA63C3" w:rsidRDefault="00404880" w:rsidP="00404880"/>
    <w:p w14:paraId="097ECD05" w14:textId="77777777" w:rsidR="00404880" w:rsidRDefault="00404880" w:rsidP="00A07209">
      <w:pPr>
        <w:numPr>
          <w:ilvl w:val="0"/>
          <w:numId w:val="315"/>
        </w:numPr>
        <w:spacing w:after="0" w:line="240" w:lineRule="auto"/>
        <w:rPr>
          <w:b/>
        </w:rPr>
      </w:pPr>
      <w:bookmarkStart w:id="341" w:name="assentadults"/>
      <w:bookmarkEnd w:id="341"/>
      <w:r>
        <w:rPr>
          <w:b/>
        </w:rPr>
        <w:t>Assent of Adults</w:t>
      </w:r>
    </w:p>
    <w:p w14:paraId="608BECAA" w14:textId="77777777" w:rsidR="00471D7F" w:rsidRPr="00471D7F" w:rsidRDefault="00471D7F" w:rsidP="00471D7F">
      <w:pPr>
        <w:spacing w:after="0" w:line="240" w:lineRule="auto"/>
        <w:ind w:left="360"/>
        <w:rPr>
          <w:b/>
        </w:rPr>
      </w:pPr>
    </w:p>
    <w:p w14:paraId="73032A45" w14:textId="77777777" w:rsidR="00404880" w:rsidRPr="00BA63C3" w:rsidRDefault="00404880" w:rsidP="00A07209">
      <w:pPr>
        <w:numPr>
          <w:ilvl w:val="0"/>
          <w:numId w:val="318"/>
        </w:numPr>
        <w:spacing w:after="0" w:line="240" w:lineRule="auto"/>
      </w:pPr>
      <w:r>
        <w:t>An adult with impaired decision-making capacity or other adult cognitively unable to provide informed consent may participate in research only if a legally authorized representative for that adult can give consent for participation in the research, unless the requirement to obtain informed consent is waived by the IRB. If the participant regains (or develops) the capacity to consent, then his/her informed consent must be obtained for any further research, as the consent of the legally authorized representative is no longer valid.</w:t>
      </w:r>
    </w:p>
    <w:p w14:paraId="5B798436" w14:textId="77777777" w:rsidR="00404880" w:rsidRPr="00BA63C3" w:rsidRDefault="00404880" w:rsidP="00404880"/>
    <w:p w14:paraId="5FD2023A" w14:textId="77777777" w:rsidR="00404880" w:rsidRDefault="00404880" w:rsidP="00A07209">
      <w:pPr>
        <w:numPr>
          <w:ilvl w:val="0"/>
          <w:numId w:val="318"/>
        </w:numPr>
        <w:spacing w:after="0" w:line="240" w:lineRule="auto"/>
      </w:pPr>
      <w:r>
        <w:t>An adult with impaired decision-making capacity research may be able to assent to participation. The IRB is responsible for determining when the assent of some or all such adults is required in proposed research and the appropriate method for documenting the adult’s assent (if any), as described below.</w:t>
      </w:r>
    </w:p>
    <w:p w14:paraId="16AC5984" w14:textId="77777777" w:rsidR="00471D7F" w:rsidRPr="00471D7F" w:rsidRDefault="00471D7F" w:rsidP="00471D7F">
      <w:pPr>
        <w:spacing w:after="0" w:line="240" w:lineRule="auto"/>
      </w:pPr>
    </w:p>
    <w:p w14:paraId="6CF2ECC0" w14:textId="77777777" w:rsidR="00404880" w:rsidRDefault="00404880" w:rsidP="00A07209">
      <w:pPr>
        <w:numPr>
          <w:ilvl w:val="0"/>
          <w:numId w:val="318"/>
        </w:numPr>
        <w:spacing w:after="0" w:line="240" w:lineRule="auto"/>
      </w:pPr>
      <w:r>
        <w:t xml:space="preserve">Assent to participate in research by an adult with impaired decision-making capacity (for whom a legally authorized representative will provide informed consent) is to be obtained when, in the judgment of the IRB, the </w:t>
      </w:r>
      <w:r>
        <w:lastRenderedPageBreak/>
        <w:t>adult is cognitively capable of providing assent. In determining whether proposed participants are capable of providing assent, the IRBs will take into account the condition and psychological/emotional states of the adults involved. The IRB’s determination of the participant’s capacity to assent may apply to all or only some of the adults to be involved in a proposed research activity.</w:t>
      </w:r>
    </w:p>
    <w:p w14:paraId="3E716CBF" w14:textId="77777777" w:rsidR="00471D7F" w:rsidRPr="00471D7F" w:rsidRDefault="00471D7F" w:rsidP="00471D7F">
      <w:pPr>
        <w:spacing w:after="0" w:line="240" w:lineRule="auto"/>
      </w:pPr>
    </w:p>
    <w:p w14:paraId="2065C3EA" w14:textId="77777777" w:rsidR="00404880" w:rsidRDefault="00404880" w:rsidP="00A07209">
      <w:pPr>
        <w:numPr>
          <w:ilvl w:val="0"/>
          <w:numId w:val="318"/>
        </w:numPr>
        <w:spacing w:after="0" w:line="240" w:lineRule="auto"/>
      </w:pPr>
      <w:r>
        <w:t>Assent processes are to include the key elements of informed consent described in HRPP policy [</w:t>
      </w:r>
      <w:hyperlink r:id="rId297" w:history="1">
        <w:r>
          <w:rPr>
            <w:rStyle w:val="Hyperlink"/>
          </w:rPr>
          <w:t>Informed Consent Process and the Elements of Informed Consent</w:t>
        </w:r>
      </w:hyperlink>
      <w:r>
        <w:t>] and are to be provided in language appropriate for an adult with impaired decision-making capacity, based on the nature of the study and the expected ability of the prospective participant(s) to understand the purpose and the procedures involved in the research.</w:t>
      </w:r>
    </w:p>
    <w:p w14:paraId="7B19AA64" w14:textId="77777777" w:rsidR="00471D7F" w:rsidRPr="00471D7F" w:rsidRDefault="00471D7F" w:rsidP="00471D7F">
      <w:pPr>
        <w:spacing w:after="0" w:line="240" w:lineRule="auto"/>
      </w:pPr>
    </w:p>
    <w:p w14:paraId="22AABBFC" w14:textId="77777777" w:rsidR="00404880" w:rsidRPr="00BA63C3" w:rsidRDefault="00404880" w:rsidP="00A07209">
      <w:pPr>
        <w:numPr>
          <w:ilvl w:val="0"/>
          <w:numId w:val="318"/>
        </w:numPr>
        <w:spacing w:after="60" w:line="240" w:lineRule="auto"/>
      </w:pPr>
      <w:r>
        <w:t>The assent of adults with impaired decision-making capacity to participate in research is to be obtained, except in any of the following circumstances:</w:t>
      </w:r>
    </w:p>
    <w:p w14:paraId="0AFA7D8E" w14:textId="77777777" w:rsidR="00404880" w:rsidRPr="00BA63C3" w:rsidRDefault="00404880" w:rsidP="00A07209">
      <w:pPr>
        <w:numPr>
          <w:ilvl w:val="0"/>
          <w:numId w:val="222"/>
        </w:numPr>
        <w:tabs>
          <w:tab w:val="clear" w:pos="1080"/>
          <w:tab w:val="num" w:pos="1440"/>
          <w:tab w:val="num" w:pos="2592"/>
        </w:tabs>
        <w:spacing w:after="60" w:line="240" w:lineRule="auto"/>
        <w:ind w:left="1440"/>
      </w:pPr>
      <w:r>
        <w:t>The adults are not capable of providing assent based on condition or psychological/emotional state.</w:t>
      </w:r>
    </w:p>
    <w:p w14:paraId="46AF5D3E" w14:textId="77777777" w:rsidR="00404880" w:rsidRPr="00BA63C3" w:rsidRDefault="00404880" w:rsidP="00A07209">
      <w:pPr>
        <w:numPr>
          <w:ilvl w:val="0"/>
          <w:numId w:val="222"/>
        </w:numPr>
        <w:tabs>
          <w:tab w:val="clear" w:pos="1080"/>
          <w:tab w:val="num" w:pos="1440"/>
          <w:tab w:val="num" w:pos="2592"/>
        </w:tabs>
        <w:spacing w:after="60" w:line="240" w:lineRule="auto"/>
        <w:ind w:left="1440"/>
      </w:pPr>
      <w:r>
        <w:t>The capability of some or all of the adults is so limited that they cannot reasonably be consulted.</w:t>
      </w:r>
    </w:p>
    <w:p w14:paraId="5098F741" w14:textId="77777777" w:rsidR="00404880" w:rsidRDefault="00404880" w:rsidP="00A07209">
      <w:pPr>
        <w:numPr>
          <w:ilvl w:val="0"/>
          <w:numId w:val="222"/>
        </w:numPr>
        <w:tabs>
          <w:tab w:val="clear" w:pos="1080"/>
          <w:tab w:val="num" w:pos="1440"/>
          <w:tab w:val="num" w:pos="2592"/>
        </w:tabs>
        <w:spacing w:after="0" w:line="240" w:lineRule="auto"/>
        <w:ind w:left="1440"/>
      </w:pPr>
      <w:r>
        <w:t>Assent can be waived using the criteria for waiver (or alteration) of informed consent, as described in HRPP policy [</w:t>
      </w:r>
      <w:hyperlink r:id="rId298" w:history="1">
        <w:r>
          <w:rPr>
            <w:rStyle w:val="Hyperlink"/>
          </w:rPr>
          <w:t>Informed Consent Process and the Elements of Informed Consent</w:t>
        </w:r>
      </w:hyperlink>
      <w:r>
        <w:t>].</w:t>
      </w:r>
    </w:p>
    <w:p w14:paraId="17524964" w14:textId="77777777" w:rsidR="00471D7F" w:rsidRPr="00471D7F" w:rsidRDefault="00471D7F" w:rsidP="00471D7F">
      <w:pPr>
        <w:tabs>
          <w:tab w:val="num" w:pos="2592"/>
        </w:tabs>
        <w:spacing w:after="0" w:line="240" w:lineRule="auto"/>
        <w:ind w:left="1440"/>
      </w:pPr>
    </w:p>
    <w:p w14:paraId="4AD62D76" w14:textId="77777777" w:rsidR="00404880" w:rsidRDefault="00404880" w:rsidP="00A07209">
      <w:pPr>
        <w:numPr>
          <w:ilvl w:val="0"/>
          <w:numId w:val="314"/>
        </w:numPr>
        <w:spacing w:after="0" w:line="240" w:lineRule="auto"/>
        <w:ind w:left="720"/>
      </w:pPr>
      <w:r>
        <w:t xml:space="preserve">The IRBs may determine that the assent of </w:t>
      </w:r>
      <w:r>
        <w:rPr>
          <w:b/>
        </w:rPr>
        <w:t xml:space="preserve">some </w:t>
      </w:r>
      <w:r>
        <w:t>or</w:t>
      </w:r>
      <w:r>
        <w:rPr>
          <w:b/>
        </w:rPr>
        <w:t xml:space="preserve"> all</w:t>
      </w:r>
      <w:r>
        <w:t xml:space="preserve"> of the adults is not required. If assent is not a requirement of </w:t>
      </w:r>
      <w:r>
        <w:rPr>
          <w:b/>
        </w:rPr>
        <w:t>some</w:t>
      </w:r>
      <w:r>
        <w:t xml:space="preserve"> adults, the IRB will indicate which adults (e.g., individuals with severe dementia) are not required to assent.</w:t>
      </w:r>
    </w:p>
    <w:p w14:paraId="159AE12F" w14:textId="77777777" w:rsidR="00471D7F" w:rsidRPr="00471D7F" w:rsidRDefault="00471D7F" w:rsidP="00471D7F">
      <w:pPr>
        <w:spacing w:after="0" w:line="240" w:lineRule="auto"/>
        <w:ind w:left="720"/>
      </w:pPr>
    </w:p>
    <w:p w14:paraId="71BD8F54" w14:textId="77777777" w:rsidR="00404880" w:rsidRDefault="00404880" w:rsidP="00A07209">
      <w:pPr>
        <w:numPr>
          <w:ilvl w:val="0"/>
          <w:numId w:val="314"/>
        </w:numPr>
        <w:spacing w:after="0" w:line="240" w:lineRule="auto"/>
        <w:ind w:left="720"/>
      </w:pPr>
      <w:r>
        <w:t>When the assent of an adult with impaired decision-making capacity is required, the IRBs must determine the appropriate method, if any, of documenting assent. This decision should be based on considerations such as the length and complexity of the research and the adult’s condition and psychological/emotional state.</w:t>
      </w:r>
    </w:p>
    <w:p w14:paraId="10307FC1" w14:textId="77777777" w:rsidR="00471D7F" w:rsidRPr="00471D7F" w:rsidRDefault="00471D7F" w:rsidP="00471D7F">
      <w:pPr>
        <w:spacing w:after="0" w:line="240" w:lineRule="auto"/>
      </w:pPr>
    </w:p>
    <w:p w14:paraId="2FA1DADE" w14:textId="77777777" w:rsidR="00404880" w:rsidRDefault="00404880" w:rsidP="00A07209">
      <w:pPr>
        <w:numPr>
          <w:ilvl w:val="0"/>
          <w:numId w:val="314"/>
        </w:numPr>
        <w:spacing w:after="0" w:line="240" w:lineRule="auto"/>
        <w:ind w:left="720"/>
      </w:pPr>
      <w:r>
        <w:t>Generally, when documentation of assent is required an assent form similar to the consent document signed by the legally authorized representative is used. Assent form templates containing the basic elements of informed consent are available on the ORRP website. Alternatively, based on the condition of the adults and nature of the research, for some studies investigators may add a signature line for assent to the consent document that legally authorized representatives will sign. The IRBs can also approve assent forms on a case-by-case basis in other formats that satisfy requirements for obtaining and documenting assent.</w:t>
      </w:r>
    </w:p>
    <w:p w14:paraId="6F5642A0" w14:textId="77777777" w:rsidR="00471D7F" w:rsidRPr="00471D7F" w:rsidRDefault="00471D7F" w:rsidP="00471D7F">
      <w:pPr>
        <w:spacing w:after="0" w:line="240" w:lineRule="auto"/>
      </w:pPr>
    </w:p>
    <w:p w14:paraId="5B46D502" w14:textId="77777777" w:rsidR="00404880" w:rsidRPr="00BA63C3" w:rsidRDefault="00404880" w:rsidP="00A07209">
      <w:pPr>
        <w:numPr>
          <w:ilvl w:val="0"/>
          <w:numId w:val="314"/>
        </w:numPr>
        <w:spacing w:after="0" w:line="240" w:lineRule="auto"/>
        <w:ind w:left="720"/>
      </w:pPr>
      <w:r>
        <w:t>When assent is not documented by use of a form as described above, documentation of assent may be limited to verifying that assent took place using a witness or other method. Alternatively, the IRB may decide that documentation of assent is not warranted. If verbal assent will be obtained, the IRB must review a written description of the information (i.e., a script) that will be provided to participants during the assent process.</w:t>
      </w:r>
    </w:p>
    <w:p w14:paraId="47668252" w14:textId="77777777" w:rsidR="00404880" w:rsidRPr="00BA63C3" w:rsidRDefault="00404880" w:rsidP="00404880">
      <w:pPr>
        <w:ind w:left="720"/>
      </w:pPr>
    </w:p>
    <w:p w14:paraId="42A26067" w14:textId="77777777" w:rsidR="00404880" w:rsidRDefault="00404880" w:rsidP="00A07209">
      <w:pPr>
        <w:numPr>
          <w:ilvl w:val="0"/>
          <w:numId w:val="314"/>
        </w:numPr>
        <w:spacing w:after="0" w:line="240" w:lineRule="auto"/>
        <w:ind w:left="720"/>
      </w:pPr>
      <w:r>
        <w:t>In some research, such as longitudinal studies involving progressive disorders or aging populations, participants may be able to provide informed consent at the beginning of their participation, but may experience progressive or intermittent symptoms that lead to decisional impairment during participation in the study. In these situations, investigators should consider the need to discuss with prospective participants whether the participant should designate someone at the beginning of the study to serve as a legally authorized representative in the case that the participant’s ability to assess his or her own needs/interests becomes compromised during the study.</w:t>
      </w:r>
    </w:p>
    <w:p w14:paraId="6A59165F" w14:textId="77777777" w:rsidR="00471D7F" w:rsidRPr="00471D7F" w:rsidRDefault="00471D7F" w:rsidP="00471D7F">
      <w:pPr>
        <w:spacing w:after="0" w:line="240" w:lineRule="auto"/>
      </w:pPr>
    </w:p>
    <w:p w14:paraId="76BC3B3C" w14:textId="77777777" w:rsidR="00404880" w:rsidRPr="00BA63C3" w:rsidRDefault="00404880" w:rsidP="00A07209">
      <w:pPr>
        <w:numPr>
          <w:ilvl w:val="0"/>
          <w:numId w:val="314"/>
        </w:numPr>
        <w:spacing w:after="0" w:line="240" w:lineRule="auto"/>
        <w:ind w:left="720"/>
      </w:pPr>
      <w:r>
        <w:t>For cases in which the authority of a legally authorized representative to grant permission for an adult subject’s participation in research is unclear, investigators and the IRBs should consult with the Office of Legal Affairs for assistance.</w:t>
      </w:r>
    </w:p>
    <w:p w14:paraId="2E396F40" w14:textId="77777777" w:rsidR="00404880" w:rsidRPr="00BA63C3" w:rsidRDefault="00404880" w:rsidP="00404880">
      <w:pPr>
        <w:rPr>
          <w:rStyle w:val="Strong"/>
        </w:rPr>
      </w:pPr>
    </w:p>
    <w:p w14:paraId="6C6DA6DD" w14:textId="77777777" w:rsidR="00404880" w:rsidRDefault="00404880" w:rsidP="00A07209">
      <w:pPr>
        <w:numPr>
          <w:ilvl w:val="0"/>
          <w:numId w:val="315"/>
        </w:numPr>
        <w:spacing w:after="0" w:line="240" w:lineRule="auto"/>
        <w:rPr>
          <w:rStyle w:val="Strong"/>
          <w:b w:val="0"/>
        </w:rPr>
      </w:pPr>
      <w:r>
        <w:rPr>
          <w:rStyle w:val="Strong"/>
        </w:rPr>
        <w:lastRenderedPageBreak/>
        <w:t>Applicable Regulations/Guidance</w:t>
      </w:r>
    </w:p>
    <w:p w14:paraId="45A76A77" w14:textId="77777777" w:rsidR="00471D7F" w:rsidRPr="00471D7F" w:rsidRDefault="00471D7F" w:rsidP="00471D7F">
      <w:pPr>
        <w:spacing w:after="0" w:line="240" w:lineRule="auto"/>
        <w:ind w:left="360"/>
      </w:pPr>
    </w:p>
    <w:p w14:paraId="42AC2C93" w14:textId="77777777" w:rsidR="00404880" w:rsidRDefault="00404880" w:rsidP="00471D7F">
      <w:pPr>
        <w:ind w:left="360"/>
      </w:pPr>
      <w:r>
        <w:t>21 CFR 56.111, pre-2018 and Final Rule (</w:t>
      </w:r>
      <w:r>
        <w:rPr>
          <w:iCs/>
        </w:rPr>
        <w:t>45 CFR 46.111),</w:t>
      </w:r>
      <w:r>
        <w:t xml:space="preserve"> National Bioethics Advisory Commission “Research Involving Persons with Mental Disorders That May Affect Decision-making Capacity” (Volume 1, Report and Recommendations, 12/98), NIH Guidance “Research Involving Individuals with Questionable Capacity to Consent: Points to Consider” (11/09), OHRP “Informed Consent Frequently Asked Questions” (revised 07/14/08), AAHRPP “Reviewing Research Involving Adult Participants with Diminished Functional Abilities Related to Capacity to Consent” (04/18/13)</w:t>
      </w:r>
    </w:p>
    <w:p w14:paraId="6236D8F8" w14:textId="77777777" w:rsidR="00471D7F" w:rsidRDefault="00471D7F" w:rsidP="00471D7F">
      <w:pPr>
        <w:ind w:left="360"/>
      </w:pPr>
    </w:p>
    <w:p w14:paraId="6D2E8C90" w14:textId="77777777" w:rsidR="00404880" w:rsidRDefault="00404880" w:rsidP="00A07209">
      <w:pPr>
        <w:numPr>
          <w:ilvl w:val="0"/>
          <w:numId w:val="315"/>
        </w:numPr>
        <w:spacing w:after="0" w:line="240" w:lineRule="auto"/>
        <w:rPr>
          <w:b/>
        </w:rPr>
      </w:pPr>
      <w:r>
        <w:rPr>
          <w:b/>
        </w:rPr>
        <w:t>History</w:t>
      </w:r>
    </w:p>
    <w:p w14:paraId="2DD374CA" w14:textId="77777777" w:rsidR="00471D7F" w:rsidRPr="00471D7F" w:rsidRDefault="00471D7F" w:rsidP="00471D7F">
      <w:pPr>
        <w:spacing w:after="0" w:line="240" w:lineRule="auto"/>
        <w:ind w:left="360"/>
        <w:rPr>
          <w:b/>
        </w:rPr>
      </w:pPr>
    </w:p>
    <w:p w14:paraId="24342241" w14:textId="77777777" w:rsidR="00404880" w:rsidRDefault="00404880" w:rsidP="00471D7F">
      <w:pPr>
        <w:spacing w:after="0"/>
        <w:ind w:left="360"/>
      </w:pPr>
      <w:r>
        <w:t>Issued: 05/11/2009</w:t>
      </w:r>
      <w:r>
        <w:br/>
        <w:t>Revised: 05/31/2012, 01/13/2020</w:t>
      </w:r>
    </w:p>
    <w:p w14:paraId="7F12EC47" w14:textId="77777777" w:rsidR="00404880" w:rsidRPr="00BA63C3" w:rsidRDefault="00404880" w:rsidP="00471D7F">
      <w:pPr>
        <w:spacing w:after="0"/>
        <w:ind w:left="360"/>
        <w:rPr>
          <w:rStyle w:val="Strong"/>
          <w:b w:val="0"/>
        </w:rPr>
      </w:pPr>
      <w:r>
        <w:t>Edited: 09/19/2016, 04/20/2022</w:t>
      </w:r>
    </w:p>
    <w:p w14:paraId="13FF69BD" w14:textId="77777777" w:rsidR="00471B9E" w:rsidRDefault="00471B9E">
      <w:pPr>
        <w:rPr>
          <w:b/>
          <w:bCs/>
          <w:i/>
          <w:iCs/>
          <w:sz w:val="28"/>
          <w:szCs w:val="28"/>
        </w:rPr>
      </w:pPr>
      <w:r>
        <w:br w:type="page"/>
      </w:r>
    </w:p>
    <w:p w14:paraId="48883A92" w14:textId="77777777" w:rsidR="00404880" w:rsidRPr="0049456E" w:rsidRDefault="021159BD" w:rsidP="00471B9E">
      <w:pPr>
        <w:pStyle w:val="Heading2"/>
      </w:pPr>
      <w:bookmarkStart w:id="342" w:name="B24"/>
      <w:bookmarkStart w:id="343" w:name="_Toc212142221"/>
      <w:bookmarkStart w:id="344" w:name="_Toc225507761"/>
      <w:r>
        <w:rPr>
          <w:kern w:val="32"/>
        </w:rPr>
        <w:lastRenderedPageBreak/>
        <w:t xml:space="preserve">Appendix B-24  </w:t>
      </w:r>
      <w:bookmarkEnd w:id="342"/>
      <w:r>
        <w:tab/>
        <w:t>Research Involving Investigational Drugs</w:t>
      </w:r>
      <w:bookmarkEnd w:id="343"/>
      <w:bookmarkEnd w:id="344"/>
    </w:p>
    <w:p w14:paraId="2D3BD4BF" w14:textId="77777777" w:rsidR="00404880" w:rsidRPr="0049456E" w:rsidRDefault="00404880" w:rsidP="00404880">
      <w:pPr>
        <w:rPr>
          <w:b/>
          <w:smallCaps/>
        </w:rPr>
      </w:pPr>
    </w:p>
    <w:p w14:paraId="6B5D77D4" w14:textId="77777777" w:rsidR="00404880" w:rsidRDefault="00404880" w:rsidP="00A07209">
      <w:pPr>
        <w:numPr>
          <w:ilvl w:val="0"/>
          <w:numId w:val="336"/>
        </w:numPr>
        <w:spacing w:after="0" w:line="240" w:lineRule="auto"/>
        <w:rPr>
          <w:b/>
          <w:smallCaps/>
        </w:rPr>
      </w:pPr>
      <w:r>
        <w:rPr>
          <w:b/>
        </w:rPr>
        <w:t>Overview</w:t>
      </w:r>
    </w:p>
    <w:p w14:paraId="7BCAF50D" w14:textId="77777777" w:rsidR="00471D7F" w:rsidRPr="00471D7F" w:rsidRDefault="00471D7F" w:rsidP="00471D7F">
      <w:pPr>
        <w:spacing w:after="0" w:line="240" w:lineRule="auto"/>
        <w:ind w:left="1224"/>
        <w:rPr>
          <w:b/>
          <w:smallCaps/>
        </w:rPr>
      </w:pPr>
    </w:p>
    <w:p w14:paraId="3427E970" w14:textId="77777777" w:rsidR="00404880" w:rsidRPr="0049456E" w:rsidRDefault="00404880" w:rsidP="00471D7F">
      <w:pPr>
        <w:ind w:left="360"/>
      </w:pPr>
      <w:r>
        <w:t>Investigators and IRBs must ensure that research (i.e., clinical investigations) involving investigational drugs or biologics is conducted in accordance with applicable federal regulations. These regulations describe, among other things, requirements for Investigational New Drug Applications (INDs), drug accountability and record retention, and responsibilities of investigators, IRBs, and sponsors when research is conducted with investigational drugs.</w:t>
      </w:r>
    </w:p>
    <w:p w14:paraId="7A332EF2" w14:textId="77777777" w:rsidR="00471D7F" w:rsidRDefault="00404880" w:rsidP="00471D7F">
      <w:pPr>
        <w:ind w:left="360"/>
      </w:pPr>
      <w:r>
        <w:t>The purpose of this policy is to describe the requirements for research involving investigational drugs or biologics, including the responsibilities of investigators, IRBs, and sponsors.</w:t>
      </w:r>
    </w:p>
    <w:p w14:paraId="189D0223" w14:textId="77777777" w:rsidR="00471D7F" w:rsidRPr="00471D7F" w:rsidRDefault="00471D7F" w:rsidP="00471D7F">
      <w:pPr>
        <w:ind w:left="360"/>
      </w:pPr>
    </w:p>
    <w:p w14:paraId="5A67B4E2" w14:textId="77777777" w:rsidR="00404880" w:rsidRDefault="00404880" w:rsidP="00A07209">
      <w:pPr>
        <w:numPr>
          <w:ilvl w:val="0"/>
          <w:numId w:val="336"/>
        </w:numPr>
        <w:spacing w:after="0" w:line="240" w:lineRule="auto"/>
        <w:ind w:left="360" w:hanging="360"/>
        <w:rPr>
          <w:b/>
          <w:smallCaps/>
        </w:rPr>
      </w:pPr>
      <w:r>
        <w:rPr>
          <w:b/>
        </w:rPr>
        <w:t>Definitions</w:t>
      </w:r>
    </w:p>
    <w:p w14:paraId="57931678" w14:textId="77777777" w:rsidR="00471D7F" w:rsidRPr="00471D7F" w:rsidRDefault="00471D7F" w:rsidP="00471D7F">
      <w:pPr>
        <w:spacing w:after="0" w:line="240" w:lineRule="auto"/>
        <w:ind w:left="360"/>
        <w:rPr>
          <w:b/>
          <w:smallCaps/>
        </w:rPr>
      </w:pPr>
    </w:p>
    <w:p w14:paraId="40D1E7AA" w14:textId="77777777" w:rsidR="00404880" w:rsidRDefault="00404880" w:rsidP="00404880">
      <w:pPr>
        <w:ind w:left="360"/>
        <w:rPr>
          <w:i/>
        </w:rPr>
      </w:pPr>
      <w:r>
        <w:rPr>
          <w:b/>
        </w:rPr>
        <w:t xml:space="preserve">Biological product: </w:t>
      </w:r>
      <w:r>
        <w:t xml:space="preserve">Also: </w:t>
      </w:r>
      <w:r>
        <w:rPr>
          <w:b/>
        </w:rPr>
        <w:t>biologic</w:t>
      </w:r>
      <w:r>
        <w:t xml:space="preserve">. A virus, therapeutic serum, toxin, antitoxin, vaccine, blood, blood component or derivative, allergenic product, gene therapies, cellular therapies, or analogous product applicable to the prevention, treatment, or cure of a disease or condition of human beings. </w:t>
      </w:r>
    </w:p>
    <w:p w14:paraId="4FB13814" w14:textId="77777777" w:rsidR="00471D7F" w:rsidRPr="00471D7F" w:rsidRDefault="00404880" w:rsidP="00471D7F">
      <w:pPr>
        <w:spacing w:before="60"/>
        <w:ind w:left="360"/>
      </w:pPr>
      <w:r>
        <w:rPr>
          <w:i/>
        </w:rPr>
        <w:t>Note: Biological products also include immunoglobulin products, monoclonal antibodies, products containing cells or microorganisms, and most proteins intended for therapeutic use.</w:t>
      </w:r>
    </w:p>
    <w:p w14:paraId="5CC13081" w14:textId="77777777" w:rsidR="00404880" w:rsidRPr="0049456E" w:rsidRDefault="00404880" w:rsidP="00404880">
      <w:pPr>
        <w:spacing w:after="60"/>
        <w:ind w:left="360"/>
      </w:pPr>
      <w:r>
        <w:rPr>
          <w:b/>
          <w:bCs/>
        </w:rPr>
        <w:t xml:space="preserve">Clinical Investigation: </w:t>
      </w:r>
      <w:r>
        <w:t xml:space="preserve">Also: </w:t>
      </w:r>
      <w:r>
        <w:rPr>
          <w:b/>
          <w:bCs/>
        </w:rPr>
        <w:t>research</w:t>
      </w:r>
      <w:r>
        <w:t xml:space="preserve">, </w:t>
      </w:r>
      <w:r>
        <w:rPr>
          <w:b/>
          <w:bCs/>
        </w:rPr>
        <w:t>clinical research</w:t>
      </w:r>
      <w:r>
        <w:t xml:space="preserve">, </w:t>
      </w:r>
      <w:r>
        <w:rPr>
          <w:b/>
          <w:bCs/>
        </w:rPr>
        <w:t>clinical study</w:t>
      </w:r>
      <w:r>
        <w:t xml:space="preserve">. Any experiment in which a drug is administered or dispensed to, or used involving, one or more human subjects. For the purposes of this policy, an experiment is any use of a drug except for the use of a marketed drug in the course of medical practice. </w:t>
      </w:r>
    </w:p>
    <w:p w14:paraId="7A6EAB83" w14:textId="77777777" w:rsidR="00404880" w:rsidRPr="0049456E" w:rsidRDefault="00404880" w:rsidP="00404880">
      <w:pPr>
        <w:ind w:left="360"/>
        <w:rPr>
          <w:i/>
          <w:iCs/>
        </w:rPr>
      </w:pPr>
      <w:r>
        <w:rPr>
          <w:i/>
          <w:iCs/>
        </w:rPr>
        <w:t>Note: Non-clinical laboratory studies are not considered to be clinical investigations.</w:t>
      </w:r>
    </w:p>
    <w:p w14:paraId="02B6BAF4" w14:textId="77777777" w:rsidR="00404880" w:rsidRPr="0049456E" w:rsidRDefault="00404880" w:rsidP="00471D7F">
      <w:pPr>
        <w:ind w:left="360"/>
      </w:pPr>
      <w:r>
        <w:rPr>
          <w:i/>
          <w:iCs/>
        </w:rPr>
        <w:t>See the DHHS definition of research for DHHS-regulated research.</w:t>
      </w:r>
    </w:p>
    <w:p w14:paraId="372EC795" w14:textId="77777777" w:rsidR="00404880" w:rsidRDefault="00404880" w:rsidP="00404880">
      <w:pPr>
        <w:widowControl w:val="0"/>
        <w:autoSpaceDE w:val="0"/>
        <w:autoSpaceDN w:val="0"/>
        <w:adjustRightInd w:val="0"/>
        <w:spacing w:after="60"/>
        <w:ind w:left="360"/>
        <w:rPr>
          <w:bCs/>
        </w:rPr>
      </w:pPr>
      <w:r>
        <w:rPr>
          <w:b/>
          <w:bCs/>
        </w:rPr>
        <w:t>Drug:</w:t>
      </w:r>
      <w:r>
        <w:rPr>
          <w:b/>
        </w:rPr>
        <w:t xml:space="preserve"> </w:t>
      </w:r>
      <w:r>
        <w:rPr>
          <w:bCs/>
        </w:rPr>
        <w:t>A substance that is:</w:t>
      </w:r>
    </w:p>
    <w:p w14:paraId="18AB67AA" w14:textId="77777777" w:rsidR="00404880" w:rsidRPr="009E52A0" w:rsidRDefault="00404880" w:rsidP="00A07209">
      <w:pPr>
        <w:pStyle w:val="ListParagraph"/>
        <w:widowControl w:val="0"/>
        <w:numPr>
          <w:ilvl w:val="0"/>
          <w:numId w:val="335"/>
        </w:numPr>
        <w:autoSpaceDE w:val="0"/>
        <w:autoSpaceDN w:val="0"/>
        <w:adjustRightInd w:val="0"/>
        <w:spacing w:after="60" w:line="240" w:lineRule="auto"/>
      </w:pPr>
      <w:r>
        <w:t>Recognized in the United States Pharmacopoeia, Homeopathic Pharmacopoeia of the United States, or National Formulary (or any supplement to any of these);</w:t>
      </w:r>
    </w:p>
    <w:p w14:paraId="02B4A8A6" w14:textId="77777777" w:rsidR="00404880" w:rsidRDefault="00404880" w:rsidP="00A07209">
      <w:pPr>
        <w:widowControl w:val="0"/>
        <w:numPr>
          <w:ilvl w:val="0"/>
          <w:numId w:val="326"/>
        </w:numPr>
        <w:autoSpaceDE w:val="0"/>
        <w:autoSpaceDN w:val="0"/>
        <w:adjustRightInd w:val="0"/>
        <w:spacing w:after="60" w:line="240" w:lineRule="auto"/>
      </w:pPr>
      <w:r>
        <w:t>Intended for use in the diagnosis, cure, mitigation, treatment, or prevention of disease;</w:t>
      </w:r>
    </w:p>
    <w:p w14:paraId="67B68B25" w14:textId="77777777" w:rsidR="00404880" w:rsidRPr="0049456E" w:rsidRDefault="00404880" w:rsidP="00A07209">
      <w:pPr>
        <w:widowControl w:val="0"/>
        <w:numPr>
          <w:ilvl w:val="0"/>
          <w:numId w:val="326"/>
        </w:numPr>
        <w:autoSpaceDE w:val="0"/>
        <w:autoSpaceDN w:val="0"/>
        <w:adjustRightInd w:val="0"/>
        <w:spacing w:after="60" w:line="240" w:lineRule="auto"/>
      </w:pPr>
      <w:r>
        <w:t>Intended to affect the structure or any function of the body and is not a food product; or</w:t>
      </w:r>
    </w:p>
    <w:p w14:paraId="6104F60A" w14:textId="77777777" w:rsidR="00404880" w:rsidRDefault="00404880" w:rsidP="00A07209">
      <w:pPr>
        <w:widowControl w:val="0"/>
        <w:numPr>
          <w:ilvl w:val="0"/>
          <w:numId w:val="326"/>
        </w:numPr>
        <w:autoSpaceDE w:val="0"/>
        <w:autoSpaceDN w:val="0"/>
        <w:adjustRightInd w:val="0"/>
        <w:spacing w:after="0" w:line="240" w:lineRule="auto"/>
      </w:pPr>
      <w:r>
        <w:t>Intended for use as a component of any substance described above</w:t>
      </w:r>
    </w:p>
    <w:p w14:paraId="165FC82F" w14:textId="77777777" w:rsidR="00471D7F" w:rsidRPr="00471D7F" w:rsidRDefault="00471D7F" w:rsidP="00471D7F">
      <w:pPr>
        <w:widowControl w:val="0"/>
        <w:autoSpaceDE w:val="0"/>
        <w:autoSpaceDN w:val="0"/>
        <w:adjustRightInd w:val="0"/>
        <w:spacing w:after="0" w:line="240" w:lineRule="auto"/>
        <w:ind w:left="1080"/>
      </w:pPr>
    </w:p>
    <w:p w14:paraId="738F71C9" w14:textId="77777777" w:rsidR="00404880" w:rsidRDefault="00404880" w:rsidP="00404880">
      <w:pPr>
        <w:ind w:left="360"/>
      </w:pPr>
      <w:r>
        <w:rPr>
          <w:b/>
        </w:rPr>
        <w:t xml:space="preserve">Investigational Drug: </w:t>
      </w:r>
      <w:r>
        <w:t xml:space="preserve">Also: </w:t>
      </w:r>
      <w:r>
        <w:rPr>
          <w:b/>
        </w:rPr>
        <w:t>investigational new drug</w:t>
      </w:r>
      <w:r>
        <w:t xml:space="preserve">. A drug or biologic used in a clinical investigation, including a biological product used in vitro for diagnostic purposes. For the purposes of this policy, an investigational drug is defined as: </w:t>
      </w:r>
    </w:p>
    <w:p w14:paraId="610D2D7E" w14:textId="77777777" w:rsidR="00404880" w:rsidRDefault="00404880" w:rsidP="00A07209">
      <w:pPr>
        <w:pStyle w:val="ListParagraph"/>
        <w:numPr>
          <w:ilvl w:val="0"/>
          <w:numId w:val="335"/>
        </w:numPr>
        <w:spacing w:before="60" w:after="0" w:line="240" w:lineRule="auto"/>
        <w:contextualSpacing w:val="0"/>
      </w:pPr>
      <w:r>
        <w:t>An article that is not approved for marketing in the United States as a drug, or</w:t>
      </w:r>
    </w:p>
    <w:p w14:paraId="5197362E" w14:textId="77777777" w:rsidR="00404880" w:rsidRPr="00C61D2B" w:rsidRDefault="00404880" w:rsidP="00A07209">
      <w:pPr>
        <w:pStyle w:val="ListParagraph"/>
        <w:numPr>
          <w:ilvl w:val="0"/>
          <w:numId w:val="335"/>
        </w:numPr>
        <w:spacing w:before="60" w:after="0" w:line="240" w:lineRule="auto"/>
        <w:contextualSpacing w:val="0"/>
      </w:pPr>
      <w:r>
        <w:t>An approved drug that is not used according to the approved label (or a new combination of approved drugs)</w:t>
      </w:r>
    </w:p>
    <w:p w14:paraId="310662C5" w14:textId="77777777" w:rsidR="00404880" w:rsidRPr="0049456E" w:rsidRDefault="00404880" w:rsidP="00404880">
      <w:pPr>
        <w:ind w:left="360"/>
      </w:pPr>
    </w:p>
    <w:p w14:paraId="5D07F429" w14:textId="77777777" w:rsidR="00471D7F" w:rsidRPr="0049456E" w:rsidRDefault="00404880" w:rsidP="00471D7F">
      <w:pPr>
        <w:ind w:left="360"/>
      </w:pPr>
      <w:r>
        <w:rPr>
          <w:b/>
          <w:bCs/>
        </w:rPr>
        <w:t xml:space="preserve">Investigational New Drug Application (IND): </w:t>
      </w:r>
      <w:r>
        <w:t xml:space="preserve">A request from a clinical study sponsor to obtain authorization from the Food and Drug Administration (FDA) to administer an investigational drug or biological product to humans. An </w:t>
      </w:r>
      <w:r>
        <w:lastRenderedPageBreak/>
        <w:t>FDA-approved IND permits a drug that would otherwise require pre-market approval by FDA to be legally shipped for a clinical investigation.</w:t>
      </w:r>
    </w:p>
    <w:p w14:paraId="152EA582" w14:textId="77777777" w:rsidR="00404880" w:rsidRDefault="00404880" w:rsidP="00404880">
      <w:pPr>
        <w:ind w:left="360"/>
        <w:rPr>
          <w:bCs/>
          <w:iCs/>
        </w:rPr>
      </w:pPr>
      <w:r>
        <w:rPr>
          <w:b/>
          <w:iCs/>
        </w:rPr>
        <w:t>Sponsor:</w:t>
      </w:r>
      <w:r>
        <w:rPr>
          <w:bCs/>
          <w:iCs/>
        </w:rPr>
        <w:t xml:space="preserve">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conduct an investigation that it has initiated is a sponsor, not a sponsor-investigator, and the employees are investigators.</w:t>
      </w:r>
    </w:p>
    <w:p w14:paraId="3990332F" w14:textId="77777777" w:rsidR="00404880" w:rsidRPr="00471D7F" w:rsidRDefault="00404880" w:rsidP="00471D7F">
      <w:pPr>
        <w:ind w:left="360"/>
        <w:rPr>
          <w:bCs/>
          <w:i/>
        </w:rPr>
      </w:pPr>
      <w:r>
        <w:rPr>
          <w:bCs/>
          <w:i/>
        </w:rPr>
        <w:t>Note: Under FDA regulations and for the purposes of this policy, “sponsor” is unrelated to financial or in-kind support of a study.</w:t>
      </w:r>
    </w:p>
    <w:p w14:paraId="6C086C6F" w14:textId="77777777" w:rsidR="00404880" w:rsidRDefault="00404880" w:rsidP="00471D7F">
      <w:pPr>
        <w:ind w:left="360"/>
      </w:pPr>
      <w:r>
        <w:rPr>
          <w:b/>
          <w:iCs/>
        </w:rPr>
        <w:t>Sponsor-Investigator</w:t>
      </w:r>
      <w:r>
        <w:rPr>
          <w:b/>
        </w:rPr>
        <w:t xml:space="preserve">: </w:t>
      </w:r>
      <w:r>
        <w:t>An individual who initiates (</w:t>
      </w:r>
      <w:r>
        <w:rPr>
          <w:i/>
        </w:rPr>
        <w:t>e.g., obtains an IND or IDE</w:t>
      </w:r>
      <w:r>
        <w:t xml:space="preserve">) and conducts an investigation and under whose immediate direction an investigational drug or device is administered, dispensed, or used. </w:t>
      </w:r>
      <w:r>
        <w:rPr>
          <w:i/>
        </w:rPr>
        <w:t>Note: The regulatory requirements applicable to a sponsor-investigator include those applicable to both an investigator and a sponsor.</w:t>
      </w:r>
    </w:p>
    <w:p w14:paraId="1A34E0C7" w14:textId="77777777" w:rsidR="00471D7F" w:rsidRPr="00471D7F" w:rsidRDefault="00471D7F" w:rsidP="00471D7F"/>
    <w:p w14:paraId="799FEEE8" w14:textId="77777777" w:rsidR="00404880" w:rsidRPr="0049456E" w:rsidRDefault="00404880" w:rsidP="00A07209">
      <w:pPr>
        <w:numPr>
          <w:ilvl w:val="0"/>
          <w:numId w:val="336"/>
        </w:numPr>
        <w:spacing w:after="0" w:line="240" w:lineRule="auto"/>
        <w:ind w:left="360" w:hanging="360"/>
      </w:pPr>
      <w:r>
        <w:rPr>
          <w:b/>
        </w:rPr>
        <w:t>General Information</w:t>
      </w:r>
    </w:p>
    <w:p w14:paraId="079D3877" w14:textId="77777777" w:rsidR="00404880" w:rsidRPr="0049456E" w:rsidRDefault="00404880" w:rsidP="00404880">
      <w:pPr>
        <w:rPr>
          <w:b/>
        </w:rPr>
      </w:pPr>
    </w:p>
    <w:p w14:paraId="358BDC36" w14:textId="77777777" w:rsidR="00404880" w:rsidRDefault="00404880" w:rsidP="00A07209">
      <w:pPr>
        <w:numPr>
          <w:ilvl w:val="0"/>
          <w:numId w:val="329"/>
        </w:numPr>
        <w:spacing w:after="0" w:line="240" w:lineRule="auto"/>
        <w:ind w:left="720"/>
      </w:pPr>
      <w:r>
        <w:t>When human subjects research involves the use of drugs or biological products, FDA regulations apply. Investigators must provide sufficient information about the drug or biologic for the IRB to evaluate its associated risks and benefits, including the FDA approval status of the product (i.e., legally marketed or investigational).</w:t>
      </w:r>
    </w:p>
    <w:p w14:paraId="518BD92F" w14:textId="77777777" w:rsidR="00471D7F" w:rsidRPr="00471D7F" w:rsidRDefault="00471D7F" w:rsidP="00471D7F">
      <w:pPr>
        <w:spacing w:after="0" w:line="240" w:lineRule="auto"/>
        <w:ind w:left="720"/>
      </w:pPr>
    </w:p>
    <w:p w14:paraId="7D17CA8B" w14:textId="77777777" w:rsidR="00404880" w:rsidRDefault="00404880" w:rsidP="00A07209">
      <w:pPr>
        <w:numPr>
          <w:ilvl w:val="0"/>
          <w:numId w:val="329"/>
        </w:numPr>
        <w:spacing w:after="0" w:line="240" w:lineRule="auto"/>
        <w:ind w:left="720"/>
      </w:pPr>
      <w:r>
        <w:t xml:space="preserve">With some exceptions, biological products are included within the definition of a drug and are generally covered by the same laws and regulations. When the use of a biological product meets the definition of an investigational drug, it is subject to this policy and FDA’s regulations governing clinical investigations of drugs, as described below. For general information on clinical investigations of biologics, refer to </w:t>
      </w:r>
      <w:hyperlink r:id="rId299" w:history="1">
        <w:r>
          <w:rPr>
            <w:rStyle w:val="Hyperlink"/>
          </w:rPr>
          <w:t>Development &amp; Approval Process (CBER)</w:t>
        </w:r>
      </w:hyperlink>
      <w:r>
        <w:t>. For information on clinical investigations of biologics regulated as medical devices, refer to HRPP policy [</w:t>
      </w:r>
      <w:hyperlink r:id="rId300" w:history="1">
        <w:r>
          <w:rPr>
            <w:rStyle w:val="Hyperlink"/>
          </w:rPr>
          <w:t>Research Involving Medical Devices</w:t>
        </w:r>
      </w:hyperlink>
      <w:r>
        <w:t>].</w:t>
      </w:r>
    </w:p>
    <w:p w14:paraId="14C23AF9" w14:textId="77777777" w:rsidR="00471D7F" w:rsidRPr="00471D7F" w:rsidRDefault="00471D7F" w:rsidP="00471D7F">
      <w:pPr>
        <w:spacing w:after="0" w:line="240" w:lineRule="auto"/>
      </w:pPr>
    </w:p>
    <w:p w14:paraId="7A5D1B53" w14:textId="77777777" w:rsidR="00404880" w:rsidRDefault="00404880" w:rsidP="00A07209">
      <w:pPr>
        <w:numPr>
          <w:ilvl w:val="0"/>
          <w:numId w:val="329"/>
        </w:numPr>
        <w:spacing w:after="0" w:line="240" w:lineRule="auto"/>
        <w:ind w:left="720"/>
      </w:pPr>
      <w:r>
        <w:t xml:space="preserve">An Investigational New Drug Application (IND) must be filed with FDA to test the safety and efficacy of a new drug for marketing approval. Studies involving the “investigational/research use” of an </w:t>
      </w:r>
      <w:r>
        <w:rPr>
          <w:i/>
        </w:rPr>
        <w:t xml:space="preserve">approved </w:t>
      </w:r>
      <w:r>
        <w:t xml:space="preserve">drug also require an IND if the intent of the study is to generate data that will lead to a new clinical indication, formulation, or advertising claim, or the study includes a new </w:t>
      </w:r>
      <w:r>
        <w:rPr>
          <w:rStyle w:val="Strong"/>
        </w:rPr>
        <w:t>dose, population, or other factor that significantly increases risk (or decreases acceptability of the risk)</w:t>
      </w:r>
      <w:r>
        <w:t>.</w:t>
      </w:r>
    </w:p>
    <w:p w14:paraId="60EE3A2F" w14:textId="77777777" w:rsidR="00471D7F" w:rsidRPr="00471D7F" w:rsidRDefault="00471D7F" w:rsidP="00471D7F">
      <w:pPr>
        <w:spacing w:after="0" w:line="240" w:lineRule="auto"/>
      </w:pPr>
    </w:p>
    <w:p w14:paraId="2E3B00CE" w14:textId="77777777" w:rsidR="00404880" w:rsidRPr="0049456E" w:rsidRDefault="00404880" w:rsidP="00A07209">
      <w:pPr>
        <w:numPr>
          <w:ilvl w:val="0"/>
          <w:numId w:val="329"/>
        </w:numPr>
        <w:spacing w:after="0" w:line="240" w:lineRule="auto"/>
        <w:ind w:left="720"/>
      </w:pPr>
      <w:r>
        <w:t xml:space="preserve">As described above, an IND is required for some research uses of a marketed drug or biologic; however, certain exemptions apply to the FDA requirements. For information about the FDA exemptions from the requirements for an IND for studies involving marketed drugs, see </w:t>
      </w:r>
      <w:hyperlink r:id="rId301" w:history="1">
        <w:r>
          <w:rPr>
            <w:rStyle w:val="Hyperlink"/>
          </w:rPr>
          <w:t>IND Application Procedures: Exemptions from IND Requirements</w:t>
        </w:r>
      </w:hyperlink>
      <w:r>
        <w:t xml:space="preserve">. Additional FDA guidance for studies of approved drugs for treating cancer is available; see </w:t>
      </w:r>
      <w:hyperlink r:id="rId302" w:history="1">
        <w:r>
          <w:rPr>
            <w:rStyle w:val="Hyperlink"/>
          </w:rPr>
          <w:t>IND Exemptions for Studies of Lawfully Marketed Drug or Biological Products for the Treatment of Cancer</w:t>
        </w:r>
      </w:hyperlink>
      <w:r>
        <w:t>.</w:t>
      </w:r>
    </w:p>
    <w:p w14:paraId="289AAF9C" w14:textId="77777777" w:rsidR="00404880" w:rsidRPr="0049456E" w:rsidRDefault="00404880" w:rsidP="00404880"/>
    <w:p w14:paraId="514FC62B" w14:textId="77777777" w:rsidR="00404880" w:rsidRDefault="00404880" w:rsidP="00A07209">
      <w:pPr>
        <w:numPr>
          <w:ilvl w:val="0"/>
          <w:numId w:val="329"/>
        </w:numPr>
        <w:spacing w:after="0" w:line="240" w:lineRule="auto"/>
        <w:ind w:left="720"/>
      </w:pPr>
      <w:r>
        <w:t xml:space="preserve">When a clinical investigation requires an IND sponsors/sponsor-investigators must submit an application to FDA. An IND application must contain certain information, including the submission cover sheet (Form FDA 1571), study’s investigational plan (i.e., protocol), report of prior investigations, drug Investigator’s Brochure, and copies of investigator agreements, informed consent documents, and other information to be provided to research subjects. An IND number will be assigned by FDA upon receipt of the application. Unless earlier notification is received, studies may be initiated 30 days after FDA’s receipt of the application. For more </w:t>
      </w:r>
      <w:r>
        <w:lastRenderedPageBreak/>
        <w:t xml:space="preserve">information about obtaining an IND and forms and instructions, see </w:t>
      </w:r>
      <w:hyperlink r:id="rId303" w:history="1">
        <w:r>
          <w:rPr>
            <w:rStyle w:val="Hyperlink"/>
          </w:rPr>
          <w:t>21 CFR 312 Subpart B - Investigational New Drug Application</w:t>
        </w:r>
      </w:hyperlink>
      <w:r>
        <w:t xml:space="preserve"> and </w:t>
      </w:r>
      <w:hyperlink r:id="rId304" w:history="1">
        <w:r>
          <w:rPr>
            <w:rStyle w:val="Hyperlink"/>
          </w:rPr>
          <w:t>Information for Sponsor-Investigators Submitting Investigational New Drug Applications (INDs).</w:t>
        </w:r>
      </w:hyperlink>
      <w:r>
        <w:t xml:space="preserve"> Final IRB approval will not be given until a valid IND number is provided, as described in </w:t>
      </w:r>
      <w:hyperlink w:anchor="section4" w:history="1">
        <w:r>
          <w:rPr>
            <w:rStyle w:val="Hyperlink"/>
          </w:rPr>
          <w:t>section 4</w:t>
        </w:r>
      </w:hyperlink>
      <w:r>
        <w:t xml:space="preserve"> below.</w:t>
      </w:r>
    </w:p>
    <w:p w14:paraId="7C7238EF" w14:textId="77777777" w:rsidR="00471D7F" w:rsidRPr="00471D7F" w:rsidRDefault="00471D7F" w:rsidP="00471D7F">
      <w:pPr>
        <w:spacing w:after="0" w:line="240" w:lineRule="auto"/>
        <w:ind w:left="720"/>
      </w:pPr>
    </w:p>
    <w:p w14:paraId="44FF1672" w14:textId="77777777" w:rsidR="00404880" w:rsidRPr="009E52A0" w:rsidRDefault="00404880" w:rsidP="00A07209">
      <w:pPr>
        <w:numPr>
          <w:ilvl w:val="0"/>
          <w:numId w:val="329"/>
        </w:numPr>
        <w:spacing w:after="0" w:line="240" w:lineRule="auto"/>
        <w:ind w:left="720"/>
      </w:pPr>
      <w:r>
        <w:t>An investigator obtaining an IND for the proposed use of a drug or biologic in research becomes a “sponsor-investigator,” and additional institutional resources are available to assist investigators in complying with applicable FDA regulations (see “</w:t>
      </w:r>
      <w:hyperlink w:anchor="Section8" w:history="1">
        <w:r>
          <w:rPr>
            <w:rStyle w:val="Hyperlink"/>
          </w:rPr>
          <w:t>Additional Responsibilities of Sponsor-Investigators</w:t>
        </w:r>
      </w:hyperlink>
      <w:r>
        <w:t>” below).</w:t>
      </w:r>
    </w:p>
    <w:p w14:paraId="090CE35E" w14:textId="77777777" w:rsidR="00471D7F" w:rsidRPr="0049456E" w:rsidRDefault="00404880" w:rsidP="00471D7F">
      <w:pPr>
        <w:spacing w:before="120"/>
        <w:ind w:left="720"/>
      </w:pPr>
      <w:r>
        <w:rPr>
          <w:i/>
          <w:iCs/>
        </w:rPr>
        <w:t>Note: For research initiated by Ohio State investigators, the IND must be submitted in the sponsor-investigator’s name; Ohio State will not serve as an institutional sponsor nor undertake sponsor responsibilities for INDs.</w:t>
      </w:r>
    </w:p>
    <w:p w14:paraId="4E7B395B" w14:textId="77777777" w:rsidR="00404880" w:rsidRDefault="00404880" w:rsidP="00A07209">
      <w:pPr>
        <w:numPr>
          <w:ilvl w:val="0"/>
          <w:numId w:val="329"/>
        </w:numPr>
        <w:spacing w:after="0" w:line="240" w:lineRule="auto"/>
        <w:ind w:left="720"/>
      </w:pPr>
      <w:r>
        <w:t xml:space="preserve">The “off-label” use of an FDA-approved, marketed drug (i.e., a use other than the indication(s) approved by FDA) by a physician for treatment purposes does not require an IND or IRB approval. When such uses meet the regulatory definitions of </w:t>
      </w:r>
      <w:r>
        <w:rPr>
          <w:i/>
        </w:rPr>
        <w:t>research</w:t>
      </w:r>
      <w:r>
        <w:t xml:space="preserve"> or </w:t>
      </w:r>
      <w:r>
        <w:rPr>
          <w:i/>
        </w:rPr>
        <w:t>clinical investigation</w:t>
      </w:r>
      <w:r>
        <w:t xml:space="preserve">, IRB approval is required. An IND may also be required unless the conditions for exemption (described at </w:t>
      </w:r>
      <w:hyperlink r:id="rId305" w:history="1">
        <w:r>
          <w:rPr>
            <w:rStyle w:val="Hyperlink"/>
          </w:rPr>
          <w:t>IND Application Procedures: Exemptions from IND Requirements</w:t>
        </w:r>
      </w:hyperlink>
      <w:r>
        <w:t>) are met.</w:t>
      </w:r>
    </w:p>
    <w:p w14:paraId="68543857" w14:textId="77777777" w:rsidR="00471D7F" w:rsidRPr="00471D7F" w:rsidRDefault="00471D7F" w:rsidP="00471D7F">
      <w:pPr>
        <w:spacing w:after="0" w:line="240" w:lineRule="auto"/>
        <w:ind w:left="720"/>
      </w:pPr>
    </w:p>
    <w:p w14:paraId="02024B1C" w14:textId="77777777" w:rsidR="00471D7F" w:rsidRDefault="00404880" w:rsidP="00A07209">
      <w:pPr>
        <w:numPr>
          <w:ilvl w:val="0"/>
          <w:numId w:val="329"/>
        </w:numPr>
        <w:spacing w:after="0" w:line="240" w:lineRule="auto"/>
        <w:ind w:left="720"/>
      </w:pPr>
      <w:r>
        <w:t xml:space="preserve">In certain non-emergency situations, an investigational drug intended to treat a serious or immediately life-threatening condition may be used outside of a clinical investigation, as part of an “expanded access” program. Such “treatment use” of an investigational drug requires an IND and IRB review and approval. For more information, see </w:t>
      </w:r>
      <w:hyperlink w:anchor="Section6" w:history="1">
        <w:r>
          <w:rPr>
            <w:rStyle w:val="Hyperlink"/>
          </w:rPr>
          <w:t>section 6</w:t>
        </w:r>
      </w:hyperlink>
      <w:r>
        <w:t xml:space="preserve"> below. </w:t>
      </w:r>
    </w:p>
    <w:p w14:paraId="2D081B0F" w14:textId="77777777" w:rsidR="00471D7F" w:rsidRPr="00471D7F" w:rsidRDefault="00471D7F" w:rsidP="00471D7F">
      <w:pPr>
        <w:spacing w:after="0" w:line="240" w:lineRule="auto"/>
        <w:ind w:left="720"/>
      </w:pPr>
    </w:p>
    <w:p w14:paraId="2B02D689" w14:textId="77777777" w:rsidR="00404880" w:rsidRPr="0049456E" w:rsidRDefault="00404880" w:rsidP="00A07209">
      <w:pPr>
        <w:numPr>
          <w:ilvl w:val="0"/>
          <w:numId w:val="329"/>
        </w:numPr>
        <w:spacing w:after="0" w:line="240" w:lineRule="auto"/>
        <w:ind w:left="720"/>
      </w:pPr>
      <w:r>
        <w:t>Additional requirements apply to the emergency use of an investigational drug or biologic and planned emergency research involving investigational drugs or biologics subject to FDA regulations. For more information, see HRPP policies [</w:t>
      </w:r>
      <w:hyperlink r:id="rId306" w:history="1">
        <w:r>
          <w:rPr>
            <w:rStyle w:val="Hyperlink"/>
          </w:rPr>
          <w:t>Emergency Use of Investigational Drugs, Biologics, or Devices</w:t>
        </w:r>
      </w:hyperlink>
      <w:r>
        <w:t>] and [</w:t>
      </w:r>
      <w:hyperlink r:id="rId307" w:history="1">
        <w:r>
          <w:rPr>
            <w:rStyle w:val="Hyperlink"/>
          </w:rPr>
          <w:t>Planned Emergency Research</w:t>
        </w:r>
      </w:hyperlink>
      <w:r>
        <w:t>].</w:t>
      </w:r>
    </w:p>
    <w:p w14:paraId="26ED0636" w14:textId="77777777" w:rsidR="00404880" w:rsidRPr="0049456E" w:rsidRDefault="00404880" w:rsidP="00471D7F">
      <w:pPr>
        <w:ind w:left="720"/>
      </w:pPr>
    </w:p>
    <w:p w14:paraId="6E14012F" w14:textId="77777777" w:rsidR="00404880" w:rsidRPr="0049456E" w:rsidRDefault="00404880" w:rsidP="00A07209">
      <w:pPr>
        <w:numPr>
          <w:ilvl w:val="0"/>
          <w:numId w:val="336"/>
        </w:numPr>
        <w:spacing w:after="0" w:line="240" w:lineRule="auto"/>
        <w:ind w:left="360" w:hanging="360"/>
      </w:pPr>
      <w:r>
        <w:rPr>
          <w:b/>
        </w:rPr>
        <w:t xml:space="preserve"> Submission and Pre-Review Procedures</w:t>
      </w:r>
    </w:p>
    <w:p w14:paraId="107E516D" w14:textId="77777777" w:rsidR="00404880" w:rsidRPr="0049456E" w:rsidRDefault="00404880" w:rsidP="00404880">
      <w:pPr>
        <w:ind w:left="360"/>
        <w:rPr>
          <w:b/>
        </w:rPr>
      </w:pPr>
    </w:p>
    <w:p w14:paraId="5906850F" w14:textId="77777777" w:rsidR="00471D7F" w:rsidRDefault="00404880" w:rsidP="00A07209">
      <w:pPr>
        <w:numPr>
          <w:ilvl w:val="0"/>
          <w:numId w:val="330"/>
        </w:numPr>
        <w:spacing w:after="0" w:line="240" w:lineRule="auto"/>
      </w:pPr>
      <w:r>
        <w:t>To describe proposed uses of drugs or biologics in human subjects research, investigators will check “Drugs or biologics (including dietary supplements/ingredients)” on the “Research Methods and Activities” page of the Buck-IRB application and provide an initial assessment of whether the investigation requires an IND or is exempt from IND regulations. For more information about IRB submission requirements, see HRPP policy [</w:t>
      </w:r>
      <w:hyperlink r:id="rId308" w:history="1">
        <w:r>
          <w:rPr>
            <w:rStyle w:val="Hyperlink"/>
          </w:rPr>
          <w:t>Submission and Pre-Review</w:t>
        </w:r>
      </w:hyperlink>
      <w:r>
        <w:t>].</w:t>
      </w:r>
    </w:p>
    <w:p w14:paraId="6A2B6EB5" w14:textId="77777777" w:rsidR="00471D7F" w:rsidRDefault="00471D7F" w:rsidP="00471D7F">
      <w:pPr>
        <w:spacing w:after="0" w:line="240" w:lineRule="auto"/>
        <w:ind w:left="792"/>
      </w:pPr>
    </w:p>
    <w:p w14:paraId="1F4302ED" w14:textId="77777777" w:rsidR="00404880" w:rsidRPr="00471D7F" w:rsidRDefault="00404880" w:rsidP="00A07209">
      <w:pPr>
        <w:numPr>
          <w:ilvl w:val="0"/>
          <w:numId w:val="330"/>
        </w:numPr>
        <w:spacing w:after="0" w:line="240" w:lineRule="auto"/>
      </w:pPr>
      <w:r>
        <w:t xml:space="preserve">During the pre-review process, ORRP staff will review the submitted materials to assess applicable FDA requirements, including whether an investigator’s proposed use of a drug or biologic involves the use of a marketed drug in the course of medical practice, requires an IND, or meets the criteria for exemption from the IND requirements. The IRBs will make the final determination. </w:t>
      </w:r>
    </w:p>
    <w:p w14:paraId="68D40A86" w14:textId="77777777" w:rsidR="00404880" w:rsidRPr="0049456E" w:rsidRDefault="00404880" w:rsidP="00471D7F">
      <w:pPr>
        <w:spacing w:before="120"/>
        <w:ind w:left="720"/>
      </w:pPr>
      <w:r>
        <w:rPr>
          <w:i/>
        </w:rPr>
        <w:t xml:space="preserve">Note: For assistance in determining whether an IND is required in a specific situation, </w:t>
      </w:r>
      <w:r>
        <w:rPr>
          <w:bCs/>
          <w:i/>
          <w:iCs/>
        </w:rPr>
        <w:t xml:space="preserve">ORRP staff may prompt investigators to contact </w:t>
      </w:r>
      <w:r>
        <w:rPr>
          <w:i/>
        </w:rPr>
        <w:t xml:space="preserve">FDA </w:t>
      </w:r>
      <w:r>
        <w:rPr>
          <w:bCs/>
          <w:i/>
          <w:iCs/>
        </w:rPr>
        <w:t xml:space="preserve">or </w:t>
      </w:r>
      <w:r>
        <w:rPr>
          <w:i/>
        </w:rPr>
        <w:t xml:space="preserve">may </w:t>
      </w:r>
      <w:r>
        <w:rPr>
          <w:bCs/>
          <w:i/>
          <w:iCs/>
        </w:rPr>
        <w:t>seek assistance from FDA</w:t>
      </w:r>
      <w:r>
        <w:rPr>
          <w:i/>
        </w:rPr>
        <w:t xml:space="preserve"> directly. (For contact information, see FDA guidance </w:t>
      </w:r>
      <w:hyperlink r:id="rId309" w:history="1">
        <w:r>
          <w:rPr>
            <w:rStyle w:val="Hyperlink"/>
            <w:i/>
          </w:rPr>
          <w:t>"Off-label" and Investigational Use of Marketed Drugs, Biologics, and Medical Devices</w:t>
        </w:r>
      </w:hyperlink>
      <w:r>
        <w:rPr>
          <w:i/>
        </w:rPr>
        <w:t>.)</w:t>
      </w:r>
    </w:p>
    <w:p w14:paraId="29A49B03" w14:textId="77777777" w:rsidR="00404880" w:rsidRPr="00014659" w:rsidRDefault="00404880" w:rsidP="00A07209">
      <w:pPr>
        <w:numPr>
          <w:ilvl w:val="0"/>
          <w:numId w:val="330"/>
        </w:numPr>
        <w:spacing w:after="0" w:line="240" w:lineRule="auto"/>
        <w:ind w:left="720"/>
        <w:rPr>
          <w:i/>
        </w:rPr>
      </w:pPr>
      <w:r>
        <w:t xml:space="preserve">When the research involves a drug or biologic with an IND, ORRP staff will verify that the IND number provided by the investigator is valid. FDA correspondence confirming protocol-specific IND approval (e.g., “study may proceed” letter) is required when (1) an Ohio State sponsor-investigator holds an IND or (2) when an external entity holds an IND but Ohio State is the lead site reviewing the research. In other scenarios, additional forms of protocol-specific confirmation (e.g., sponsor’s protocol cover sheet or sponsor correspondence) may be acceptable in lieu of formal FDA correspondence. </w:t>
      </w:r>
    </w:p>
    <w:p w14:paraId="2ADB7DE2" w14:textId="77777777" w:rsidR="00471D7F" w:rsidRDefault="00404880" w:rsidP="00471D7F">
      <w:pPr>
        <w:spacing w:before="120"/>
        <w:ind w:left="720"/>
      </w:pPr>
      <w:r>
        <w:rPr>
          <w:i/>
        </w:rPr>
        <w:t>Note: The investigator’s drug brochure is not a protocol-specific document.</w:t>
      </w:r>
    </w:p>
    <w:p w14:paraId="41791EFE" w14:textId="77777777" w:rsidR="00471D7F" w:rsidRPr="0049456E" w:rsidRDefault="00471D7F" w:rsidP="00471D7F">
      <w:pPr>
        <w:spacing w:before="120"/>
      </w:pPr>
    </w:p>
    <w:p w14:paraId="5EA6D295" w14:textId="77777777" w:rsidR="00404880" w:rsidRDefault="00404880" w:rsidP="00A07209">
      <w:pPr>
        <w:numPr>
          <w:ilvl w:val="0"/>
          <w:numId w:val="332"/>
        </w:numPr>
        <w:spacing w:after="0" w:line="240" w:lineRule="auto"/>
        <w:ind w:left="360"/>
        <w:rPr>
          <w:b/>
        </w:rPr>
      </w:pPr>
      <w:r>
        <w:rPr>
          <w:b/>
        </w:rPr>
        <w:t>IRB Review</w:t>
      </w:r>
    </w:p>
    <w:p w14:paraId="40E995F1" w14:textId="77777777" w:rsidR="00471D7F" w:rsidRPr="00471D7F" w:rsidRDefault="00471D7F" w:rsidP="00471D7F">
      <w:pPr>
        <w:spacing w:after="0" w:line="240" w:lineRule="auto"/>
        <w:ind w:left="360"/>
        <w:rPr>
          <w:b/>
        </w:rPr>
      </w:pPr>
    </w:p>
    <w:p w14:paraId="5C2A0309" w14:textId="77777777" w:rsidR="00404880" w:rsidRDefault="00404880" w:rsidP="00A07209">
      <w:pPr>
        <w:numPr>
          <w:ilvl w:val="0"/>
          <w:numId w:val="325"/>
        </w:numPr>
        <w:spacing w:after="0" w:line="240" w:lineRule="auto"/>
        <w:ind w:left="1080"/>
      </w:pPr>
      <w:r>
        <w:t>In general, the convened IRBs will review proposed research involving investigational drugs or biologics considering the criteria for approval as described by regulations and HRPP policy [</w:t>
      </w:r>
      <w:hyperlink r:id="rId310" w:history="1">
        <w:r>
          <w:rPr>
            <w:rStyle w:val="Hyperlink"/>
          </w:rPr>
          <w:t>Review of Research by the Convened IRB</w:t>
        </w:r>
      </w:hyperlink>
      <w:r>
        <w:t>]. Applications that meet 21 CFR 56.110 and/or 45 CFR 46.110 category 1(b) or category 9 criteria may be reviewed by expedited review procedure rather than a convened IRB, as described in HRPP policy [</w:t>
      </w:r>
      <w:hyperlink r:id="rId311" w:history="1">
        <w:r>
          <w:rPr>
            <w:rStyle w:val="Hyperlink"/>
          </w:rPr>
          <w:t>Expedited and Administrative Review Procedures</w:t>
        </w:r>
      </w:hyperlink>
      <w:r>
        <w:t xml:space="preserve">]. </w:t>
      </w:r>
    </w:p>
    <w:p w14:paraId="52C34ADB" w14:textId="77777777" w:rsidR="00471D7F" w:rsidRPr="0049456E" w:rsidRDefault="00404880" w:rsidP="00471D7F">
      <w:pPr>
        <w:spacing w:before="120"/>
        <w:ind w:left="720"/>
      </w:pPr>
      <w:r>
        <w:rPr>
          <w:i/>
        </w:rPr>
        <w:t>Note: Research involving a drug for which an IND is required is not eligible for expedited review.</w:t>
      </w:r>
    </w:p>
    <w:p w14:paraId="291BA48D" w14:textId="77777777" w:rsidR="00404880" w:rsidRPr="0049456E" w:rsidRDefault="00404880" w:rsidP="00A07209">
      <w:pPr>
        <w:numPr>
          <w:ilvl w:val="0"/>
          <w:numId w:val="325"/>
        </w:numPr>
        <w:spacing w:after="60" w:line="240" w:lineRule="auto"/>
        <w:ind w:left="1080"/>
      </w:pPr>
      <w:r>
        <w:t>When research involves the use of an investigational drug or biologic, to approve the research the IRBs will also require the following:</w:t>
      </w:r>
    </w:p>
    <w:p w14:paraId="24848BC4" w14:textId="77777777" w:rsidR="00404880" w:rsidRPr="0049456E" w:rsidRDefault="00404880" w:rsidP="00A07209">
      <w:pPr>
        <w:numPr>
          <w:ilvl w:val="0"/>
          <w:numId w:val="327"/>
        </w:numPr>
        <w:tabs>
          <w:tab w:val="num" w:pos="1440"/>
        </w:tabs>
        <w:spacing w:after="60" w:line="240" w:lineRule="auto"/>
        <w:ind w:left="1800"/>
      </w:pPr>
      <w:r>
        <w:t>Available clinical and non-clinical information on the investigational product that is adequate to support the proposed research</w:t>
      </w:r>
    </w:p>
    <w:p w14:paraId="0BF2B02E" w14:textId="77777777" w:rsidR="00404880" w:rsidRPr="0049456E" w:rsidRDefault="00404880" w:rsidP="00A07209">
      <w:pPr>
        <w:numPr>
          <w:ilvl w:val="0"/>
          <w:numId w:val="327"/>
        </w:numPr>
        <w:tabs>
          <w:tab w:val="num" w:pos="1440"/>
        </w:tabs>
        <w:spacing w:after="60" w:line="240" w:lineRule="auto"/>
        <w:ind w:left="1800"/>
      </w:pPr>
      <w:r>
        <w:t>Documentation of a valid IND, unless the proposed use of the drug or biologic represents the use of a marketed product in the course of medical practice or meets one of the FDA exemptions from the IND requirements</w:t>
      </w:r>
    </w:p>
    <w:p w14:paraId="785D7D3E" w14:textId="77777777" w:rsidR="00404880" w:rsidRPr="0049456E" w:rsidRDefault="00404880" w:rsidP="00A07209">
      <w:pPr>
        <w:numPr>
          <w:ilvl w:val="0"/>
          <w:numId w:val="327"/>
        </w:numPr>
        <w:tabs>
          <w:tab w:val="num" w:pos="1440"/>
        </w:tabs>
        <w:spacing w:after="60" w:line="240" w:lineRule="auto"/>
        <w:ind w:left="1800"/>
      </w:pPr>
      <w:r>
        <w:t>An adequate plan for monitoring data to ensure the safety of subjects and for reporting adverse events and unanticipated problems involving risks to subjects or others</w:t>
      </w:r>
    </w:p>
    <w:p w14:paraId="359ABDFE" w14:textId="77777777" w:rsidR="00404880" w:rsidRPr="0049456E" w:rsidRDefault="00404880" w:rsidP="00A07209">
      <w:pPr>
        <w:numPr>
          <w:ilvl w:val="0"/>
          <w:numId w:val="327"/>
        </w:numPr>
        <w:tabs>
          <w:tab w:val="num" w:pos="1440"/>
        </w:tabs>
        <w:spacing w:after="60" w:line="240" w:lineRule="auto"/>
        <w:ind w:left="1800"/>
      </w:pPr>
      <w:r>
        <w:t>A plan for control, accountability, and storage of the investigational drug or biologic that ensures that the product will be used only in the approved research under the direction of the approved investigator(s)</w:t>
      </w:r>
    </w:p>
    <w:p w14:paraId="0C778687" w14:textId="77777777" w:rsidR="00404880" w:rsidRPr="0049456E" w:rsidRDefault="00404880" w:rsidP="00A07209">
      <w:pPr>
        <w:numPr>
          <w:ilvl w:val="0"/>
          <w:numId w:val="327"/>
        </w:numPr>
        <w:tabs>
          <w:tab w:val="num" w:pos="1440"/>
        </w:tabs>
        <w:spacing w:after="0" w:line="240" w:lineRule="auto"/>
        <w:ind w:left="1800"/>
      </w:pPr>
      <w:r>
        <w:t>For sponsor-investigators, evidence that they are knowledgeable about and will comply with the additional FDA requirements associated with conducting clinical investigations of drugs</w:t>
      </w:r>
    </w:p>
    <w:p w14:paraId="6070A6EF" w14:textId="77777777" w:rsidR="00404880" w:rsidRPr="0049456E" w:rsidRDefault="00404880" w:rsidP="00404880"/>
    <w:p w14:paraId="5CC0FA03" w14:textId="77777777" w:rsidR="00404880" w:rsidRDefault="00404880" w:rsidP="00A07209">
      <w:pPr>
        <w:numPr>
          <w:ilvl w:val="0"/>
          <w:numId w:val="333"/>
        </w:numPr>
        <w:spacing w:after="0" w:line="240" w:lineRule="auto"/>
        <w:rPr>
          <w:b/>
        </w:rPr>
      </w:pPr>
      <w:bookmarkStart w:id="345" w:name="Section6"/>
      <w:bookmarkEnd w:id="345"/>
      <w:r>
        <w:rPr>
          <w:b/>
        </w:rPr>
        <w:t>Expanded Access</w:t>
      </w:r>
    </w:p>
    <w:p w14:paraId="72442119" w14:textId="77777777" w:rsidR="00471D7F" w:rsidRPr="00471D7F" w:rsidRDefault="00471D7F" w:rsidP="00471D7F">
      <w:pPr>
        <w:spacing w:after="0" w:line="240" w:lineRule="auto"/>
        <w:ind w:left="360"/>
        <w:rPr>
          <w:b/>
        </w:rPr>
      </w:pPr>
    </w:p>
    <w:p w14:paraId="3AB6BE62" w14:textId="77777777" w:rsidR="00404880" w:rsidRPr="0049456E" w:rsidRDefault="00404880" w:rsidP="00A07209">
      <w:pPr>
        <w:pStyle w:val="ListParagraph"/>
        <w:numPr>
          <w:ilvl w:val="1"/>
          <w:numId w:val="336"/>
        </w:numPr>
        <w:spacing w:after="0" w:line="240" w:lineRule="auto"/>
        <w:ind w:left="1152"/>
      </w:pPr>
      <w:r>
        <w:t>Expanded access, sometimes called "compassionate use," is the use outside of a clinical trial of a medical product that is not legally marketed in the United States. Expanded access refers to the use of an investigational drug when the primary purpose is to diagnose, monitor, or treat a patient’s disease or condition rather than to obtain the kind of information about the drug that is generally derived from clinical trials. Except for emergency expanded access use when there is not sufficient time to secure prospective IRB review, an investigator treating a patient with an investigational drug under expanded access is responsible for obtaining IRB review and approval before treatment with the investigational drug may begin.</w:t>
      </w:r>
      <w:r>
        <w:br/>
      </w:r>
    </w:p>
    <w:p w14:paraId="0FB28AA6" w14:textId="77777777" w:rsidR="00404880" w:rsidRPr="0049456E" w:rsidRDefault="00404880" w:rsidP="00A07209">
      <w:pPr>
        <w:pStyle w:val="ListParagraph"/>
        <w:numPr>
          <w:ilvl w:val="1"/>
          <w:numId w:val="336"/>
        </w:numPr>
        <w:spacing w:after="0" w:line="240" w:lineRule="auto"/>
        <w:ind w:left="1152"/>
      </w:pPr>
      <w:r>
        <w:t>Under FDA’s current regulations for investigational drugs and biologics, there are three categories of expanded access:</w:t>
      </w:r>
    </w:p>
    <w:p w14:paraId="4F7DBC00" w14:textId="77777777" w:rsidR="00404880" w:rsidRPr="0049456E" w:rsidRDefault="00404880" w:rsidP="00A07209">
      <w:pPr>
        <w:pStyle w:val="ListParagraph"/>
        <w:numPr>
          <w:ilvl w:val="3"/>
          <w:numId w:val="457"/>
        </w:numPr>
        <w:spacing w:before="60" w:after="0" w:line="240" w:lineRule="auto"/>
        <w:ind w:left="1800"/>
        <w:contextualSpacing w:val="0"/>
      </w:pPr>
      <w:r>
        <w:t>Expanded access for individual patients, including for emergency use</w:t>
      </w:r>
    </w:p>
    <w:p w14:paraId="25A22099" w14:textId="77777777" w:rsidR="00404880" w:rsidRPr="0049456E" w:rsidRDefault="00404880" w:rsidP="00A07209">
      <w:pPr>
        <w:pStyle w:val="ListParagraph"/>
        <w:numPr>
          <w:ilvl w:val="3"/>
          <w:numId w:val="457"/>
        </w:numPr>
        <w:spacing w:before="60" w:after="0" w:line="240" w:lineRule="auto"/>
        <w:ind w:left="1800"/>
        <w:contextualSpacing w:val="0"/>
      </w:pPr>
      <w:r>
        <w:t xml:space="preserve">Expanded access for intermediate-size patient populations (generally smaller than those typical of a treatment IND or treatment protocol — a treatment protocol is submitted as a protocol to an existing IND by the sponsor of the existing IND) </w:t>
      </w:r>
    </w:p>
    <w:p w14:paraId="57C943D4" w14:textId="77777777" w:rsidR="00471D7F" w:rsidRDefault="00404880" w:rsidP="00A07209">
      <w:pPr>
        <w:pStyle w:val="ListParagraph"/>
        <w:numPr>
          <w:ilvl w:val="3"/>
          <w:numId w:val="457"/>
        </w:numPr>
        <w:spacing w:before="60" w:after="0" w:line="240" w:lineRule="auto"/>
        <w:ind w:left="1800"/>
        <w:contextualSpacing w:val="0"/>
      </w:pPr>
      <w:r>
        <w:t xml:space="preserve">Expanded access for widespread treatment use through a treatment IND or treatment protocol (designed for use in larger patient populations) </w:t>
      </w:r>
    </w:p>
    <w:p w14:paraId="5F3C0956" w14:textId="77777777" w:rsidR="00471D7F" w:rsidRDefault="00471D7F" w:rsidP="00471D7F">
      <w:pPr>
        <w:pStyle w:val="ListParagraph"/>
        <w:spacing w:before="60" w:after="0" w:line="240" w:lineRule="auto"/>
        <w:ind w:left="1368"/>
        <w:contextualSpacing w:val="0"/>
      </w:pPr>
    </w:p>
    <w:p w14:paraId="1D3F029C" w14:textId="77777777" w:rsidR="00404880" w:rsidRPr="00471D7F" w:rsidRDefault="00404880" w:rsidP="00A07209">
      <w:pPr>
        <w:pStyle w:val="ListParagraph"/>
        <w:numPr>
          <w:ilvl w:val="1"/>
          <w:numId w:val="336"/>
        </w:numPr>
        <w:spacing w:before="60" w:after="0" w:line="240" w:lineRule="auto"/>
        <w:ind w:left="1152"/>
        <w:contextualSpacing w:val="0"/>
      </w:pPr>
      <w:r>
        <w:lastRenderedPageBreak/>
        <w:t xml:space="preserve">For more information, see FDA guidance </w:t>
      </w:r>
      <w:hyperlink r:id="rId312" w:history="1">
        <w:r>
          <w:rPr>
            <w:rStyle w:val="Hyperlink"/>
          </w:rPr>
          <w:t>Expanded Access to Investigational Drugs for Treatment Use - Questions and Answers</w:t>
        </w:r>
      </w:hyperlink>
      <w:r>
        <w:t xml:space="preserve"> and </w:t>
      </w:r>
      <w:hyperlink r:id="rId313" w:history="1">
        <w:r>
          <w:rPr>
            <w:rStyle w:val="Hyperlink"/>
          </w:rPr>
          <w:t>Charging for Investigational Drugs Under an IND - Questions and Answers</w:t>
        </w:r>
      </w:hyperlink>
      <w:r>
        <w:t xml:space="preserve"> or contact the Office of Responsible Research Practices.</w:t>
      </w:r>
    </w:p>
    <w:p w14:paraId="1553D066" w14:textId="77777777" w:rsidR="00404880" w:rsidRPr="0049456E" w:rsidRDefault="00404880" w:rsidP="00471D7F">
      <w:pPr>
        <w:ind w:left="720"/>
      </w:pPr>
    </w:p>
    <w:p w14:paraId="4B6E9599" w14:textId="77777777" w:rsidR="00404880" w:rsidRPr="00257873" w:rsidRDefault="00404880" w:rsidP="00A07209">
      <w:pPr>
        <w:pStyle w:val="ListParagraph"/>
        <w:numPr>
          <w:ilvl w:val="0"/>
          <w:numId w:val="333"/>
        </w:numPr>
        <w:spacing w:after="0" w:line="240" w:lineRule="auto"/>
      </w:pPr>
      <w:r>
        <w:rPr>
          <w:b/>
        </w:rPr>
        <w:t>Investigational Drug Control, Accountability, and Record Retention</w:t>
      </w:r>
    </w:p>
    <w:p w14:paraId="6C6DDF6D" w14:textId="77777777" w:rsidR="00257873" w:rsidRPr="00257873" w:rsidRDefault="00257873" w:rsidP="00257873">
      <w:pPr>
        <w:pStyle w:val="ListParagraph"/>
        <w:spacing w:after="0" w:line="240" w:lineRule="auto"/>
        <w:ind w:left="360"/>
      </w:pPr>
    </w:p>
    <w:p w14:paraId="4E21586D" w14:textId="77777777" w:rsidR="00404880" w:rsidRDefault="00404880" w:rsidP="00A07209">
      <w:pPr>
        <w:numPr>
          <w:ilvl w:val="0"/>
          <w:numId w:val="331"/>
        </w:numPr>
        <w:spacing w:after="0" w:line="240" w:lineRule="auto"/>
        <w:ind w:left="1080"/>
      </w:pPr>
      <w:r>
        <w:t>Investigational drugs used in Ohio State research must be appropriately controlled, administered, and stored in compliance with IRB and FDA requirements and applicable university policies. Such requirements include processes to ensure that investigational products are manufactured, handled, and stored in compliance with applicable good manufacturing practices; inventory and accountability records are maintained for investigational drug receipt, dispensing, and disposition; and investigational drugs are used only in accordance with available physical, chemical, pharmaceutical, pharmacological, toxicological, and clinical information and the approved protocol.</w:t>
      </w:r>
    </w:p>
    <w:p w14:paraId="704A22F0" w14:textId="77777777" w:rsidR="00257873" w:rsidRPr="00257873" w:rsidRDefault="00257873" w:rsidP="00257873">
      <w:pPr>
        <w:spacing w:after="0" w:line="240" w:lineRule="auto"/>
        <w:ind w:left="1080"/>
      </w:pPr>
    </w:p>
    <w:p w14:paraId="672B4D1E" w14:textId="77777777" w:rsidR="00404880" w:rsidRPr="0049456E" w:rsidRDefault="00404880" w:rsidP="00A07209">
      <w:pPr>
        <w:numPr>
          <w:ilvl w:val="0"/>
          <w:numId w:val="331"/>
        </w:numPr>
        <w:spacing w:after="0" w:line="240" w:lineRule="auto"/>
        <w:ind w:left="1080"/>
      </w:pPr>
      <w:r>
        <w:t>Investigators may delegate accountability, storage, and recordkeeping responsibilities to The Ohio State University Wexner Medical Center Department of Pharmacy. For more information, contact the Department of Pharmacy at 614-293-3358. Alternatively, an investigator may provide a plan to ensure that the investigational drug or biologic will be used according to the IRB-approved protocol, under the direction of the approved investigator(s), and in compliance with FDA and university requirements.</w:t>
      </w:r>
    </w:p>
    <w:p w14:paraId="033A6287" w14:textId="77777777" w:rsidR="00404880" w:rsidRPr="0049456E" w:rsidRDefault="00404880" w:rsidP="00404880">
      <w:pPr>
        <w:rPr>
          <w:rStyle w:val="Strong"/>
          <w:b w:val="0"/>
        </w:rPr>
      </w:pPr>
    </w:p>
    <w:p w14:paraId="71E2745C" w14:textId="77777777" w:rsidR="00404880" w:rsidRPr="0049456E" w:rsidRDefault="00404880" w:rsidP="00A07209">
      <w:pPr>
        <w:pStyle w:val="ListParagraph"/>
        <w:numPr>
          <w:ilvl w:val="0"/>
          <w:numId w:val="333"/>
        </w:numPr>
        <w:spacing w:after="0" w:line="240" w:lineRule="auto"/>
        <w:rPr>
          <w:b/>
        </w:rPr>
      </w:pPr>
      <w:bookmarkStart w:id="346" w:name="Section8"/>
      <w:bookmarkEnd w:id="346"/>
      <w:r>
        <w:rPr>
          <w:b/>
        </w:rPr>
        <w:t>Additional Responsibilities of Sponsor-Investigators</w:t>
      </w:r>
    </w:p>
    <w:p w14:paraId="1796EAC8" w14:textId="77777777" w:rsidR="00404880" w:rsidRPr="0049456E" w:rsidRDefault="00404880" w:rsidP="00404880"/>
    <w:p w14:paraId="13B9C0B8" w14:textId="77777777" w:rsidR="00404880" w:rsidRDefault="00404880" w:rsidP="00A07209">
      <w:pPr>
        <w:numPr>
          <w:ilvl w:val="0"/>
          <w:numId w:val="324"/>
        </w:numPr>
        <w:spacing w:after="0" w:line="240" w:lineRule="auto"/>
        <w:ind w:left="1080"/>
      </w:pPr>
      <w:r>
        <w:t>Investigators obtaining an IND to initiate and conduct research must also fulfill the federal requirements of sponsors. These requirements include (but are not limited to) additional FDA reporting (e.g., annual progress reports), data monitoring, and recordkeeping obligations. Institutional assistance for “sponsor-investigators” conducting research with investigational drugs or biologics is also available, as described in the following paragraph.</w:t>
      </w:r>
    </w:p>
    <w:p w14:paraId="5822FFF3" w14:textId="77777777" w:rsidR="00257873" w:rsidRPr="00257873" w:rsidRDefault="00257873" w:rsidP="00257873">
      <w:pPr>
        <w:spacing w:after="0" w:line="240" w:lineRule="auto"/>
        <w:ind w:left="1080"/>
      </w:pPr>
    </w:p>
    <w:p w14:paraId="51C1F474" w14:textId="77777777" w:rsidR="00404880" w:rsidRPr="0049456E" w:rsidRDefault="00404880" w:rsidP="00A07209">
      <w:pPr>
        <w:numPr>
          <w:ilvl w:val="0"/>
          <w:numId w:val="324"/>
        </w:numPr>
        <w:spacing w:after="0" w:line="240" w:lineRule="auto"/>
        <w:ind w:left="1080"/>
      </w:pPr>
      <w:r>
        <w:t>When an Ohio State investigator obtains an IND to perform human subjects research, representatives from the Clinical Trials Research Office (CTMO), Center for Clinical and Translational Science (CCTS), or the Comprehensive Cancer Center Clinical Trials Office (CTO) are available to meet with the PI (and research staff, as applicable) to review the FDA responsibilities of investigators and sponsors. The groups work with the IRBs and Office of Research Compliance to assure investigator and institutional compliance with IRB and FDA requirements. The groups will assist investigators with information on FDA requirements, submission of required FDA reporting, and drug accountability and recordkeeping procedures.</w:t>
      </w:r>
    </w:p>
    <w:p w14:paraId="18CBE48E" w14:textId="77777777" w:rsidR="00404880" w:rsidRPr="0049456E" w:rsidRDefault="00404880" w:rsidP="00404880"/>
    <w:p w14:paraId="610BC9F7" w14:textId="77777777" w:rsidR="00404880" w:rsidRDefault="00404880" w:rsidP="00A07209">
      <w:pPr>
        <w:numPr>
          <w:ilvl w:val="0"/>
          <w:numId w:val="324"/>
        </w:numPr>
        <w:spacing w:after="0" w:line="240" w:lineRule="auto"/>
        <w:ind w:left="1080"/>
      </w:pPr>
      <w:r>
        <w:t>Sponsor-investigators may be referred to one of the above-mentioned groups for IND assistance, at the discretion of the IRB.</w:t>
      </w:r>
    </w:p>
    <w:p w14:paraId="1C4FF348" w14:textId="77777777" w:rsidR="00257873" w:rsidRPr="00257873" w:rsidRDefault="00257873" w:rsidP="00257873">
      <w:pPr>
        <w:spacing w:after="0" w:line="240" w:lineRule="auto"/>
      </w:pPr>
    </w:p>
    <w:p w14:paraId="4234CFDF" w14:textId="77777777" w:rsidR="00404880" w:rsidRPr="0049456E" w:rsidRDefault="00404880" w:rsidP="00A07209">
      <w:pPr>
        <w:numPr>
          <w:ilvl w:val="0"/>
          <w:numId w:val="324"/>
        </w:numPr>
        <w:spacing w:after="0" w:line="240" w:lineRule="auto"/>
        <w:ind w:left="1080"/>
      </w:pPr>
      <w:r>
        <w:t>In addition to FDA regulations for the protection of human subjects (21 CFR Parts 50, and 56) and use of investigational drugs (21 CFR 312), additional regulations may apply to sponsor-investigators, depending on the nature of the research. These regulations include:</w:t>
      </w:r>
    </w:p>
    <w:p w14:paraId="7F17791F" w14:textId="77777777" w:rsidR="00404880" w:rsidRPr="0049456E" w:rsidRDefault="00404880" w:rsidP="00A07209">
      <w:pPr>
        <w:numPr>
          <w:ilvl w:val="3"/>
          <w:numId w:val="328"/>
        </w:numPr>
        <w:tabs>
          <w:tab w:val="clear" w:pos="3168"/>
          <w:tab w:val="num" w:pos="1440"/>
        </w:tabs>
        <w:spacing w:after="60" w:line="240" w:lineRule="auto"/>
        <w:ind w:left="1800"/>
      </w:pPr>
      <w:hyperlink r:id="rId314" w:history="1">
        <w:r>
          <w:rPr>
            <w:rStyle w:val="Hyperlink"/>
          </w:rPr>
          <w:t>Electronic Records; Electronic Signatures (21 CFR 11)</w:t>
        </w:r>
      </w:hyperlink>
    </w:p>
    <w:p w14:paraId="428E95AB" w14:textId="77777777" w:rsidR="00404880" w:rsidRPr="0049456E" w:rsidRDefault="00404880" w:rsidP="00A07209">
      <w:pPr>
        <w:numPr>
          <w:ilvl w:val="3"/>
          <w:numId w:val="328"/>
        </w:numPr>
        <w:tabs>
          <w:tab w:val="clear" w:pos="3168"/>
          <w:tab w:val="num" w:pos="1440"/>
        </w:tabs>
        <w:spacing w:after="60" w:line="240" w:lineRule="auto"/>
        <w:ind w:left="1800"/>
      </w:pPr>
      <w:hyperlink r:id="rId315" w:history="1">
        <w:r>
          <w:rPr>
            <w:rStyle w:val="Hyperlink"/>
          </w:rPr>
          <w:t>Financial Disclosure by Clinical Investigators (21 CFR 54)</w:t>
        </w:r>
      </w:hyperlink>
    </w:p>
    <w:p w14:paraId="7310A140" w14:textId="77777777" w:rsidR="00404880" w:rsidRPr="0049456E" w:rsidRDefault="00404880" w:rsidP="00A07209">
      <w:pPr>
        <w:numPr>
          <w:ilvl w:val="3"/>
          <w:numId w:val="328"/>
        </w:numPr>
        <w:tabs>
          <w:tab w:val="clear" w:pos="3168"/>
          <w:tab w:val="num" w:pos="1440"/>
        </w:tabs>
        <w:spacing w:after="60" w:line="240" w:lineRule="auto"/>
        <w:ind w:left="1800"/>
      </w:pPr>
      <w:hyperlink r:id="rId316" w:history="1">
        <w:r>
          <w:rPr>
            <w:rStyle w:val="Hyperlink"/>
          </w:rPr>
          <w:t>Current Good Manufacturing Practice in Manufacturing, Processing, Packing, or Holding of Drugs (21 CFR 210)</w:t>
        </w:r>
      </w:hyperlink>
    </w:p>
    <w:p w14:paraId="6007162D" w14:textId="77777777" w:rsidR="00404880" w:rsidRPr="0049456E" w:rsidRDefault="00404880" w:rsidP="00A07209">
      <w:pPr>
        <w:numPr>
          <w:ilvl w:val="3"/>
          <w:numId w:val="328"/>
        </w:numPr>
        <w:tabs>
          <w:tab w:val="clear" w:pos="3168"/>
          <w:tab w:val="num" w:pos="1440"/>
        </w:tabs>
        <w:spacing w:after="60" w:line="240" w:lineRule="auto"/>
        <w:ind w:left="1800"/>
      </w:pPr>
      <w:hyperlink r:id="rId317" w:history="1">
        <w:r>
          <w:rPr>
            <w:rStyle w:val="Hyperlink"/>
          </w:rPr>
          <w:t>Current Good Manufacturing Practice for Finished Pharmaceuticals (21 CFR 211)</w:t>
        </w:r>
      </w:hyperlink>
    </w:p>
    <w:p w14:paraId="0AEA94FE" w14:textId="77777777" w:rsidR="00404880" w:rsidRPr="0049456E" w:rsidRDefault="00404880" w:rsidP="00A07209">
      <w:pPr>
        <w:numPr>
          <w:ilvl w:val="3"/>
          <w:numId w:val="328"/>
        </w:numPr>
        <w:tabs>
          <w:tab w:val="clear" w:pos="3168"/>
          <w:tab w:val="num" w:pos="1440"/>
        </w:tabs>
        <w:spacing w:after="60" w:line="240" w:lineRule="auto"/>
        <w:ind w:left="1800"/>
      </w:pPr>
      <w:hyperlink r:id="rId318" w:history="1">
        <w:r>
          <w:rPr>
            <w:rStyle w:val="Hyperlink"/>
          </w:rPr>
          <w:t>Applications for FDA Approval to Market a New Drug (21 CFR 314)</w:t>
        </w:r>
      </w:hyperlink>
    </w:p>
    <w:p w14:paraId="6462832D" w14:textId="77777777" w:rsidR="00404880" w:rsidRPr="0049456E" w:rsidRDefault="00404880" w:rsidP="00A07209">
      <w:pPr>
        <w:numPr>
          <w:ilvl w:val="3"/>
          <w:numId w:val="328"/>
        </w:numPr>
        <w:tabs>
          <w:tab w:val="clear" w:pos="3168"/>
          <w:tab w:val="num" w:pos="1440"/>
        </w:tabs>
        <w:spacing w:after="60" w:line="240" w:lineRule="auto"/>
        <w:ind w:left="1800"/>
      </w:pPr>
      <w:hyperlink r:id="rId319" w:history="1">
        <w:r>
          <w:rPr>
            <w:rStyle w:val="Hyperlink"/>
          </w:rPr>
          <w:t>Bioavailability and Bioequivalence Requirements (21 CFR 320)</w:t>
        </w:r>
      </w:hyperlink>
    </w:p>
    <w:p w14:paraId="324F4A50" w14:textId="77777777" w:rsidR="00404880" w:rsidRPr="0049456E" w:rsidRDefault="00404880" w:rsidP="00A07209">
      <w:pPr>
        <w:numPr>
          <w:ilvl w:val="3"/>
          <w:numId w:val="328"/>
        </w:numPr>
        <w:tabs>
          <w:tab w:val="clear" w:pos="3168"/>
          <w:tab w:val="num" w:pos="1440"/>
        </w:tabs>
        <w:spacing w:after="60" w:line="240" w:lineRule="auto"/>
        <w:ind w:left="1800"/>
      </w:pPr>
      <w:hyperlink r:id="rId320" w:history="1">
        <w:r>
          <w:rPr>
            <w:rStyle w:val="Hyperlink"/>
          </w:rPr>
          <w:t>Over-the-Counter Human Drugs Which are Generally Recognized as Safe and Effective and Not Misbranded (21 CFR 330)</w:t>
        </w:r>
      </w:hyperlink>
    </w:p>
    <w:p w14:paraId="26E2A74C" w14:textId="77777777" w:rsidR="00404880" w:rsidRDefault="00404880" w:rsidP="00A07209">
      <w:pPr>
        <w:numPr>
          <w:ilvl w:val="3"/>
          <w:numId w:val="328"/>
        </w:numPr>
        <w:tabs>
          <w:tab w:val="clear" w:pos="3168"/>
          <w:tab w:val="num" w:pos="1440"/>
        </w:tabs>
        <w:spacing w:after="0" w:line="240" w:lineRule="auto"/>
        <w:ind w:left="1800"/>
      </w:pPr>
      <w:hyperlink r:id="rId321" w:history="1">
        <w:r>
          <w:rPr>
            <w:rStyle w:val="Hyperlink"/>
          </w:rPr>
          <w:t>Applications for FDA Approval of a Biologic License (21 CFR 601)</w:t>
        </w:r>
      </w:hyperlink>
      <w:r>
        <w:t>.</w:t>
      </w:r>
    </w:p>
    <w:p w14:paraId="6038C5FB" w14:textId="77777777" w:rsidR="00257873" w:rsidRPr="00257873" w:rsidRDefault="00257873" w:rsidP="00257873">
      <w:pPr>
        <w:spacing w:after="0" w:line="240" w:lineRule="auto"/>
        <w:ind w:left="1800"/>
      </w:pPr>
    </w:p>
    <w:p w14:paraId="7D1010F0" w14:textId="77777777" w:rsidR="00404880" w:rsidRDefault="00404880" w:rsidP="00A07209">
      <w:pPr>
        <w:numPr>
          <w:ilvl w:val="0"/>
          <w:numId w:val="334"/>
        </w:numPr>
        <w:spacing w:after="0" w:line="240" w:lineRule="auto"/>
        <w:ind w:left="1080"/>
      </w:pPr>
      <w:r>
        <w:t xml:space="preserve">For more information describing the FDA requirements for sponsors and investigators when research is initiated and conducted with investigational drugs or biologics, see </w:t>
      </w:r>
      <w:hyperlink r:id="rId322" w:history="1">
        <w:r>
          <w:rPr>
            <w:rStyle w:val="Hyperlink"/>
          </w:rPr>
          <w:t>21 CFR 312 Subpart D – Responsibilities of Sponsors and Investigators</w:t>
        </w:r>
      </w:hyperlink>
      <w:r>
        <w:t xml:space="preserve">. Additional guidance describing the international standards for good clinical practices in human subjects research (“ICH/GCP”) is available at </w:t>
      </w:r>
      <w:bookmarkStart w:id="347" w:name="_Hlk87341119"/>
      <w:r>
        <w:fldChar w:fldCharType="begin"/>
      </w:r>
      <w:r>
        <w:instrText xml:space="preserve"> HYPERLINK "https://www.fda.gov/regulatory-information/search-fda-guidance-documents/e6r2-good-clinical-practice-integrated-addendum-ich-e6r1" </w:instrText>
      </w:r>
      <w:r>
        <w:fldChar w:fldCharType="separate"/>
      </w:r>
      <w:r>
        <w:rPr>
          <w:rStyle w:val="Hyperlink"/>
        </w:rPr>
        <w:t>E6(R2) Good Clinical Practice: Integrated Addendum to ICH E6(R1)</w:t>
      </w:r>
      <w:r>
        <w:fldChar w:fldCharType="end"/>
      </w:r>
      <w:bookmarkEnd w:id="347"/>
      <w:r>
        <w:t xml:space="preserve"> and in HRPP policy [</w:t>
      </w:r>
      <w:hyperlink r:id="rId323" w:history="1">
        <w:r>
          <w:rPr>
            <w:rStyle w:val="Hyperlink"/>
          </w:rPr>
          <w:t>Additional Requirements for Clinical Research: ICH-GCP</w:t>
        </w:r>
      </w:hyperlink>
      <w:r>
        <w:t>].</w:t>
      </w:r>
    </w:p>
    <w:p w14:paraId="6C66B076" w14:textId="77777777" w:rsidR="00404880" w:rsidRPr="0049456E" w:rsidRDefault="00404880" w:rsidP="00404880">
      <w:pPr>
        <w:tabs>
          <w:tab w:val="left" w:pos="3600"/>
        </w:tabs>
        <w:ind w:left="720"/>
        <w:rPr>
          <w:rStyle w:val="Strong"/>
        </w:rPr>
      </w:pPr>
      <w:r>
        <w:rPr>
          <w:b/>
        </w:rPr>
        <w:tab/>
      </w:r>
    </w:p>
    <w:p w14:paraId="3A8C80A6" w14:textId="77777777" w:rsidR="00404880" w:rsidRDefault="00404880" w:rsidP="00A07209">
      <w:pPr>
        <w:numPr>
          <w:ilvl w:val="0"/>
          <w:numId w:val="333"/>
        </w:numPr>
        <w:spacing w:after="0" w:line="240" w:lineRule="auto"/>
        <w:rPr>
          <w:rStyle w:val="Strong"/>
          <w:b w:val="0"/>
        </w:rPr>
      </w:pPr>
      <w:r>
        <w:rPr>
          <w:rStyle w:val="Strong"/>
        </w:rPr>
        <w:t>Applicable Regulations/Guidance</w:t>
      </w:r>
    </w:p>
    <w:p w14:paraId="3B303BCB" w14:textId="77777777" w:rsidR="00257873" w:rsidRPr="00257873" w:rsidRDefault="00257873" w:rsidP="00257873">
      <w:pPr>
        <w:spacing w:after="0" w:line="240" w:lineRule="auto"/>
        <w:ind w:left="360"/>
        <w:rPr>
          <w:rStyle w:val="Strong"/>
          <w:b w:val="0"/>
        </w:rPr>
      </w:pPr>
    </w:p>
    <w:p w14:paraId="4472AC45" w14:textId="77777777" w:rsidR="00404880" w:rsidRDefault="00404880" w:rsidP="00257873">
      <w:pPr>
        <w:ind w:left="360"/>
        <w:rPr>
          <w:b/>
          <w:bCs/>
        </w:rPr>
      </w:pPr>
      <w:r>
        <w:rPr>
          <w:rStyle w:val="Strong"/>
          <w:b w:val="0"/>
          <w:bCs/>
        </w:rPr>
        <w:t>21 CFR 50; 21 CFR 56; 21 CFR 312; 21 CFR 600; FDA Guidance “</w:t>
      </w:r>
      <w:r>
        <w:rPr>
          <w:b/>
          <w:bCs/>
        </w:rPr>
        <w:t>E6(R2) Good Clinical Practice: Integrated Addendum to ICH E6(R1)</w:t>
      </w:r>
      <w:r>
        <w:rPr>
          <w:rStyle w:val="Strong"/>
          <w:b w:val="0"/>
          <w:bCs/>
        </w:rPr>
        <w:t xml:space="preserve">” (03/18); FDA Guidance “Expanded Access to Investigational Drugs for Treatment Use – Questions and Answers” and “Charging for Investigational Drugs Under an IND – Questions and Answers” (06/16); FDA Information Sheets: “Frequently Asked Questions” and “‘Off-label’ and Investigational Use of Marketed Drugs, Biologics and Medical Devices” (05/06/20); The Ohio State University Wexner Medical Center </w:t>
      </w:r>
      <w:r>
        <w:rPr>
          <w:b/>
          <w:bCs/>
        </w:rPr>
        <w:t>“Investigational Drug Service Policies and Procedures” (09/12/14)</w:t>
      </w:r>
    </w:p>
    <w:p w14:paraId="7E479E84" w14:textId="77777777" w:rsidR="00257873" w:rsidRPr="00257873" w:rsidRDefault="00257873" w:rsidP="00257873">
      <w:pPr>
        <w:rPr>
          <w:b/>
          <w:bCs/>
        </w:rPr>
      </w:pPr>
    </w:p>
    <w:p w14:paraId="1C992AC9" w14:textId="77777777" w:rsidR="00404880" w:rsidRPr="0049456E" w:rsidRDefault="00404880" w:rsidP="00A07209">
      <w:pPr>
        <w:pStyle w:val="ListParagraph"/>
        <w:numPr>
          <w:ilvl w:val="0"/>
          <w:numId w:val="333"/>
        </w:numPr>
        <w:spacing w:after="160" w:line="240" w:lineRule="auto"/>
        <w:rPr>
          <w:b/>
        </w:rPr>
      </w:pPr>
      <w:r>
        <w:rPr>
          <w:b/>
        </w:rPr>
        <w:t xml:space="preserve">History </w:t>
      </w:r>
    </w:p>
    <w:p w14:paraId="3B0B2C2C" w14:textId="77777777" w:rsidR="00404880" w:rsidRPr="0049456E" w:rsidRDefault="00404880" w:rsidP="00404880">
      <w:pPr>
        <w:pStyle w:val="ListParagraph"/>
        <w:ind w:left="360"/>
        <w:rPr>
          <w:b/>
        </w:rPr>
      </w:pPr>
    </w:p>
    <w:p w14:paraId="36AA74F1" w14:textId="77777777" w:rsidR="00404880" w:rsidRPr="00116DB8" w:rsidRDefault="00404880" w:rsidP="00404880">
      <w:pPr>
        <w:pStyle w:val="ListParagraph"/>
        <w:ind w:left="360"/>
      </w:pPr>
      <w:r>
        <w:t>Issued: 06/24/2009</w:t>
      </w:r>
    </w:p>
    <w:p w14:paraId="44551D0A" w14:textId="77777777" w:rsidR="00471B9E" w:rsidRDefault="00404880" w:rsidP="00116DB8">
      <w:pPr>
        <w:pStyle w:val="ListParagraph"/>
        <w:ind w:left="360"/>
      </w:pPr>
      <w:r>
        <w:t>Revised: 06/04/2012, 12/19/2016, 11/15/2021Edited: 04/20/2022</w:t>
      </w:r>
      <w:r>
        <w:rPr>
          <w:sz w:val="20"/>
        </w:rPr>
        <w:tab/>
      </w:r>
      <w:r>
        <w:tab/>
      </w:r>
    </w:p>
    <w:p w14:paraId="1047DA28" w14:textId="77777777" w:rsidR="00471B9E" w:rsidRDefault="00471B9E">
      <w:r>
        <w:br w:type="page"/>
      </w:r>
    </w:p>
    <w:p w14:paraId="2F88FBFC" w14:textId="77777777" w:rsidR="00404880" w:rsidRDefault="74584244" w:rsidP="00471B9E">
      <w:pPr>
        <w:pStyle w:val="Heading2"/>
      </w:pPr>
      <w:bookmarkStart w:id="348" w:name="B25"/>
      <w:bookmarkStart w:id="349" w:name="_Toc212142222"/>
      <w:bookmarkStart w:id="350" w:name="_Toc225507762"/>
      <w:r>
        <w:lastRenderedPageBreak/>
        <w:t xml:space="preserve">Appendix B-25  </w:t>
      </w:r>
      <w:bookmarkEnd w:id="348"/>
      <w:r>
        <w:tab/>
        <w:t>Research Involving Medical Devices</w:t>
      </w:r>
      <w:bookmarkEnd w:id="349"/>
      <w:bookmarkEnd w:id="350"/>
    </w:p>
    <w:p w14:paraId="3537C904" w14:textId="77777777" w:rsidR="00471B9E" w:rsidRPr="00471B9E" w:rsidRDefault="00471B9E" w:rsidP="00471B9E"/>
    <w:p w14:paraId="38276975" w14:textId="77777777" w:rsidR="00404880" w:rsidRDefault="00404880" w:rsidP="00A07209">
      <w:pPr>
        <w:numPr>
          <w:ilvl w:val="0"/>
          <w:numId w:val="347"/>
        </w:numPr>
        <w:spacing w:after="0" w:line="240" w:lineRule="auto"/>
        <w:rPr>
          <w:b/>
          <w:smallCaps/>
        </w:rPr>
      </w:pPr>
      <w:r>
        <w:rPr>
          <w:b/>
        </w:rPr>
        <w:t>Overview</w:t>
      </w:r>
    </w:p>
    <w:p w14:paraId="5B058086" w14:textId="77777777" w:rsidR="00257873" w:rsidRPr="00257873" w:rsidRDefault="00257873" w:rsidP="00257873">
      <w:pPr>
        <w:spacing w:after="0" w:line="240" w:lineRule="auto"/>
        <w:ind w:left="1224"/>
        <w:rPr>
          <w:b/>
          <w:smallCaps/>
        </w:rPr>
      </w:pPr>
    </w:p>
    <w:p w14:paraId="7D207868" w14:textId="77777777" w:rsidR="00404880" w:rsidRPr="00445209" w:rsidRDefault="00404880" w:rsidP="00404880">
      <w:pPr>
        <w:ind w:left="360"/>
      </w:pPr>
      <w:r>
        <w:t>Investigators and IRBs must ensure that research (i.e., clinical investigation) involving medical devices is conducted in accordance with applicable federal regulations. These regulations describe, among other things, requirements for Investigational Device Exemptions (IDEs), use of custom devices and Humanitarian Use Devices (HUDs), in vitro diagnostics, investigational device accountability and record retention, and responsibilities of investigators, IRBs, and sponsors when research is conducted with medical devices.</w:t>
      </w:r>
    </w:p>
    <w:p w14:paraId="61B824EA" w14:textId="77777777" w:rsidR="00257873" w:rsidRPr="00076836" w:rsidRDefault="00404880" w:rsidP="00257873">
      <w:pPr>
        <w:ind w:left="360"/>
      </w:pPr>
      <w:r>
        <w:t xml:space="preserve">The purpose of this policy is to describe the requirements for research involving medical devices, including the responsibilities of investigators, IRBs, and sponsors. </w:t>
      </w:r>
    </w:p>
    <w:p w14:paraId="706D1E04" w14:textId="77777777" w:rsidR="00404880" w:rsidRDefault="00404880" w:rsidP="00A07209">
      <w:pPr>
        <w:numPr>
          <w:ilvl w:val="0"/>
          <w:numId w:val="347"/>
        </w:numPr>
        <w:spacing w:after="0" w:line="240" w:lineRule="auto"/>
        <w:ind w:left="360" w:hanging="360"/>
        <w:rPr>
          <w:b/>
          <w:smallCaps/>
        </w:rPr>
      </w:pPr>
      <w:r>
        <w:rPr>
          <w:b/>
        </w:rPr>
        <w:t>Definitions</w:t>
      </w:r>
    </w:p>
    <w:p w14:paraId="252566B5" w14:textId="77777777" w:rsidR="00257873" w:rsidRPr="00257873" w:rsidRDefault="00257873" w:rsidP="00257873">
      <w:pPr>
        <w:spacing w:after="0" w:line="240" w:lineRule="auto"/>
        <w:ind w:left="360"/>
        <w:rPr>
          <w:b/>
          <w:smallCaps/>
        </w:rPr>
      </w:pPr>
    </w:p>
    <w:p w14:paraId="26E1ECEC" w14:textId="77777777" w:rsidR="00404880" w:rsidRPr="00445209" w:rsidRDefault="00404880" w:rsidP="00404880">
      <w:pPr>
        <w:spacing w:after="60"/>
        <w:ind w:left="360"/>
      </w:pPr>
      <w:r>
        <w:rPr>
          <w:b/>
          <w:bCs/>
        </w:rPr>
        <w:t xml:space="preserve">Clinical Investigation: </w:t>
      </w:r>
      <w:r>
        <w:t xml:space="preserve">Also: </w:t>
      </w:r>
      <w:r>
        <w:rPr>
          <w:b/>
          <w:bCs/>
        </w:rPr>
        <w:t>research</w:t>
      </w:r>
      <w:r>
        <w:t xml:space="preserve">, </w:t>
      </w:r>
      <w:r>
        <w:rPr>
          <w:b/>
          <w:bCs/>
        </w:rPr>
        <w:t>clinical research</w:t>
      </w:r>
      <w:r>
        <w:t xml:space="preserve">, </w:t>
      </w:r>
      <w:r>
        <w:rPr>
          <w:b/>
          <w:bCs/>
        </w:rPr>
        <w:t>clinical study</w:t>
      </w:r>
      <w:r>
        <w:t>. Any experiment that involves a medical device and one or more human subjects when one of the following is true:</w:t>
      </w:r>
    </w:p>
    <w:p w14:paraId="444AD1EE" w14:textId="77777777" w:rsidR="00404880" w:rsidRDefault="00404880" w:rsidP="00A07209">
      <w:pPr>
        <w:numPr>
          <w:ilvl w:val="0"/>
          <w:numId w:val="337"/>
        </w:numPr>
        <w:tabs>
          <w:tab w:val="clear" w:pos="3168"/>
          <w:tab w:val="num" w:pos="1080"/>
        </w:tabs>
        <w:spacing w:after="60" w:line="240" w:lineRule="auto"/>
        <w:ind w:left="1080"/>
      </w:pPr>
      <w:r>
        <w:t>The test article(s) is not legally marketed as a medical device in the United States;</w:t>
      </w:r>
    </w:p>
    <w:p w14:paraId="05647A25" w14:textId="77777777" w:rsidR="00404880" w:rsidRDefault="00404880" w:rsidP="00A07209">
      <w:pPr>
        <w:numPr>
          <w:ilvl w:val="0"/>
          <w:numId w:val="337"/>
        </w:numPr>
        <w:tabs>
          <w:tab w:val="clear" w:pos="3168"/>
          <w:tab w:val="num" w:pos="1080"/>
        </w:tabs>
        <w:spacing w:after="60" w:line="240" w:lineRule="auto"/>
        <w:ind w:left="1080"/>
      </w:pPr>
      <w:r>
        <w:t>The results of the investigation are intended to be later submitted to or held for inspection by FDA as part of an application for research or marketing permit; or</w:t>
      </w:r>
    </w:p>
    <w:p w14:paraId="7AAE9961" w14:textId="77777777" w:rsidR="00404880" w:rsidRPr="004A05F4" w:rsidRDefault="00404880" w:rsidP="00A07209">
      <w:pPr>
        <w:numPr>
          <w:ilvl w:val="0"/>
          <w:numId w:val="337"/>
        </w:numPr>
        <w:tabs>
          <w:tab w:val="clear" w:pos="3168"/>
          <w:tab w:val="num" w:pos="1080"/>
        </w:tabs>
        <w:spacing w:after="60" w:line="240" w:lineRule="auto"/>
        <w:ind w:left="1080"/>
        <w:rPr>
          <w:i/>
          <w:iCs/>
        </w:rPr>
      </w:pPr>
      <w:r>
        <w:t xml:space="preserve">The research is evaluating the safety, effectiveness, or performance of the test article(s). </w:t>
      </w:r>
    </w:p>
    <w:p w14:paraId="173F2A6F" w14:textId="77777777" w:rsidR="00404880" w:rsidRDefault="00404880" w:rsidP="00257873">
      <w:pPr>
        <w:spacing w:after="60"/>
        <w:ind w:left="360"/>
      </w:pPr>
      <w:r>
        <w:rPr>
          <w:i/>
          <w:iCs/>
        </w:rPr>
        <w:t>Note: Non-clinical laboratory studies are not considered to be clinical investigations. See the DHHS definition of research for DHHS-regulated research.</w:t>
      </w:r>
    </w:p>
    <w:p w14:paraId="6D4B921A" w14:textId="77777777" w:rsidR="00257873" w:rsidRPr="00445209" w:rsidRDefault="00257873" w:rsidP="00257873">
      <w:pPr>
        <w:spacing w:after="60"/>
        <w:ind w:left="360"/>
      </w:pPr>
    </w:p>
    <w:p w14:paraId="0730EEFA" w14:textId="77777777" w:rsidR="00404880" w:rsidRPr="00445209" w:rsidRDefault="00404880" w:rsidP="00404880">
      <w:pPr>
        <w:spacing w:after="60"/>
        <w:ind w:left="360"/>
        <w:rPr>
          <w:iCs/>
        </w:rPr>
      </w:pPr>
      <w:r>
        <w:rPr>
          <w:b/>
          <w:iCs/>
        </w:rPr>
        <w:t xml:space="preserve">Custom Device: </w:t>
      </w:r>
      <w:r>
        <w:rPr>
          <w:iCs/>
        </w:rPr>
        <w:t>A device that necessarily deviates from devices generally available or from an applicable performance standard or pre-market approval requirement to comply with the order of an individual physician or dentist and that is:</w:t>
      </w:r>
    </w:p>
    <w:p w14:paraId="7B4CA649"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generally available or generally used by other physicians or dentists;</w:t>
      </w:r>
    </w:p>
    <w:p w14:paraId="46944AEF"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generally available in finished form for purchase or for dispensing upon prescription;</w:t>
      </w:r>
    </w:p>
    <w:p w14:paraId="420B9BF3" w14:textId="77777777" w:rsidR="00404880" w:rsidRPr="00445209" w:rsidRDefault="00404880" w:rsidP="00A07209">
      <w:pPr>
        <w:numPr>
          <w:ilvl w:val="0"/>
          <w:numId w:val="340"/>
        </w:numPr>
        <w:tabs>
          <w:tab w:val="clear" w:pos="3528"/>
          <w:tab w:val="num" w:pos="1080"/>
        </w:tabs>
        <w:spacing w:after="60" w:line="240" w:lineRule="auto"/>
        <w:ind w:left="1080"/>
        <w:rPr>
          <w:iCs/>
        </w:rPr>
      </w:pPr>
      <w:r>
        <w:rPr>
          <w:iCs/>
        </w:rPr>
        <w:t>Not offered for commercial distribution through labeling or advertising; and</w:t>
      </w:r>
    </w:p>
    <w:p w14:paraId="526A8D0C" w14:textId="77777777" w:rsidR="00404880" w:rsidRPr="00445209" w:rsidRDefault="00404880" w:rsidP="00A07209">
      <w:pPr>
        <w:numPr>
          <w:ilvl w:val="0"/>
          <w:numId w:val="340"/>
        </w:numPr>
        <w:tabs>
          <w:tab w:val="clear" w:pos="3528"/>
          <w:tab w:val="num" w:pos="1080"/>
        </w:tabs>
        <w:spacing w:after="0" w:line="240" w:lineRule="auto"/>
        <w:ind w:left="1080"/>
        <w:rPr>
          <w:iCs/>
        </w:rPr>
      </w:pPr>
      <w:r>
        <w:rPr>
          <w:iCs/>
        </w:rPr>
        <w:t>Intended for use by an individual patient named in the order of a physician or dentist and is to be made in a specific form for that patient, or is intended to meet the special needs of the physician or dentist in the course of professional practice.</w:t>
      </w:r>
    </w:p>
    <w:p w14:paraId="5CB1E20B" w14:textId="77777777" w:rsidR="00404880" w:rsidRDefault="00404880" w:rsidP="00404880">
      <w:pPr>
        <w:spacing w:after="60"/>
        <w:ind w:left="360"/>
        <w:rPr>
          <w:b/>
          <w:bCs/>
        </w:rPr>
      </w:pPr>
    </w:p>
    <w:p w14:paraId="2F39B449" w14:textId="77777777" w:rsidR="00404880" w:rsidRDefault="00404880" w:rsidP="00404880">
      <w:pPr>
        <w:spacing w:after="60"/>
        <w:ind w:left="360"/>
        <w:rPr>
          <w:bCs/>
        </w:rPr>
      </w:pPr>
      <w:r>
        <w:rPr>
          <w:b/>
          <w:bCs/>
        </w:rPr>
        <w:t>Device:</w:t>
      </w:r>
      <w:r>
        <w:t xml:space="preserve"> Also: </w:t>
      </w:r>
      <w:r>
        <w:rPr>
          <w:b/>
        </w:rPr>
        <w:t>medical device</w:t>
      </w:r>
      <w:r>
        <w:t>. I</w:t>
      </w:r>
      <w:r>
        <w:rPr>
          <w:bCs/>
        </w:rPr>
        <w:t xml:space="preserve">nstrument, apparatus, implement, machine, contrivance, implant, in vitro reagent, or other similar or related article (including a component part), or accessory that is: </w:t>
      </w:r>
    </w:p>
    <w:p w14:paraId="53C62AC3" w14:textId="77777777" w:rsidR="00404880" w:rsidRPr="00087484" w:rsidRDefault="00404880" w:rsidP="00A07209">
      <w:pPr>
        <w:pStyle w:val="ListParagraph"/>
        <w:numPr>
          <w:ilvl w:val="0"/>
          <w:numId w:val="346"/>
        </w:numPr>
        <w:spacing w:after="60" w:line="240" w:lineRule="auto"/>
        <w:rPr>
          <w:bCs/>
        </w:rPr>
      </w:pPr>
      <w:r>
        <w:rPr>
          <w:bCs/>
        </w:rPr>
        <w:t>Recognized in the official National Formulary or United States Pharmacopoeia (or any supplement to these);</w:t>
      </w:r>
    </w:p>
    <w:p w14:paraId="7463574C" w14:textId="77777777" w:rsidR="00404880" w:rsidRPr="00445209" w:rsidRDefault="00404880" w:rsidP="00A07209">
      <w:pPr>
        <w:numPr>
          <w:ilvl w:val="0"/>
          <w:numId w:val="338"/>
        </w:numPr>
        <w:tabs>
          <w:tab w:val="clear" w:pos="3528"/>
          <w:tab w:val="num" w:pos="1080"/>
        </w:tabs>
        <w:spacing w:after="60" w:line="240" w:lineRule="auto"/>
        <w:ind w:left="1080"/>
        <w:rPr>
          <w:bCs/>
        </w:rPr>
      </w:pPr>
      <w:r>
        <w:rPr>
          <w:bCs/>
        </w:rPr>
        <w:t>Intended for use in the diagnosis of disease or other conditions or in the cure, mitigation, treatment, or prevention of disease in man or other animals; or</w:t>
      </w:r>
    </w:p>
    <w:p w14:paraId="2219045C" w14:textId="77777777" w:rsidR="00404880" w:rsidRDefault="00404880" w:rsidP="00A07209">
      <w:pPr>
        <w:numPr>
          <w:ilvl w:val="0"/>
          <w:numId w:val="338"/>
        </w:numPr>
        <w:tabs>
          <w:tab w:val="clear" w:pos="3528"/>
          <w:tab w:val="num" w:pos="1080"/>
        </w:tabs>
        <w:spacing w:after="0" w:line="240" w:lineRule="auto"/>
        <w:ind w:left="1080"/>
        <w:rPr>
          <w:bCs/>
        </w:rPr>
      </w:pPr>
      <w:r>
        <w:rPr>
          <w:bCs/>
        </w:rPr>
        <w:t xml:space="preserve">Intended to affect the structure or any function of the body of man or other animals </w:t>
      </w:r>
    </w:p>
    <w:p w14:paraId="34C8F9BD" w14:textId="77777777" w:rsidR="00404880" w:rsidRDefault="00404880" w:rsidP="00404880">
      <w:pPr>
        <w:spacing w:before="60"/>
        <w:ind w:left="360"/>
        <w:rPr>
          <w:bCs/>
        </w:rPr>
      </w:pPr>
      <w:r>
        <w:rPr>
          <w:bCs/>
        </w:rPr>
        <w:t>And that does not achieve any of its primary intended purposes through chemical action within or on the body and is not dependent upon being metabolized for the achievement of any of its primary intended purposes.</w:t>
      </w:r>
    </w:p>
    <w:p w14:paraId="1D21A9F8" w14:textId="77777777" w:rsidR="00404880" w:rsidRPr="00445209" w:rsidRDefault="00404880" w:rsidP="00404880">
      <w:pPr>
        <w:ind w:left="360"/>
      </w:pPr>
    </w:p>
    <w:p w14:paraId="2F824E8F" w14:textId="77777777" w:rsidR="00404880" w:rsidRPr="00445209" w:rsidRDefault="00404880" w:rsidP="00257873">
      <w:pPr>
        <w:ind w:left="360"/>
        <w:rPr>
          <w:b/>
          <w:iCs/>
        </w:rPr>
      </w:pPr>
      <w:r>
        <w:rPr>
          <w:b/>
          <w:iCs/>
        </w:rPr>
        <w:t xml:space="preserve">Humanitarian Device Exemption (HDE): </w:t>
      </w:r>
      <w:r>
        <w:rPr>
          <w:iCs/>
        </w:rPr>
        <w:t>An application that permits the marketing of a humanitarian use device.</w:t>
      </w:r>
    </w:p>
    <w:p w14:paraId="350C9805" w14:textId="77777777" w:rsidR="00404880" w:rsidRPr="00257873" w:rsidRDefault="00404880" w:rsidP="00257873">
      <w:pPr>
        <w:ind w:left="360"/>
        <w:rPr>
          <w:iCs/>
        </w:rPr>
      </w:pPr>
      <w:r>
        <w:rPr>
          <w:b/>
          <w:iCs/>
        </w:rPr>
        <w:lastRenderedPageBreak/>
        <w:t xml:space="preserve">Humanitarian Use Device (HUD): </w:t>
      </w:r>
      <w:r>
        <w:rPr>
          <w:iCs/>
        </w:rPr>
        <w:t xml:space="preserve">A device that is intended to benefit patients in the treatment and diagnosis of diseases or conditions that affect (or are manifested in) fewer than 8,000 individuals in the US per year. </w:t>
      </w:r>
    </w:p>
    <w:p w14:paraId="3F30CA03" w14:textId="77777777" w:rsidR="00404880" w:rsidRPr="00445209" w:rsidRDefault="00404880" w:rsidP="00257873">
      <w:pPr>
        <w:ind w:left="360"/>
      </w:pPr>
      <w:r>
        <w:rPr>
          <w:b/>
        </w:rPr>
        <w:t xml:space="preserve">Implant: </w:t>
      </w:r>
      <w:r>
        <w:t>A device that is placed into a surgically or naturally formed cavity of the human body if it is intended to remain there for a period of 30 days or more.</w:t>
      </w:r>
    </w:p>
    <w:p w14:paraId="4DC2B8E5" w14:textId="77777777" w:rsidR="00404880" w:rsidRPr="00445209" w:rsidRDefault="00404880" w:rsidP="00257873">
      <w:pPr>
        <w:ind w:left="360"/>
      </w:pPr>
      <w:r>
        <w:rPr>
          <w:b/>
        </w:rPr>
        <w:t xml:space="preserve">Investigational Device: </w:t>
      </w:r>
      <w:r>
        <w:t>A device that does not have FDA approval/clearance for its clinical indication or for its proposed use in the study and/or its use is the subject of a clinical study designed to evaluate the safety, effectiveness, or performance of the device.</w:t>
      </w:r>
    </w:p>
    <w:p w14:paraId="423C00EF" w14:textId="77777777" w:rsidR="00404880" w:rsidRPr="00257873" w:rsidRDefault="00404880" w:rsidP="00257873">
      <w:pPr>
        <w:ind w:left="360"/>
      </w:pPr>
      <w:r>
        <w:rPr>
          <w:b/>
          <w:bCs/>
        </w:rPr>
        <w:t xml:space="preserve">Investigational Device Exemption (IDE): </w:t>
      </w:r>
      <w:r>
        <w:t>An application that permits a device that would otherwise be required to comply with a performance standard (</w:t>
      </w:r>
      <w:r>
        <w:rPr>
          <w:i/>
        </w:rPr>
        <w:t>e.g., 510(k) submission</w:t>
      </w:r>
      <w:r>
        <w:t>) or to have pre-market approval by FDA to be legally shipped for a clinical investigation.</w:t>
      </w:r>
    </w:p>
    <w:p w14:paraId="12FC9F34" w14:textId="77777777" w:rsidR="00404880" w:rsidRPr="00257873" w:rsidRDefault="00404880" w:rsidP="00257873">
      <w:pPr>
        <w:ind w:left="360"/>
      </w:pPr>
      <w:r>
        <w:rPr>
          <w:b/>
          <w:iCs/>
        </w:rPr>
        <w:t>In Vitro Diagnostics</w:t>
      </w:r>
      <w:r>
        <w:rPr>
          <w:iCs/>
        </w:rPr>
        <w:t xml:space="preserve">: </w:t>
      </w:r>
      <w:r>
        <w:t>In vitro diagnostic (IVD) products are those reagents, instruments, and systems intended for use in diagnosis of disease or other conditions, including a determination of the state of health, in order to cure, mitigate, treat, or prevent disease or its sequelae. Such products are intended for use in the collection, preparation, and examination of specimens taken from the human body.</w:t>
      </w:r>
    </w:p>
    <w:p w14:paraId="00744139" w14:textId="77777777" w:rsidR="00404880" w:rsidRPr="00257873" w:rsidRDefault="00404880" w:rsidP="00257873">
      <w:pPr>
        <w:ind w:left="360"/>
        <w:rPr>
          <w:iCs/>
        </w:rPr>
      </w:pPr>
      <w:r>
        <w:rPr>
          <w:b/>
          <w:iCs/>
        </w:rPr>
        <w:t xml:space="preserve">Non-Significant Risk (NSR) Device: </w:t>
      </w:r>
      <w:r>
        <w:rPr>
          <w:iCs/>
        </w:rPr>
        <w:t>An investigational device that does not meet the definition of a significant risk device.</w:t>
      </w:r>
    </w:p>
    <w:p w14:paraId="06F6C515" w14:textId="77777777" w:rsidR="00404880" w:rsidRPr="00445209" w:rsidRDefault="00404880" w:rsidP="00404880">
      <w:pPr>
        <w:spacing w:after="60"/>
        <w:ind w:left="360"/>
      </w:pPr>
      <w:r>
        <w:rPr>
          <w:b/>
          <w:iCs/>
        </w:rPr>
        <w:t xml:space="preserve">Significant Risk (SR) Device: </w:t>
      </w:r>
      <w:r>
        <w:rPr>
          <w:iCs/>
        </w:rPr>
        <w:t>A</w:t>
      </w:r>
      <w:r>
        <w:t>n investigational device that is:</w:t>
      </w:r>
    </w:p>
    <w:p w14:paraId="43F371E6" w14:textId="77777777" w:rsidR="00404880" w:rsidRPr="00445209" w:rsidRDefault="00404880" w:rsidP="00A07209">
      <w:pPr>
        <w:numPr>
          <w:ilvl w:val="0"/>
          <w:numId w:val="339"/>
        </w:numPr>
        <w:tabs>
          <w:tab w:val="clear" w:pos="3168"/>
          <w:tab w:val="num" w:pos="1080"/>
        </w:tabs>
        <w:spacing w:after="60" w:line="240" w:lineRule="auto"/>
        <w:ind w:left="1080"/>
        <w:rPr>
          <w:iCs/>
        </w:rPr>
      </w:pPr>
      <w:r>
        <w:t>Intended as an implant and presents a potential for serious risk to the health, safety, or welfare of a subject;</w:t>
      </w:r>
    </w:p>
    <w:p w14:paraId="6D655D88" w14:textId="77777777" w:rsidR="00404880" w:rsidRPr="00445209" w:rsidRDefault="00404880" w:rsidP="00A07209">
      <w:pPr>
        <w:numPr>
          <w:ilvl w:val="0"/>
          <w:numId w:val="339"/>
        </w:numPr>
        <w:tabs>
          <w:tab w:val="clear" w:pos="3168"/>
          <w:tab w:val="num" w:pos="1080"/>
        </w:tabs>
        <w:spacing w:after="60" w:line="240" w:lineRule="auto"/>
        <w:ind w:left="1080"/>
        <w:rPr>
          <w:iCs/>
        </w:rPr>
      </w:pPr>
      <w:r>
        <w:t>For use in supporting or sustaining human life and represents a potential for serious risk to the health, safety, or welfare of a subject;</w:t>
      </w:r>
    </w:p>
    <w:p w14:paraId="64C20BD0" w14:textId="77777777" w:rsidR="00404880" w:rsidRPr="00445209" w:rsidRDefault="00404880" w:rsidP="00A07209">
      <w:pPr>
        <w:numPr>
          <w:ilvl w:val="0"/>
          <w:numId w:val="339"/>
        </w:numPr>
        <w:tabs>
          <w:tab w:val="clear" w:pos="3168"/>
          <w:tab w:val="num" w:pos="1080"/>
        </w:tabs>
        <w:spacing w:after="60" w:line="240" w:lineRule="auto"/>
        <w:ind w:left="1080"/>
        <w:rPr>
          <w:iCs/>
        </w:rPr>
      </w:pPr>
      <w:r>
        <w:t>For a use of substantial importance in diagnosing, curing, mitigating, or treating disease or otherwise preventing impairment of human health and presents a potential for serious risk to the health, safety, or welfare of a subject; or</w:t>
      </w:r>
    </w:p>
    <w:p w14:paraId="034C0980" w14:textId="77777777" w:rsidR="00404880" w:rsidRDefault="00404880" w:rsidP="00A07209">
      <w:pPr>
        <w:numPr>
          <w:ilvl w:val="0"/>
          <w:numId w:val="339"/>
        </w:numPr>
        <w:tabs>
          <w:tab w:val="clear" w:pos="3168"/>
          <w:tab w:val="num" w:pos="1080"/>
        </w:tabs>
        <w:spacing w:after="0" w:line="240" w:lineRule="auto"/>
        <w:ind w:left="1080"/>
        <w:rPr>
          <w:iCs/>
        </w:rPr>
      </w:pPr>
      <w:r>
        <w:t>Otherwise presents a potential for serious risk to a subject.</w:t>
      </w:r>
    </w:p>
    <w:p w14:paraId="17152C4C" w14:textId="77777777" w:rsidR="00257873" w:rsidRPr="00257873" w:rsidRDefault="00257873" w:rsidP="00257873">
      <w:pPr>
        <w:spacing w:after="0" w:line="240" w:lineRule="auto"/>
        <w:ind w:left="1080"/>
        <w:rPr>
          <w:iCs/>
        </w:rPr>
      </w:pPr>
    </w:p>
    <w:p w14:paraId="22512D51" w14:textId="77777777" w:rsidR="00404880" w:rsidRDefault="00404880" w:rsidP="00404880">
      <w:pPr>
        <w:ind w:left="360"/>
        <w:rPr>
          <w:bCs/>
          <w:iCs/>
        </w:rPr>
      </w:pPr>
      <w:r>
        <w:rPr>
          <w:b/>
          <w:iCs/>
        </w:rPr>
        <w:t>Sponsor:</w:t>
      </w:r>
      <w:r>
        <w:rPr>
          <w:bCs/>
          <w:iCs/>
        </w:rPr>
        <w:t xml:space="preserve"> A person who takes responsibility for and initiates a clinical investigation. The sponsor may be an individual or pharmaceutical company, governmental agency, academic institution, private organization, or other organization. The sponsor does not actually conduct the investigation unless the sponsor is a sponsor-investigator. A person, other than an individual, that uses one or more of its own employees to conduct an investigation that it has initiated is a sponsor, not a sponsor-investigator, and the employees are investigators.</w:t>
      </w:r>
    </w:p>
    <w:p w14:paraId="1F442E68" w14:textId="77777777" w:rsidR="00404880" w:rsidRPr="00257873" w:rsidRDefault="00404880" w:rsidP="00257873">
      <w:pPr>
        <w:spacing w:before="60"/>
        <w:ind w:left="360"/>
        <w:rPr>
          <w:bCs/>
          <w:i/>
        </w:rPr>
      </w:pPr>
      <w:r>
        <w:rPr>
          <w:bCs/>
          <w:i/>
        </w:rPr>
        <w:t>Note: Under FDA regulations and for the purposes of this policy, “sponsor” is unrelated to financial or in-kind support of a study.</w:t>
      </w:r>
    </w:p>
    <w:p w14:paraId="15B5052E" w14:textId="77777777" w:rsidR="00404880" w:rsidRDefault="00404880" w:rsidP="00404880">
      <w:pPr>
        <w:ind w:left="360"/>
      </w:pPr>
      <w:r>
        <w:rPr>
          <w:b/>
          <w:iCs/>
        </w:rPr>
        <w:t>Sponsor-Investigator</w:t>
      </w:r>
      <w:r>
        <w:rPr>
          <w:b/>
        </w:rPr>
        <w:t xml:space="preserve">: </w:t>
      </w:r>
      <w:r>
        <w:t xml:space="preserve">An individual who initiates and conducts an investigation and under whose immediate direction an investigational drug or device is administered, dispensed, or used. </w:t>
      </w:r>
    </w:p>
    <w:p w14:paraId="5C946E6E" w14:textId="77777777" w:rsidR="00404880" w:rsidRDefault="00404880" w:rsidP="00257873">
      <w:pPr>
        <w:spacing w:before="60"/>
        <w:ind w:left="360"/>
        <w:rPr>
          <w:highlight w:val="green"/>
        </w:rPr>
      </w:pPr>
      <w:r>
        <w:rPr>
          <w:i/>
        </w:rPr>
        <w:t>Note: The regulatory requirements applicable to a sponsor-investigator include those applicable to both an investigator and a sponsor.</w:t>
      </w:r>
    </w:p>
    <w:p w14:paraId="455D5F0E" w14:textId="77777777" w:rsidR="00257873" w:rsidRPr="00257873" w:rsidRDefault="00257873" w:rsidP="00257873">
      <w:pPr>
        <w:spacing w:before="60"/>
        <w:rPr>
          <w:highlight w:val="green"/>
        </w:rPr>
      </w:pPr>
    </w:p>
    <w:p w14:paraId="2A1487E9" w14:textId="77777777" w:rsidR="00404880" w:rsidRDefault="00404880" w:rsidP="00A07209">
      <w:pPr>
        <w:numPr>
          <w:ilvl w:val="0"/>
          <w:numId w:val="347"/>
        </w:numPr>
        <w:spacing w:after="0" w:line="240" w:lineRule="auto"/>
        <w:ind w:left="360" w:hanging="360"/>
      </w:pPr>
      <w:r>
        <w:rPr>
          <w:b/>
        </w:rPr>
        <w:t>General Information</w:t>
      </w:r>
    </w:p>
    <w:p w14:paraId="70AEB7BB" w14:textId="77777777" w:rsidR="00257873" w:rsidRPr="00257873" w:rsidRDefault="00257873" w:rsidP="00257873">
      <w:pPr>
        <w:spacing w:after="0" w:line="240" w:lineRule="auto"/>
        <w:ind w:left="360"/>
      </w:pPr>
    </w:p>
    <w:p w14:paraId="79CB62B6" w14:textId="77777777" w:rsidR="00404880" w:rsidRPr="00445209" w:rsidRDefault="00404880" w:rsidP="00A07209">
      <w:pPr>
        <w:numPr>
          <w:ilvl w:val="0"/>
          <w:numId w:val="348"/>
        </w:numPr>
        <w:spacing w:after="0" w:line="240" w:lineRule="auto"/>
        <w:ind w:left="1080"/>
      </w:pPr>
      <w:r>
        <w:lastRenderedPageBreak/>
        <w:t>When human subjects research involves the use of medical devices, FDA regulations apply. Investigators must provide sufficient information about the device for the IRB to evaluate its associated risks and benefits, including the FDA approval status of the product (i.e., approved/cleared for marketing or investigational).</w:t>
      </w:r>
    </w:p>
    <w:p w14:paraId="0A96E1F9" w14:textId="77777777" w:rsidR="00404880" w:rsidRPr="00445209" w:rsidRDefault="00404880" w:rsidP="00404880">
      <w:pPr>
        <w:ind w:left="720"/>
      </w:pPr>
    </w:p>
    <w:p w14:paraId="5967B8B0" w14:textId="77777777" w:rsidR="00257873" w:rsidRDefault="00404880" w:rsidP="00A07209">
      <w:pPr>
        <w:numPr>
          <w:ilvl w:val="0"/>
          <w:numId w:val="348"/>
        </w:numPr>
        <w:spacing w:after="0" w:line="240" w:lineRule="auto"/>
        <w:ind w:left="1080"/>
      </w:pPr>
      <w:r>
        <w:t xml:space="preserve">The FDA’s Center for Biologics Evaluation and Research (CBER) regulates some biologics and associated products as medical devices. When the use of such a product meets the definition of an investigational device, it is subject to this policy and FDA’s medical device regulations, as described below. For more information see </w:t>
      </w:r>
      <w:hyperlink r:id="rId324" w:history="1">
        <w:r>
          <w:rPr>
            <w:rStyle w:val="Hyperlink"/>
          </w:rPr>
          <w:t>Investigational Device Exemptions (IDEs) for CBER-Regulated Products</w:t>
        </w:r>
      </w:hyperlink>
      <w:r>
        <w:t xml:space="preserve"> and </w:t>
      </w:r>
      <w:hyperlink r:id="rId325" w:history="1">
        <w:r>
          <w:rPr>
            <w:rStyle w:val="Hyperlink"/>
          </w:rPr>
          <w:t>Devices Regulated by the Center for Biologics Evaluation and Research</w:t>
        </w:r>
      </w:hyperlink>
      <w:r>
        <w:t>. For information on clinical investigations of biologics regulated as drugs, refer to HRPP policy [</w:t>
      </w:r>
      <w:hyperlink r:id="rId326" w:history="1">
        <w:r>
          <w:rPr>
            <w:rStyle w:val="Hyperlink"/>
          </w:rPr>
          <w:t>Research Involving Investigational Drugs</w:t>
        </w:r>
      </w:hyperlink>
      <w:r>
        <w:t>].</w:t>
      </w:r>
    </w:p>
    <w:p w14:paraId="7B2530B8" w14:textId="77777777" w:rsidR="00257873" w:rsidRPr="00257873" w:rsidRDefault="00257873" w:rsidP="00257873">
      <w:pPr>
        <w:spacing w:after="0" w:line="240" w:lineRule="auto"/>
      </w:pPr>
    </w:p>
    <w:p w14:paraId="5CCAFB8D" w14:textId="77777777" w:rsidR="00404880" w:rsidRDefault="00404880" w:rsidP="00A07209">
      <w:pPr>
        <w:numPr>
          <w:ilvl w:val="0"/>
          <w:numId w:val="348"/>
        </w:numPr>
        <w:spacing w:after="0" w:line="240" w:lineRule="auto"/>
        <w:ind w:left="1080"/>
      </w:pPr>
      <w:r>
        <w:t xml:space="preserve">Medical devices can receive FDA approval or clearance for marketing in several different ways, as described at </w:t>
      </w:r>
      <w:hyperlink r:id="rId327" w:anchor="step2" w:history="1">
        <w:r>
          <w:rPr>
            <w:rStyle w:val="Hyperlink"/>
          </w:rPr>
          <w:t>Device Advice: How to Study and Market Your Device</w:t>
        </w:r>
      </w:hyperlink>
      <w:r>
        <w:t xml:space="preserve">. Marketing pathways include the following: </w:t>
      </w:r>
    </w:p>
    <w:p w14:paraId="72214209" w14:textId="77777777" w:rsidR="00404880" w:rsidRDefault="00404880" w:rsidP="00A07209">
      <w:pPr>
        <w:numPr>
          <w:ilvl w:val="1"/>
          <w:numId w:val="349"/>
        </w:numPr>
        <w:spacing w:after="0" w:line="240" w:lineRule="auto"/>
        <w:ind w:left="1800"/>
      </w:pPr>
      <w:r>
        <w:rPr>
          <w:i/>
          <w:iCs/>
        </w:rPr>
        <w:t>Pre-market approval (PMA)</w:t>
      </w:r>
      <w:r>
        <w:t xml:space="preserve">: A PMA is the most stringent type of premarket submission and requires clinical trials to determine the safety and efficacy of a new device. </w:t>
      </w:r>
    </w:p>
    <w:p w14:paraId="00EF501B" w14:textId="77777777" w:rsidR="00404880" w:rsidRDefault="00404880" w:rsidP="00A07209">
      <w:pPr>
        <w:numPr>
          <w:ilvl w:val="1"/>
          <w:numId w:val="349"/>
        </w:numPr>
        <w:spacing w:before="60" w:after="0" w:line="240" w:lineRule="auto"/>
        <w:ind w:left="1800"/>
      </w:pPr>
      <w:r>
        <w:rPr>
          <w:i/>
          <w:iCs/>
        </w:rPr>
        <w:t>Marketing</w:t>
      </w:r>
      <w:r>
        <w:rPr>
          <w:i/>
        </w:rPr>
        <w:t xml:space="preserve"> clearance (510(k) pre-market notification</w:t>
      </w:r>
      <w:r>
        <w:rPr>
          <w:i/>
          <w:iCs/>
        </w:rPr>
        <w:t>)</w:t>
      </w:r>
      <w:r>
        <w:t xml:space="preserve">: Marketing clearance through this pathway is granted by FDA when a device is determined to be “substantially equivalent” to a device already on the market. </w:t>
      </w:r>
    </w:p>
    <w:p w14:paraId="77E0C098" w14:textId="77777777" w:rsidR="00404880" w:rsidRDefault="00404880" w:rsidP="00A07209">
      <w:pPr>
        <w:numPr>
          <w:ilvl w:val="1"/>
          <w:numId w:val="349"/>
        </w:numPr>
        <w:spacing w:before="60" w:after="0" w:line="240" w:lineRule="auto"/>
        <w:ind w:left="1800"/>
      </w:pPr>
      <w:r>
        <w:rPr>
          <w:i/>
          <w:iCs/>
        </w:rPr>
        <w:t>De Novo Classification Request</w:t>
      </w:r>
      <w:r>
        <w:t>: The De Novo process provides a pathway to classify novel low- or moderate-risk medical devices that do not require a PMA but for which there is no legally marketed predicate device.</w:t>
      </w:r>
    </w:p>
    <w:p w14:paraId="04498E8B" w14:textId="77777777" w:rsidR="00404880" w:rsidRDefault="00404880" w:rsidP="00A07209">
      <w:pPr>
        <w:numPr>
          <w:ilvl w:val="1"/>
          <w:numId w:val="349"/>
        </w:numPr>
        <w:spacing w:before="60" w:after="0" w:line="240" w:lineRule="auto"/>
        <w:ind w:left="1800"/>
      </w:pPr>
      <w:r>
        <w:rPr>
          <w:i/>
          <w:iCs/>
        </w:rPr>
        <w:t>Devices exempt from pre-market review</w:t>
      </w:r>
      <w:r>
        <w:t xml:space="preserve">: Certain class I and class II devices are exempt from the 510(k) pre-market notification requirements but must still comply with other applicable FDA regulations. </w:t>
      </w:r>
      <w:r>
        <w:br/>
      </w:r>
      <w:r>
        <w:rPr>
          <w:i/>
          <w:iCs/>
        </w:rPr>
        <w:t>Note: Exemption from pre-market review requirements is different than IDE exemption and exemption from IRB review.</w:t>
      </w:r>
    </w:p>
    <w:p w14:paraId="14EE2B2A" w14:textId="77777777" w:rsidR="00404880" w:rsidRDefault="00404880" w:rsidP="00A07209">
      <w:pPr>
        <w:numPr>
          <w:ilvl w:val="1"/>
          <w:numId w:val="349"/>
        </w:numPr>
        <w:spacing w:before="60" w:after="0" w:line="240" w:lineRule="auto"/>
        <w:ind w:left="1800"/>
      </w:pPr>
      <w:r>
        <w:rPr>
          <w:i/>
          <w:iCs/>
        </w:rPr>
        <w:t>Humanitarian Device Exemption (HDE)</w:t>
      </w:r>
      <w:r>
        <w:t>: HDE provides a regulatory pathway for class III devices that are intended to benefit patients with rare diseases or conditions.</w:t>
      </w:r>
    </w:p>
    <w:p w14:paraId="0FFA945F" w14:textId="77777777" w:rsidR="00257873" w:rsidRPr="00257873" w:rsidRDefault="00257873" w:rsidP="00257873">
      <w:pPr>
        <w:spacing w:before="60" w:after="0" w:line="240" w:lineRule="auto"/>
        <w:ind w:left="1800"/>
      </w:pPr>
    </w:p>
    <w:p w14:paraId="1B1AB723" w14:textId="77777777" w:rsidR="00404880" w:rsidRDefault="00404880" w:rsidP="00A07209">
      <w:pPr>
        <w:pStyle w:val="ListParagraph"/>
        <w:numPr>
          <w:ilvl w:val="0"/>
          <w:numId w:val="348"/>
        </w:numPr>
        <w:spacing w:after="0" w:line="240" w:lineRule="auto"/>
        <w:ind w:left="1080"/>
      </w:pPr>
      <w:r>
        <w:t>Investigational devices include medical devices under clinical investigation to test their safety and efficacy, as well as investigation of certain modifications or new intended uses of already marketed devices. Investigational devices also include devices that are not legally marketed when they are administered to human subjects, even if safety and efficacy are not evaluated.</w:t>
      </w:r>
    </w:p>
    <w:p w14:paraId="6AF07D26" w14:textId="77777777" w:rsidR="00257873" w:rsidRPr="00257873" w:rsidRDefault="00257873" w:rsidP="00257873">
      <w:pPr>
        <w:pStyle w:val="ListParagraph"/>
        <w:spacing w:after="0" w:line="240" w:lineRule="auto"/>
      </w:pPr>
    </w:p>
    <w:p w14:paraId="26FE06EE" w14:textId="77777777" w:rsidR="00404880" w:rsidRDefault="00404880" w:rsidP="00A07209">
      <w:pPr>
        <w:numPr>
          <w:ilvl w:val="0"/>
          <w:numId w:val="348"/>
        </w:numPr>
        <w:spacing w:after="0" w:line="240" w:lineRule="auto"/>
        <w:ind w:left="1080"/>
      </w:pPr>
      <w:r>
        <w:t>The FDA requirements for studies involving investigational devices are proportional to the potential risk level (see “</w:t>
      </w:r>
      <w:hyperlink w:anchor="section6" w:history="1">
        <w:r>
          <w:rPr>
            <w:rStyle w:val="Hyperlink"/>
          </w:rPr>
          <w:t>Significant and Non-Significant Risk Device Studies</w:t>
        </w:r>
      </w:hyperlink>
      <w:r>
        <w:t xml:space="preserve">” below). </w:t>
      </w:r>
    </w:p>
    <w:p w14:paraId="7A5C9021" w14:textId="77777777" w:rsidR="00404880" w:rsidRDefault="00404880" w:rsidP="00404880">
      <w:pPr>
        <w:pStyle w:val="ListParagraph"/>
      </w:pPr>
    </w:p>
    <w:p w14:paraId="4C12409E" w14:textId="77777777" w:rsidR="00404880" w:rsidRDefault="00404880" w:rsidP="00A07209">
      <w:pPr>
        <w:numPr>
          <w:ilvl w:val="1"/>
          <w:numId w:val="458"/>
        </w:numPr>
        <w:spacing w:after="0" w:line="240" w:lineRule="auto"/>
        <w:ind w:left="1800"/>
      </w:pPr>
      <w:r>
        <w:rPr>
          <w:i/>
          <w:iCs/>
        </w:rPr>
        <w:t>Significant</w:t>
      </w:r>
      <w:r>
        <w:rPr>
          <w:i/>
        </w:rPr>
        <w:t xml:space="preserve"> risk </w:t>
      </w:r>
      <w:r>
        <w:rPr>
          <w:i/>
          <w:iCs/>
        </w:rPr>
        <w:t>device studies</w:t>
      </w:r>
      <w:r>
        <w:t xml:space="preserve"> must follow all the IDE regulations and must have a formal IDE application approved by FDA before they may proceed.</w:t>
      </w:r>
    </w:p>
    <w:p w14:paraId="7345C656" w14:textId="77777777" w:rsidR="00404880" w:rsidRDefault="00404880" w:rsidP="00A07209">
      <w:pPr>
        <w:numPr>
          <w:ilvl w:val="1"/>
          <w:numId w:val="458"/>
        </w:numPr>
        <w:spacing w:before="60" w:after="0" w:line="240" w:lineRule="auto"/>
        <w:ind w:left="1800"/>
      </w:pPr>
      <w:r>
        <w:rPr>
          <w:i/>
        </w:rPr>
        <w:t>Non-significant risk studies</w:t>
      </w:r>
      <w:r>
        <w:t xml:space="preserve"> do not require an IDE submission but are considered to have an approved IDE and must meet the abbreviated IDE requirements described at the following links:</w:t>
      </w:r>
    </w:p>
    <w:p w14:paraId="56D6C262" w14:textId="77777777" w:rsidR="00404880" w:rsidRDefault="00404880" w:rsidP="00A07209">
      <w:pPr>
        <w:numPr>
          <w:ilvl w:val="3"/>
          <w:numId w:val="459"/>
        </w:numPr>
        <w:spacing w:before="60" w:after="0" w:line="240" w:lineRule="auto"/>
      </w:pPr>
      <w:hyperlink r:id="rId328" w:anchor="non_sig_risk" w:history="1">
        <w:r>
          <w:rPr>
            <w:rStyle w:val="Hyperlink"/>
          </w:rPr>
          <w:t>Device Advice: Nonsignificant Risk Device</w:t>
        </w:r>
      </w:hyperlink>
    </w:p>
    <w:p w14:paraId="07EC0E3C" w14:textId="77777777" w:rsidR="00404880" w:rsidRDefault="00404880" w:rsidP="00A07209">
      <w:pPr>
        <w:numPr>
          <w:ilvl w:val="3"/>
          <w:numId w:val="459"/>
        </w:numPr>
        <w:spacing w:before="60" w:after="0" w:line="240" w:lineRule="auto"/>
      </w:pPr>
      <w:hyperlink r:id="rId329" w:anchor="resofspoof" w:history="1">
        <w:r>
          <w:rPr>
            <w:rStyle w:val="Hyperlink"/>
          </w:rPr>
          <w:t>Device Advice: Responsibilities of Sponsors for Nonsignificant Risk Device Studies</w:t>
        </w:r>
      </w:hyperlink>
    </w:p>
    <w:p w14:paraId="05EAC51B" w14:textId="77777777" w:rsidR="00404880" w:rsidRDefault="00404880" w:rsidP="00A07209">
      <w:pPr>
        <w:numPr>
          <w:ilvl w:val="3"/>
          <w:numId w:val="459"/>
        </w:numPr>
        <w:spacing w:before="60" w:after="0" w:line="240" w:lineRule="auto"/>
      </w:pPr>
      <w:hyperlink r:id="rId330" w:anchor="resofinvfornon" w:history="1">
        <w:r>
          <w:rPr>
            <w:rStyle w:val="Hyperlink"/>
          </w:rPr>
          <w:t>Device Advice: Responsibilities of Investigators for Nonsignificant Risk Device Studies</w:t>
        </w:r>
      </w:hyperlink>
      <w:r>
        <w:t xml:space="preserve"> </w:t>
      </w:r>
    </w:p>
    <w:p w14:paraId="1A983DDB" w14:textId="77777777" w:rsidR="00404880" w:rsidRDefault="00404880" w:rsidP="00A07209">
      <w:pPr>
        <w:numPr>
          <w:ilvl w:val="1"/>
          <w:numId w:val="348"/>
        </w:numPr>
        <w:spacing w:before="60" w:after="0" w:line="240" w:lineRule="auto"/>
        <w:ind w:left="1800"/>
      </w:pPr>
      <w:r>
        <w:t xml:space="preserve">Certain investigational device studies are </w:t>
      </w:r>
      <w:r>
        <w:rPr>
          <w:i/>
        </w:rPr>
        <w:t>exempt from the IDE requirements</w:t>
      </w:r>
      <w:r>
        <w:t xml:space="preserve">. For information about the FDA exemptions from the IDE requirements, see </w:t>
      </w:r>
      <w:hyperlink r:id="rId331" w:anchor="ide_exempt" w:history="1">
        <w:r>
          <w:rPr>
            <w:rStyle w:val="Hyperlink"/>
          </w:rPr>
          <w:t>Device Advice: IDE Exempt Investigations</w:t>
        </w:r>
      </w:hyperlink>
      <w:r>
        <w:t>.</w:t>
      </w:r>
    </w:p>
    <w:p w14:paraId="5D89B201" w14:textId="77777777" w:rsidR="00404880" w:rsidRPr="00404880" w:rsidRDefault="00404880" w:rsidP="00076836">
      <w:pPr>
        <w:spacing w:before="60" w:after="0" w:line="240" w:lineRule="auto"/>
        <w:ind w:left="1440"/>
      </w:pPr>
    </w:p>
    <w:p w14:paraId="067EBA17" w14:textId="77777777" w:rsidR="00404880" w:rsidRDefault="00404880" w:rsidP="00A07209">
      <w:pPr>
        <w:numPr>
          <w:ilvl w:val="0"/>
          <w:numId w:val="348"/>
        </w:numPr>
        <w:spacing w:after="0" w:line="240" w:lineRule="auto"/>
        <w:ind w:left="1080"/>
        <w:rPr>
          <w:i/>
        </w:rPr>
      </w:pPr>
      <w:r>
        <w:lastRenderedPageBreak/>
        <w:t>When the proposed use of an investigational device in research is significant risk, the sponsors/sponsor-investigators must submit an application to FDA. An IDE application must contain certain information, including the submission cover sheet (</w:t>
      </w:r>
      <w:hyperlink r:id="rId332" w:history="1">
        <w:r>
          <w:rPr>
            <w:rStyle w:val="Hyperlink"/>
          </w:rPr>
          <w:t>Form FDA 3514</w:t>
        </w:r>
      </w:hyperlink>
      <w:r>
        <w:t xml:space="preserve">), study’s investigational plan (i.e., protocol), report of prior investigations, description of the device’s manufacturing and labeling, and copies of investigator agreements, informed consent documents, and other information to be provided to research subjects. An IDE number will be assigned by FDA upon receipt of the application. Unless earlier notification is received, studies may be initiated 30 days after FDA’s receipt of the application. Final IRB approval will not be given until confirmation of an approved IDE (e.g., FDA “study may proceed letter”) is provided, as described in </w:t>
      </w:r>
      <w:hyperlink w:anchor="Section4" w:history="1">
        <w:r>
          <w:rPr>
            <w:rStyle w:val="Hyperlink"/>
          </w:rPr>
          <w:t>section 4</w:t>
        </w:r>
      </w:hyperlink>
      <w:r>
        <w:t xml:space="preserve"> below. For more information about obtaining an IDE, see </w:t>
      </w:r>
      <w:hyperlink r:id="rId333" w:history="1">
        <w:r>
          <w:rPr>
            <w:rStyle w:val="Hyperlink"/>
          </w:rPr>
          <w:t>21 CFR 812 Subpart B - Application and Administrative Action</w:t>
        </w:r>
      </w:hyperlink>
      <w:r>
        <w:t xml:space="preserve"> and </w:t>
      </w:r>
      <w:hyperlink r:id="rId334" w:history="1">
        <w:r>
          <w:rPr>
            <w:rStyle w:val="Hyperlink"/>
          </w:rPr>
          <w:t>Device Advice: IDE Application</w:t>
        </w:r>
      </w:hyperlink>
      <w:r>
        <w:t>.</w:t>
      </w:r>
    </w:p>
    <w:p w14:paraId="46B5C325" w14:textId="77777777" w:rsidR="00257873" w:rsidRPr="00257873" w:rsidRDefault="00257873" w:rsidP="00257873">
      <w:pPr>
        <w:spacing w:after="0" w:line="240" w:lineRule="auto"/>
        <w:ind w:left="720"/>
        <w:rPr>
          <w:i/>
        </w:rPr>
      </w:pPr>
    </w:p>
    <w:p w14:paraId="460C4486" w14:textId="77777777" w:rsidR="00404880" w:rsidRDefault="00404880" w:rsidP="00A07209">
      <w:pPr>
        <w:numPr>
          <w:ilvl w:val="0"/>
          <w:numId w:val="348"/>
        </w:numPr>
        <w:spacing w:after="0" w:line="240" w:lineRule="auto"/>
        <w:ind w:left="1080"/>
      </w:pPr>
      <w:r>
        <w:t>An investigator obtaining an IDE for the proposed use of an investigational device in research becomes a “sponsor-investigator,” and additional institutional resources are available to assist investigators in complying with applicable FDA regulations (see “</w:t>
      </w:r>
      <w:hyperlink w:anchor="Section9" w:history="1">
        <w:r>
          <w:rPr>
            <w:rStyle w:val="Hyperlink"/>
          </w:rPr>
          <w:t>Additional Responsibilities of Sponsor-Investigators</w:t>
        </w:r>
      </w:hyperlink>
      <w:r>
        <w:t>” below).</w:t>
      </w:r>
    </w:p>
    <w:p w14:paraId="5FAD999A" w14:textId="77777777" w:rsidR="00257873" w:rsidRPr="00445209" w:rsidRDefault="00404880" w:rsidP="00257873">
      <w:pPr>
        <w:spacing w:before="60"/>
        <w:ind w:left="1080"/>
      </w:pPr>
      <w:r>
        <w:rPr>
          <w:i/>
          <w:iCs/>
        </w:rPr>
        <w:t>Note: For research initiated by Ohio State investigators, the IDE must be submitted in the sponsor-investigator’s name; Ohio State will not serve as an institutional sponsor nor undertake sponsor responsibilities for IDEs.</w:t>
      </w:r>
    </w:p>
    <w:p w14:paraId="21EA8961" w14:textId="77777777" w:rsidR="00404880" w:rsidRDefault="00404880" w:rsidP="00A07209">
      <w:pPr>
        <w:numPr>
          <w:ilvl w:val="0"/>
          <w:numId w:val="348"/>
        </w:numPr>
        <w:spacing w:after="0" w:line="240" w:lineRule="auto"/>
        <w:ind w:left="1080"/>
      </w:pPr>
      <w:r>
        <w:t>FDA regulations allow sponsors to charge for an investigational device. The charge should not exceed an amount necessary to recover the costs of manufacture, research, development, and handling of the investigational device. The IRBs should ensure that charges for investigational devices appear appropriate and equitable and that any additional costs to subjects are disclosed during the consent process.</w:t>
      </w:r>
    </w:p>
    <w:p w14:paraId="3DA51F50" w14:textId="77777777" w:rsidR="00257873" w:rsidRPr="00257873" w:rsidRDefault="00257873" w:rsidP="00257873">
      <w:pPr>
        <w:spacing w:after="0" w:line="240" w:lineRule="auto"/>
        <w:ind w:left="720"/>
      </w:pPr>
    </w:p>
    <w:p w14:paraId="02AF0813" w14:textId="77777777" w:rsidR="00404880" w:rsidRDefault="00404880" w:rsidP="00A07209">
      <w:pPr>
        <w:numPr>
          <w:ilvl w:val="0"/>
          <w:numId w:val="348"/>
        </w:numPr>
        <w:spacing w:after="0" w:line="240" w:lineRule="auto"/>
        <w:ind w:left="1080"/>
      </w:pPr>
      <w:r>
        <w:t xml:space="preserve">The “off-label” use of a marketed device (i.e., a use other than the indication(s) approved/cleared by FDA) by a physician for treatment purposes does not require an IDE or IRB approval. When such uses meet the regulatory definitions of </w:t>
      </w:r>
      <w:r>
        <w:rPr>
          <w:i/>
        </w:rPr>
        <w:t>research</w:t>
      </w:r>
      <w:r>
        <w:t xml:space="preserve"> or </w:t>
      </w:r>
      <w:r>
        <w:rPr>
          <w:i/>
        </w:rPr>
        <w:t>clinical investigation</w:t>
      </w:r>
      <w:r>
        <w:t xml:space="preserve">, IRB approval is required. An IDE may also be required unless the study meets the conditions for an abbreviated IDE (described at </w:t>
      </w:r>
      <w:hyperlink r:id="rId335" w:anchor="non_sig_risk" w:history="1">
        <w:r>
          <w:rPr>
            <w:rStyle w:val="Hyperlink"/>
          </w:rPr>
          <w:t>Device Advice: Nonsignificant Risk Device</w:t>
        </w:r>
      </w:hyperlink>
      <w:r>
        <w:t xml:space="preserve">) or exemption (described at </w:t>
      </w:r>
      <w:hyperlink r:id="rId336" w:anchor="ide_exempt" w:history="1">
        <w:r>
          <w:rPr>
            <w:rStyle w:val="Hyperlink"/>
          </w:rPr>
          <w:t>Device Advice: IDE Exempt Investigations</w:t>
        </w:r>
      </w:hyperlink>
      <w:r>
        <w:t>).</w:t>
      </w:r>
    </w:p>
    <w:p w14:paraId="0FD5635F" w14:textId="77777777" w:rsidR="00257873" w:rsidRPr="00257873" w:rsidRDefault="00257873" w:rsidP="00257873">
      <w:pPr>
        <w:spacing w:after="0" w:line="240" w:lineRule="auto"/>
        <w:ind w:left="720"/>
      </w:pPr>
    </w:p>
    <w:p w14:paraId="0851FC46" w14:textId="77777777" w:rsidR="00404880" w:rsidRDefault="00404880" w:rsidP="00A07209">
      <w:pPr>
        <w:numPr>
          <w:ilvl w:val="0"/>
          <w:numId w:val="348"/>
        </w:numPr>
        <w:spacing w:after="0" w:line="240" w:lineRule="auto"/>
        <w:ind w:left="1080"/>
      </w:pPr>
      <w:r>
        <w:t xml:space="preserve">In certain non-emergency situations, an investigational device intended to treat a serious or immediately life-threatening condition may be used under a treatment IDE. Such “treatment use” of an investigational device requires IRB review and approval. For more information, see </w:t>
      </w:r>
      <w:hyperlink r:id="rId337" w:history="1">
        <w:r>
          <w:rPr>
            <w:rStyle w:val="Hyperlink"/>
          </w:rPr>
          <w:t>21 CFR 812.36 - Treatment Use of an Investigational Device</w:t>
        </w:r>
      </w:hyperlink>
      <w:r>
        <w:t xml:space="preserve">, </w:t>
      </w:r>
      <w:hyperlink r:id="rId338" w:history="1">
        <w:r>
          <w:rPr>
            <w:rStyle w:val="Hyperlink"/>
          </w:rPr>
          <w:t>Device Advice: Expanded Access for Medical Devices</w:t>
        </w:r>
      </w:hyperlink>
      <w:r>
        <w:t>, or contact the Office of Responsible Research Practices.</w:t>
      </w:r>
    </w:p>
    <w:p w14:paraId="4C47BBDB" w14:textId="77777777" w:rsidR="00257873" w:rsidRPr="00257873" w:rsidRDefault="00257873" w:rsidP="00257873">
      <w:pPr>
        <w:spacing w:after="0" w:line="240" w:lineRule="auto"/>
        <w:ind w:left="720"/>
      </w:pPr>
    </w:p>
    <w:p w14:paraId="76FEA3C3" w14:textId="77777777" w:rsidR="00404880" w:rsidRDefault="00404880" w:rsidP="00A07209">
      <w:pPr>
        <w:numPr>
          <w:ilvl w:val="0"/>
          <w:numId w:val="348"/>
        </w:numPr>
        <w:spacing w:after="0" w:line="240" w:lineRule="auto"/>
        <w:ind w:left="1080"/>
      </w:pPr>
      <w:r>
        <w:t xml:space="preserve">The “compassionate use” of an investigational device allows access for a patient (or small group of patients) who does not meet the requirements for inclusion in a study of the device, but for whom a physician believes the device may provide benefit in treating and/or diagnosing the disease or condition. Such use of an investigational device requires prior FDA approval and reporting to the IRB. For more information, see FDA guidance </w:t>
      </w:r>
      <w:hyperlink r:id="rId339" w:anchor="compassionate" w:history="1">
        <w:r>
          <w:rPr>
            <w:rStyle w:val="Hyperlink"/>
          </w:rPr>
          <w:t>Device Advice: Compassionate Use (or Individual Patient/Small Group Access)</w:t>
        </w:r>
      </w:hyperlink>
      <w:r>
        <w:rPr>
          <w:u w:color="0021E7"/>
        </w:rPr>
        <w:t>.</w:t>
      </w:r>
    </w:p>
    <w:p w14:paraId="21DD5C90" w14:textId="77777777" w:rsidR="00257873" w:rsidRPr="00257873" w:rsidRDefault="00257873" w:rsidP="00257873">
      <w:pPr>
        <w:spacing w:after="0" w:line="240" w:lineRule="auto"/>
        <w:ind w:left="720"/>
      </w:pPr>
    </w:p>
    <w:p w14:paraId="4434C95E" w14:textId="77777777" w:rsidR="00404880" w:rsidRDefault="00404880" w:rsidP="00A07209">
      <w:pPr>
        <w:numPr>
          <w:ilvl w:val="0"/>
          <w:numId w:val="348"/>
        </w:numPr>
        <w:spacing w:after="0" w:line="240" w:lineRule="auto"/>
        <w:ind w:left="1080"/>
      </w:pPr>
      <w:r>
        <w:t>Additional requirements apply to the emergency use of an investigational device and planned emergency research involving investigational devices subject to FDA regulations. For more information, see HRPP policies [</w:t>
      </w:r>
      <w:hyperlink r:id="rId340" w:history="1">
        <w:r>
          <w:rPr>
            <w:rStyle w:val="Hyperlink"/>
          </w:rPr>
          <w:t>Emergency Use of Investigational Drugs, Biologics, or Devices</w:t>
        </w:r>
      </w:hyperlink>
      <w:r>
        <w:t>] and [</w:t>
      </w:r>
      <w:hyperlink r:id="rId341" w:history="1">
        <w:r>
          <w:rPr>
            <w:rStyle w:val="Hyperlink"/>
          </w:rPr>
          <w:t>Planned Emergency Research</w:t>
        </w:r>
      </w:hyperlink>
      <w:r>
        <w:t>].</w:t>
      </w:r>
    </w:p>
    <w:p w14:paraId="381DF8CF" w14:textId="77777777" w:rsidR="00257873" w:rsidRPr="00257873" w:rsidRDefault="00257873" w:rsidP="00257873">
      <w:pPr>
        <w:spacing w:after="0" w:line="240" w:lineRule="auto"/>
        <w:ind w:left="720"/>
      </w:pPr>
    </w:p>
    <w:p w14:paraId="70DEF8FC" w14:textId="77777777" w:rsidR="00404880" w:rsidRPr="00445209" w:rsidRDefault="00404880" w:rsidP="00A07209">
      <w:pPr>
        <w:numPr>
          <w:ilvl w:val="0"/>
          <w:numId w:val="348"/>
        </w:numPr>
        <w:spacing w:after="0" w:line="240" w:lineRule="auto"/>
        <w:ind w:left="1080"/>
      </w:pPr>
      <w:r>
        <w:t>Although humanitarian use devices are not investigational when used in the course of clinical care, additional FDA requirements apply to their use, including IRB notification or review as described below (see “</w:t>
      </w:r>
      <w:hyperlink w:anchor="Section10" w:history="1">
        <w:r>
          <w:rPr>
            <w:rStyle w:val="Hyperlink"/>
          </w:rPr>
          <w:t>Humanitarian Use Devices</w:t>
        </w:r>
      </w:hyperlink>
      <w:r>
        <w:t>").</w:t>
      </w:r>
    </w:p>
    <w:p w14:paraId="3502C8F1" w14:textId="77777777" w:rsidR="00404880" w:rsidRPr="00445209" w:rsidRDefault="00404880" w:rsidP="00404880"/>
    <w:p w14:paraId="46E3A6E2" w14:textId="77777777" w:rsidR="00404880" w:rsidRDefault="00404880" w:rsidP="00A07209">
      <w:pPr>
        <w:numPr>
          <w:ilvl w:val="0"/>
          <w:numId w:val="347"/>
        </w:numPr>
        <w:spacing w:after="0" w:line="240" w:lineRule="auto"/>
        <w:ind w:left="360" w:hanging="360"/>
      </w:pPr>
      <w:r>
        <w:rPr>
          <w:b/>
        </w:rPr>
        <w:lastRenderedPageBreak/>
        <w:t>Submission and Pre-Review Procedures</w:t>
      </w:r>
    </w:p>
    <w:p w14:paraId="26860412" w14:textId="77777777" w:rsidR="00257873" w:rsidRPr="00257873" w:rsidRDefault="00257873" w:rsidP="00257873">
      <w:pPr>
        <w:spacing w:after="0" w:line="240" w:lineRule="auto"/>
        <w:ind w:left="360"/>
      </w:pPr>
    </w:p>
    <w:p w14:paraId="7E56E374" w14:textId="77777777" w:rsidR="00404880" w:rsidRDefault="00404880" w:rsidP="00A07209">
      <w:pPr>
        <w:numPr>
          <w:ilvl w:val="0"/>
          <w:numId w:val="350"/>
        </w:numPr>
        <w:spacing w:after="0" w:line="240" w:lineRule="auto"/>
        <w:ind w:left="1080"/>
      </w:pPr>
      <w:r>
        <w:t>To describe proposed uses of investigational devices in human subjects research, investigators will check “Devices” on the “Research Methods and Activities” page of the Buck-IRB application and provide an initial assessment of whether the investigation is significant risk, non-significant risk, or exempt from IDE regulations. For more information about IRB submission requirements, see HRPP policy [</w:t>
      </w:r>
      <w:hyperlink r:id="rId342" w:history="1">
        <w:r>
          <w:rPr>
            <w:rStyle w:val="Hyperlink"/>
          </w:rPr>
          <w:t>Submission and Pre-Review</w:t>
        </w:r>
      </w:hyperlink>
      <w:r>
        <w:t>].</w:t>
      </w:r>
    </w:p>
    <w:p w14:paraId="6660CCD4" w14:textId="77777777" w:rsidR="00257873" w:rsidRPr="00257873" w:rsidRDefault="00257873" w:rsidP="00257873">
      <w:pPr>
        <w:spacing w:after="0" w:line="240" w:lineRule="auto"/>
        <w:ind w:left="1080"/>
      </w:pPr>
    </w:p>
    <w:p w14:paraId="2A9ECC3D" w14:textId="77777777" w:rsidR="00404880" w:rsidRPr="00445209" w:rsidRDefault="00404880" w:rsidP="00A07209">
      <w:pPr>
        <w:numPr>
          <w:ilvl w:val="0"/>
          <w:numId w:val="350"/>
        </w:numPr>
        <w:spacing w:after="60" w:line="240" w:lineRule="auto"/>
        <w:ind w:left="1080"/>
      </w:pPr>
      <w:r>
        <w:t>During the pre-review process, ORRP staff will review the submitted device materials to assess applicable FDA requirements. For studies involving medical devices, one of the following determinations will be made:</w:t>
      </w:r>
    </w:p>
    <w:p w14:paraId="290E173B" w14:textId="77777777" w:rsidR="00404880" w:rsidRPr="00445209" w:rsidRDefault="00404880" w:rsidP="00A07209">
      <w:pPr>
        <w:numPr>
          <w:ilvl w:val="0"/>
          <w:numId w:val="342"/>
        </w:numPr>
        <w:tabs>
          <w:tab w:val="clear" w:pos="3528"/>
          <w:tab w:val="num" w:pos="1440"/>
        </w:tabs>
        <w:spacing w:after="60" w:line="240" w:lineRule="auto"/>
        <w:ind w:left="1800"/>
      </w:pPr>
      <w:r>
        <w:t xml:space="preserve">The study is significant risk and requires an IDE. </w:t>
      </w:r>
    </w:p>
    <w:p w14:paraId="1C9DE876" w14:textId="77777777" w:rsidR="00404880" w:rsidRPr="00445209" w:rsidRDefault="00404880" w:rsidP="00A07209">
      <w:pPr>
        <w:numPr>
          <w:ilvl w:val="0"/>
          <w:numId w:val="342"/>
        </w:numPr>
        <w:tabs>
          <w:tab w:val="clear" w:pos="3528"/>
          <w:tab w:val="num" w:pos="1440"/>
        </w:tabs>
        <w:spacing w:after="60" w:line="240" w:lineRule="auto"/>
        <w:ind w:left="1800"/>
      </w:pPr>
      <w:r>
        <w:t xml:space="preserve">The study is non-significant risk and fulfills the requirements for an abbreviated IDE. </w:t>
      </w:r>
    </w:p>
    <w:p w14:paraId="70EBA8EB" w14:textId="77777777" w:rsidR="00404880" w:rsidRDefault="00404880" w:rsidP="00A07209">
      <w:pPr>
        <w:numPr>
          <w:ilvl w:val="0"/>
          <w:numId w:val="342"/>
        </w:numPr>
        <w:tabs>
          <w:tab w:val="clear" w:pos="3528"/>
          <w:tab w:val="num" w:pos="1440"/>
        </w:tabs>
        <w:spacing w:after="120" w:line="240" w:lineRule="auto"/>
        <w:ind w:left="1800"/>
      </w:pPr>
      <w:r>
        <w:t>The study device meets one of the FDA exemptions from the IDE requirements.</w:t>
      </w:r>
    </w:p>
    <w:p w14:paraId="1BBC261A" w14:textId="77777777" w:rsidR="00404880" w:rsidRPr="00445209" w:rsidRDefault="00404880" w:rsidP="00A07209">
      <w:pPr>
        <w:numPr>
          <w:ilvl w:val="0"/>
          <w:numId w:val="342"/>
        </w:numPr>
        <w:tabs>
          <w:tab w:val="clear" w:pos="3528"/>
          <w:tab w:val="num" w:pos="1440"/>
        </w:tabs>
        <w:spacing w:after="120" w:line="240" w:lineRule="auto"/>
        <w:ind w:left="1800"/>
      </w:pPr>
      <w:r>
        <w:t>The study does not involve an investigational device and/or does not meet the definition of a clinical investigation.</w:t>
      </w:r>
    </w:p>
    <w:p w14:paraId="1C0E681F" w14:textId="77777777" w:rsidR="00404880" w:rsidRDefault="00404880" w:rsidP="00257873">
      <w:pPr>
        <w:ind w:left="720"/>
      </w:pPr>
      <w:r>
        <w:t xml:space="preserve">The IRBs will make the final determination. </w:t>
      </w:r>
    </w:p>
    <w:p w14:paraId="6FBD3B56" w14:textId="77777777" w:rsidR="00257873" w:rsidRPr="00257873" w:rsidRDefault="00404880" w:rsidP="00257873">
      <w:pPr>
        <w:spacing w:before="60"/>
        <w:ind w:left="720"/>
        <w:rPr>
          <w:bCs/>
        </w:rPr>
      </w:pPr>
      <w:r>
        <w:rPr>
          <w:i/>
        </w:rPr>
        <w:t xml:space="preserve">Note: For assistance in determining whether an IDE is required in a specific situation, </w:t>
      </w:r>
      <w:r>
        <w:rPr>
          <w:bCs/>
          <w:i/>
          <w:iCs/>
        </w:rPr>
        <w:t xml:space="preserve">ORRP staff may prompt investigators to contact </w:t>
      </w:r>
      <w:r>
        <w:rPr>
          <w:i/>
        </w:rPr>
        <w:t xml:space="preserve">FDA </w:t>
      </w:r>
      <w:r>
        <w:rPr>
          <w:bCs/>
          <w:i/>
          <w:iCs/>
        </w:rPr>
        <w:t xml:space="preserve">or </w:t>
      </w:r>
      <w:r>
        <w:rPr>
          <w:i/>
        </w:rPr>
        <w:t xml:space="preserve">may </w:t>
      </w:r>
      <w:r>
        <w:rPr>
          <w:bCs/>
          <w:i/>
          <w:iCs/>
        </w:rPr>
        <w:t>seek assistance from FDA</w:t>
      </w:r>
      <w:r>
        <w:rPr>
          <w:i/>
        </w:rPr>
        <w:t xml:space="preserve"> directly. (For contact information, see FDA guidance </w:t>
      </w:r>
      <w:hyperlink r:id="rId343" w:history="1">
        <w:r>
          <w:rPr>
            <w:rStyle w:val="Hyperlink"/>
            <w:bCs/>
            <w:i/>
            <w:iCs/>
          </w:rPr>
          <w:t>"Off-label" and Investigational Use of Marketed Drugs, Biologics, and Medical Devices</w:t>
        </w:r>
      </w:hyperlink>
      <w:r>
        <w:rPr>
          <w:i/>
        </w:rPr>
        <w:t>.)</w:t>
      </w:r>
    </w:p>
    <w:p w14:paraId="499A366C" w14:textId="77777777" w:rsidR="00404880" w:rsidRPr="00445209" w:rsidRDefault="00404880" w:rsidP="00A07209">
      <w:pPr>
        <w:numPr>
          <w:ilvl w:val="0"/>
          <w:numId w:val="350"/>
        </w:numPr>
        <w:spacing w:after="0" w:line="240" w:lineRule="auto"/>
        <w:ind w:left="1080"/>
      </w:pPr>
      <w:r>
        <w:t>When the research involves a device with an IDE, ORRP staff will verify that the IDE number provided by the investigator is valid. FDA correspondence confirming protocol-specific IDE approval (e.g., “study may proceed” letter) is required when (1) an Ohio State sponsor-investigator holds an IDE or (2) when an external entity holds an IDE, but Ohio State is the lead site reviewing the research. In other scenarios, additional forms of protocol-specific confirmation (e.g., sponsor’s protocol cover sheet or sponsor correspondence) may be acceptable in lieu of formal FDA correspondence.</w:t>
      </w:r>
    </w:p>
    <w:p w14:paraId="3C26A187" w14:textId="77777777" w:rsidR="00404880" w:rsidRPr="00445209" w:rsidRDefault="00404880" w:rsidP="00404880"/>
    <w:p w14:paraId="310F9F25" w14:textId="77777777" w:rsidR="00404880" w:rsidRDefault="00404880" w:rsidP="00A07209">
      <w:pPr>
        <w:pStyle w:val="ListParagraph"/>
        <w:numPr>
          <w:ilvl w:val="0"/>
          <w:numId w:val="347"/>
        </w:numPr>
        <w:spacing w:after="0" w:line="240" w:lineRule="auto"/>
        <w:ind w:left="360" w:hanging="360"/>
        <w:rPr>
          <w:b/>
        </w:rPr>
      </w:pPr>
      <w:r>
        <w:rPr>
          <w:b/>
        </w:rPr>
        <w:t>IRB Review Requirements</w:t>
      </w:r>
    </w:p>
    <w:p w14:paraId="3F5925E2" w14:textId="77777777" w:rsidR="00257873" w:rsidRPr="00257873" w:rsidRDefault="00257873" w:rsidP="00257873">
      <w:pPr>
        <w:pStyle w:val="ListParagraph"/>
        <w:spacing w:after="0" w:line="240" w:lineRule="auto"/>
        <w:ind w:left="360"/>
        <w:rPr>
          <w:b/>
        </w:rPr>
      </w:pPr>
    </w:p>
    <w:p w14:paraId="5A0F27F7" w14:textId="77777777" w:rsidR="00404880" w:rsidRDefault="00404880" w:rsidP="00A07209">
      <w:pPr>
        <w:numPr>
          <w:ilvl w:val="0"/>
          <w:numId w:val="351"/>
        </w:numPr>
        <w:spacing w:after="0" w:line="240" w:lineRule="auto"/>
        <w:ind w:left="1080"/>
      </w:pPr>
      <w:r>
        <w:t>In general, the convened IRBs will review proposed research involving investigational devices considering the criteria for approval as described by regulations and HRPP policy [</w:t>
      </w:r>
      <w:hyperlink r:id="rId344" w:history="1">
        <w:r>
          <w:rPr>
            <w:rStyle w:val="Hyperlink"/>
          </w:rPr>
          <w:t>Review of Research by the Convened IRB</w:t>
        </w:r>
      </w:hyperlink>
      <w:r>
        <w:t>]. Applications that meet 21 CFR 56.110 and/or 45 CFR 46.110 category 1(b) or category 9 criteria may be reviewed by expedited review procedure rather than a convened IRB, as described in HRPP policy [</w:t>
      </w:r>
      <w:hyperlink r:id="rId345" w:history="1">
        <w:r>
          <w:rPr>
            <w:rStyle w:val="Hyperlink"/>
          </w:rPr>
          <w:t>Expedited and Administrative Review Procedures</w:t>
        </w:r>
      </w:hyperlink>
      <w:r>
        <w:t xml:space="preserve">]. </w:t>
      </w:r>
    </w:p>
    <w:p w14:paraId="127D18E8" w14:textId="77777777" w:rsidR="00404880" w:rsidRPr="00445209" w:rsidRDefault="00404880" w:rsidP="00257873">
      <w:pPr>
        <w:spacing w:before="60"/>
        <w:ind w:left="1080"/>
      </w:pPr>
      <w:r>
        <w:rPr>
          <w:i/>
          <w:iCs/>
        </w:rPr>
        <w:t>Note: Research involving a device for which an IDE is required is not eligible for expedited review.</w:t>
      </w:r>
    </w:p>
    <w:p w14:paraId="64313E84" w14:textId="77777777" w:rsidR="00404880" w:rsidRPr="00445209" w:rsidRDefault="00404880" w:rsidP="00A07209">
      <w:pPr>
        <w:numPr>
          <w:ilvl w:val="0"/>
          <w:numId w:val="351"/>
        </w:numPr>
        <w:spacing w:after="60" w:line="240" w:lineRule="auto"/>
        <w:ind w:left="1080"/>
      </w:pPr>
      <w:r>
        <w:t>When research involves the use of an investigational device, to approve the research the IRBs will also require the following:</w:t>
      </w:r>
    </w:p>
    <w:p w14:paraId="50383DAC" w14:textId="77777777" w:rsidR="00404880" w:rsidRPr="00445209" w:rsidRDefault="00404880" w:rsidP="00A07209">
      <w:pPr>
        <w:numPr>
          <w:ilvl w:val="0"/>
          <w:numId w:val="327"/>
        </w:numPr>
        <w:tabs>
          <w:tab w:val="num" w:pos="1440"/>
        </w:tabs>
        <w:spacing w:before="60" w:after="0" w:line="240" w:lineRule="auto"/>
        <w:ind w:left="1440"/>
      </w:pPr>
      <w:r>
        <w:t>Available clinical and non-clinical information on the investigational product that is adequate to support the proposed research and to make the SR/NSR determination or confirm IDE exemption (when applicable)</w:t>
      </w:r>
    </w:p>
    <w:p w14:paraId="18A2C2A8" w14:textId="77777777" w:rsidR="00404880" w:rsidRPr="00445209" w:rsidRDefault="00404880" w:rsidP="00A07209">
      <w:pPr>
        <w:numPr>
          <w:ilvl w:val="0"/>
          <w:numId w:val="327"/>
        </w:numPr>
        <w:tabs>
          <w:tab w:val="num" w:pos="1440"/>
        </w:tabs>
        <w:spacing w:before="60" w:after="0" w:line="240" w:lineRule="auto"/>
        <w:ind w:left="1440"/>
      </w:pPr>
      <w:r>
        <w:t>A valid IDE, unless the proposed use of the device fulfills the requirements for an abbreviated IDE (non-significant risk device) or meets one of the FDA exemptions from the IDE requirements</w:t>
      </w:r>
    </w:p>
    <w:p w14:paraId="37127256" w14:textId="77777777" w:rsidR="00404880" w:rsidRPr="00445209" w:rsidRDefault="00404880" w:rsidP="00A07209">
      <w:pPr>
        <w:numPr>
          <w:ilvl w:val="0"/>
          <w:numId w:val="327"/>
        </w:numPr>
        <w:tabs>
          <w:tab w:val="num" w:pos="1440"/>
        </w:tabs>
        <w:spacing w:before="60" w:after="0" w:line="240" w:lineRule="auto"/>
        <w:ind w:left="1440"/>
      </w:pPr>
      <w:r>
        <w:t>An adequate plan for monitoring data to ensure the safety of subjects and for reporting adverse events (unanticipated adverse device effects) and unanticipated problems involving risks to subjects or others</w:t>
      </w:r>
    </w:p>
    <w:p w14:paraId="59B915C6" w14:textId="77777777" w:rsidR="00404880" w:rsidRPr="00445209" w:rsidRDefault="00404880" w:rsidP="00A07209">
      <w:pPr>
        <w:numPr>
          <w:ilvl w:val="0"/>
          <w:numId w:val="327"/>
        </w:numPr>
        <w:tabs>
          <w:tab w:val="num" w:pos="1440"/>
        </w:tabs>
        <w:spacing w:before="60" w:after="0" w:line="240" w:lineRule="auto"/>
        <w:ind w:left="1440"/>
      </w:pPr>
      <w:r>
        <w:t>A plan for control, accountability, and storage of the investigational device that ensures that the product will be used only in the approved research under the direction of the approved investigator(s)</w:t>
      </w:r>
    </w:p>
    <w:p w14:paraId="2C85202D" w14:textId="77777777" w:rsidR="00404880" w:rsidRDefault="00404880" w:rsidP="00A07209">
      <w:pPr>
        <w:numPr>
          <w:ilvl w:val="0"/>
          <w:numId w:val="327"/>
        </w:numPr>
        <w:tabs>
          <w:tab w:val="num" w:pos="1440"/>
        </w:tabs>
        <w:spacing w:before="60" w:after="0" w:line="240" w:lineRule="auto"/>
        <w:ind w:left="1440"/>
      </w:pPr>
      <w:r>
        <w:lastRenderedPageBreak/>
        <w:t>For sponsor-investigators, evidence that they are knowledgeable about and will comply with the additional FDA requirements associated with conducting clinical investigations of medical devices</w:t>
      </w:r>
    </w:p>
    <w:p w14:paraId="0A30309F" w14:textId="77777777" w:rsidR="00257873" w:rsidRPr="00257873" w:rsidRDefault="00257873" w:rsidP="00257873">
      <w:pPr>
        <w:spacing w:before="60" w:after="0" w:line="240" w:lineRule="auto"/>
        <w:ind w:left="1440"/>
      </w:pPr>
    </w:p>
    <w:p w14:paraId="75C6082B" w14:textId="77777777" w:rsidR="00404880" w:rsidRDefault="00404880" w:rsidP="00A07209">
      <w:pPr>
        <w:pStyle w:val="ListParagraph"/>
        <w:numPr>
          <w:ilvl w:val="0"/>
          <w:numId w:val="347"/>
        </w:numPr>
        <w:spacing w:after="0" w:line="240" w:lineRule="auto"/>
        <w:ind w:left="360" w:hanging="360"/>
        <w:rPr>
          <w:b/>
        </w:rPr>
      </w:pPr>
      <w:r>
        <w:rPr>
          <w:b/>
        </w:rPr>
        <w:t>Significant and Non-Significant Risk Device Studies</w:t>
      </w:r>
    </w:p>
    <w:p w14:paraId="4934539B" w14:textId="77777777" w:rsidR="000B506A" w:rsidRPr="000B506A" w:rsidRDefault="000B506A" w:rsidP="000B506A">
      <w:pPr>
        <w:pStyle w:val="ListParagraph"/>
        <w:spacing w:after="0" w:line="240" w:lineRule="auto"/>
        <w:ind w:left="360"/>
        <w:rPr>
          <w:b/>
        </w:rPr>
      </w:pPr>
    </w:p>
    <w:p w14:paraId="7778300E" w14:textId="77777777" w:rsidR="00404880" w:rsidRDefault="00404880" w:rsidP="00A07209">
      <w:pPr>
        <w:numPr>
          <w:ilvl w:val="0"/>
          <w:numId w:val="341"/>
        </w:numPr>
        <w:spacing w:after="0" w:line="240" w:lineRule="auto"/>
        <w:ind w:left="1080"/>
      </w:pPr>
      <w:r>
        <w:t>Significant risk (SR) device studies pose the potential for serious risk to the health, safety, and/or welfare of research subjects. Examples include studies involving surgical sutures, cardiac pacemakers, intravascular stents, and orthopedic implants. SR studies must follow all the IDE regulations and must have a formal IDE application approved by FDA before they may proceed.</w:t>
      </w:r>
    </w:p>
    <w:p w14:paraId="58D8859E" w14:textId="77777777" w:rsidR="000B506A" w:rsidRPr="000B506A" w:rsidRDefault="000B506A" w:rsidP="000B506A">
      <w:pPr>
        <w:spacing w:after="0" w:line="240" w:lineRule="auto"/>
        <w:ind w:left="720"/>
      </w:pPr>
    </w:p>
    <w:p w14:paraId="058AD40C" w14:textId="77777777" w:rsidR="00404880" w:rsidRDefault="00404880" w:rsidP="00A07209">
      <w:pPr>
        <w:numPr>
          <w:ilvl w:val="0"/>
          <w:numId w:val="341"/>
        </w:numPr>
        <w:spacing w:after="0" w:line="240" w:lineRule="auto"/>
        <w:ind w:left="1080"/>
      </w:pPr>
      <w:r>
        <w:t>Non-significant risk (NSR) device studies do not present potential serious risks to subjects. Examples include studies involving most daily-wear contact lenses and lens solutions</w:t>
      </w:r>
      <w:r>
        <w:rPr>
          <w:color w:val="000000"/>
        </w:rPr>
        <w:t xml:space="preserve">, </w:t>
      </w:r>
      <w:r>
        <w:t xml:space="preserve">ultrasonic dental scalers, and foley catheters. NSR device studies must follow the abbreviated requirements at 21 CFR 212.2(b) but do not require an IDE application to be approved by FDA; however, they are considered to have an IDE upon IRB concurrence of the NSR determination  (see </w:t>
      </w:r>
      <w:hyperlink r:id="rId346" w:anchor="non_sig_risk" w:history="1">
        <w:r>
          <w:rPr>
            <w:rStyle w:val="Hyperlink"/>
          </w:rPr>
          <w:t>Device Advice: Nonsignificant Risk Device</w:t>
        </w:r>
      </w:hyperlink>
      <w:r>
        <w:t xml:space="preserve"> and </w:t>
      </w:r>
      <w:hyperlink r:id="rId347" w:history="1">
        <w:r>
          <w:rPr>
            <w:rStyle w:val="Hyperlink"/>
          </w:rPr>
          <w:t>Device Advice: IDE Responsibilities</w:t>
        </w:r>
      </w:hyperlink>
      <w:r>
        <w:t>).</w:t>
      </w:r>
    </w:p>
    <w:p w14:paraId="39F57513" w14:textId="77777777" w:rsidR="000B506A" w:rsidRPr="000B506A" w:rsidRDefault="000B506A" w:rsidP="000B506A">
      <w:pPr>
        <w:spacing w:after="0" w:line="240" w:lineRule="auto"/>
      </w:pPr>
    </w:p>
    <w:p w14:paraId="189933E5" w14:textId="77777777" w:rsidR="00404880" w:rsidRPr="004A05F4" w:rsidRDefault="00404880" w:rsidP="00A07209">
      <w:pPr>
        <w:numPr>
          <w:ilvl w:val="0"/>
          <w:numId w:val="341"/>
        </w:numPr>
        <w:spacing w:after="0" w:line="240" w:lineRule="auto"/>
        <w:ind w:left="1080"/>
        <w:rPr>
          <w:i/>
          <w:color w:val="000000"/>
        </w:rPr>
      </w:pPr>
      <w:r>
        <w:rPr>
          <w:color w:val="000000"/>
        </w:rPr>
        <w:t xml:space="preserve">Sponsors are responsible for making the initial risk determination for a proposed investigational device study. The IRB must review the sponsor's SR or NSR assessment and may modify the determination if the IRB disagrees. If the FDA has made the SR or NSR determination prior to IRB review, the IRB is not required to make this determination; FDA’s determination is final. </w:t>
      </w:r>
    </w:p>
    <w:p w14:paraId="48689170" w14:textId="77777777" w:rsidR="00404880" w:rsidRPr="00445209" w:rsidRDefault="00404880" w:rsidP="000B506A">
      <w:pPr>
        <w:spacing w:before="60"/>
        <w:ind w:left="1080"/>
        <w:rPr>
          <w:i/>
        </w:rPr>
      </w:pPr>
      <w:r>
        <w:rPr>
          <w:i/>
          <w:color w:val="000000"/>
        </w:rPr>
        <w:t>Note: FDA makes SR/NSR determinations when an IDE is submitted, or if asked by a sponsor, investigator, or IRB and will provide documentation of its decision upon request.</w:t>
      </w:r>
    </w:p>
    <w:p w14:paraId="6EA046D5" w14:textId="77777777" w:rsidR="00404880" w:rsidRPr="00445209" w:rsidRDefault="00404880" w:rsidP="00404880"/>
    <w:p w14:paraId="15CA4EB8" w14:textId="77777777" w:rsidR="00404880" w:rsidRPr="00087484"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IRB will make the SR or NSR determination for a study by convened review. A description of the device, reports of prior studies conducted with the device, proposed investigational plan, risk assessment, and subject selection criteria should be considered. The sponsor’s rationale for its SR or NSR determination (unless already determined by FDA) should also be reviewed. When making the SR and NSR determination, the IRB will consider the following:</w:t>
      </w:r>
    </w:p>
    <w:p w14:paraId="0D3AADB5"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The </w:t>
      </w:r>
      <w:r>
        <w:rPr>
          <w:i/>
          <w:iCs/>
          <w:color w:val="000000"/>
        </w:rPr>
        <w:t>proposed use</w:t>
      </w:r>
      <w:r>
        <w:rPr>
          <w:color w:val="000000"/>
        </w:rPr>
        <w:t xml:space="preserve"> of the device in the investigation</w:t>
      </w:r>
    </w:p>
    <w:p w14:paraId="1F26A976"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The </w:t>
      </w:r>
      <w:r>
        <w:rPr>
          <w:i/>
          <w:iCs/>
          <w:color w:val="000000"/>
        </w:rPr>
        <w:t>nature of harm</w:t>
      </w:r>
      <w:r>
        <w:rPr>
          <w:color w:val="000000"/>
        </w:rPr>
        <w:t xml:space="preserve"> that may result from use of the device in the investigation</w:t>
      </w:r>
    </w:p>
    <w:p w14:paraId="293FC9E4" w14:textId="77777777" w:rsidR="00404880" w:rsidRDefault="00404880" w:rsidP="00A07209">
      <w:pPr>
        <w:widowControl w:val="0"/>
        <w:numPr>
          <w:ilvl w:val="1"/>
          <w:numId w:val="345"/>
        </w:numPr>
        <w:autoSpaceDE w:val="0"/>
        <w:autoSpaceDN w:val="0"/>
        <w:adjustRightInd w:val="0"/>
        <w:spacing w:before="60" w:after="0" w:line="240" w:lineRule="auto"/>
        <w:ind w:left="1800"/>
        <w:rPr>
          <w:color w:val="000000"/>
        </w:rPr>
      </w:pPr>
      <w:r>
        <w:rPr>
          <w:color w:val="000000"/>
        </w:rPr>
        <w:t xml:space="preserve">Potential harms of </w:t>
      </w:r>
      <w:r>
        <w:rPr>
          <w:i/>
          <w:iCs/>
          <w:color w:val="000000"/>
        </w:rPr>
        <w:t>additional procedures</w:t>
      </w:r>
      <w:r>
        <w:rPr>
          <w:color w:val="000000"/>
        </w:rPr>
        <w:t xml:space="preserve"> that are part of the study (e.g., surgical procedure, administration of drugs)</w:t>
      </w:r>
    </w:p>
    <w:p w14:paraId="0F31083F" w14:textId="77777777" w:rsidR="000B506A" w:rsidRPr="000B506A" w:rsidRDefault="000B506A" w:rsidP="000B506A">
      <w:pPr>
        <w:widowControl w:val="0"/>
        <w:autoSpaceDE w:val="0"/>
        <w:autoSpaceDN w:val="0"/>
        <w:adjustRightInd w:val="0"/>
        <w:spacing w:before="60" w:after="0" w:line="240" w:lineRule="auto"/>
        <w:ind w:left="1800"/>
        <w:rPr>
          <w:color w:val="000000"/>
        </w:rPr>
      </w:pPr>
    </w:p>
    <w:p w14:paraId="67161940" w14:textId="77777777" w:rsidR="00404880"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SR/NSR determination must be documented in the IRB minutes, including a description of the reason(s) for the Board’s decision.</w:t>
      </w:r>
    </w:p>
    <w:p w14:paraId="55D38736" w14:textId="77777777" w:rsidR="000B506A" w:rsidRPr="000B506A" w:rsidRDefault="000B506A" w:rsidP="000B506A">
      <w:pPr>
        <w:widowControl w:val="0"/>
        <w:autoSpaceDE w:val="0"/>
        <w:autoSpaceDN w:val="0"/>
        <w:adjustRightInd w:val="0"/>
        <w:spacing w:after="0" w:line="240" w:lineRule="auto"/>
        <w:ind w:left="720"/>
        <w:rPr>
          <w:color w:val="000000"/>
        </w:rPr>
      </w:pPr>
    </w:p>
    <w:p w14:paraId="2EF71017" w14:textId="77777777" w:rsidR="00404880" w:rsidRDefault="00404880" w:rsidP="00A07209">
      <w:pPr>
        <w:widowControl w:val="0"/>
        <w:numPr>
          <w:ilvl w:val="0"/>
          <w:numId w:val="341"/>
        </w:numPr>
        <w:autoSpaceDE w:val="0"/>
        <w:autoSpaceDN w:val="0"/>
        <w:adjustRightInd w:val="0"/>
        <w:spacing w:after="0" w:line="240" w:lineRule="auto"/>
        <w:ind w:left="1080"/>
        <w:rPr>
          <w:color w:val="000000"/>
        </w:rPr>
      </w:pPr>
      <w:r>
        <w:rPr>
          <w:color w:val="000000"/>
        </w:rPr>
        <w:t>The IRB is not required to make a SR/NSR determination for studies involving devices that meet the criteria for exemption from the IDE regulations.</w:t>
      </w:r>
    </w:p>
    <w:p w14:paraId="5731044B" w14:textId="77777777" w:rsidR="000B506A" w:rsidRPr="000B506A" w:rsidRDefault="000B506A" w:rsidP="000B506A">
      <w:pPr>
        <w:widowControl w:val="0"/>
        <w:autoSpaceDE w:val="0"/>
        <w:autoSpaceDN w:val="0"/>
        <w:adjustRightInd w:val="0"/>
        <w:spacing w:after="0" w:line="240" w:lineRule="auto"/>
        <w:rPr>
          <w:color w:val="000000"/>
        </w:rPr>
      </w:pPr>
    </w:p>
    <w:p w14:paraId="0E7E8518" w14:textId="77777777" w:rsidR="00404880" w:rsidRPr="004A05F4" w:rsidRDefault="00404880" w:rsidP="00A07209">
      <w:pPr>
        <w:widowControl w:val="0"/>
        <w:numPr>
          <w:ilvl w:val="0"/>
          <w:numId w:val="341"/>
        </w:numPr>
        <w:autoSpaceDE w:val="0"/>
        <w:autoSpaceDN w:val="0"/>
        <w:adjustRightInd w:val="0"/>
        <w:spacing w:after="0" w:line="240" w:lineRule="auto"/>
        <w:ind w:left="1080"/>
        <w:rPr>
          <w:i/>
          <w:color w:val="000000"/>
        </w:rPr>
      </w:pPr>
      <w:r>
        <w:rPr>
          <w:color w:val="000000"/>
        </w:rPr>
        <w:t xml:space="preserve">For examples of significant risk and non-significant risk devices, see FDA guidance </w:t>
      </w:r>
      <w:hyperlink r:id="rId348" w:history="1">
        <w:r>
          <w:rPr>
            <w:rStyle w:val="Hyperlink"/>
          </w:rPr>
          <w:t>Significant Risk and Nonsignificant Risk Medical Device Studies</w:t>
        </w:r>
      </w:hyperlink>
      <w:r>
        <w:rPr>
          <w:color w:val="000000"/>
        </w:rPr>
        <w:t xml:space="preserve">. </w:t>
      </w:r>
    </w:p>
    <w:p w14:paraId="26C4A703" w14:textId="77777777" w:rsidR="00404880" w:rsidRPr="00A776DB" w:rsidRDefault="00404880" w:rsidP="00A776DB">
      <w:pPr>
        <w:widowControl w:val="0"/>
        <w:autoSpaceDE w:val="0"/>
        <w:autoSpaceDN w:val="0"/>
        <w:adjustRightInd w:val="0"/>
        <w:spacing w:before="60"/>
        <w:ind w:left="1080"/>
        <w:rPr>
          <w:color w:val="000000"/>
        </w:rPr>
      </w:pPr>
      <w:r>
        <w:rPr>
          <w:i/>
          <w:color w:val="000000"/>
        </w:rPr>
        <w:t>Note: Because the device’s proposed use in a study must be reviewed, inclusion of a device on either list should not be the only consideration used by the IRB in making the SR/NSR determination.</w:t>
      </w:r>
    </w:p>
    <w:p w14:paraId="6147E7E4" w14:textId="77777777" w:rsidR="00404880" w:rsidRDefault="00404880" w:rsidP="00A07209">
      <w:pPr>
        <w:pStyle w:val="ListParagraph"/>
        <w:numPr>
          <w:ilvl w:val="0"/>
          <w:numId w:val="347"/>
        </w:numPr>
        <w:spacing w:after="0" w:line="240" w:lineRule="auto"/>
        <w:ind w:left="360" w:hanging="360"/>
        <w:rPr>
          <w:b/>
        </w:rPr>
      </w:pPr>
      <w:r>
        <w:rPr>
          <w:b/>
        </w:rPr>
        <w:t>Expanded Access</w:t>
      </w:r>
    </w:p>
    <w:p w14:paraId="1E9812D0" w14:textId="77777777" w:rsidR="00A776DB" w:rsidRPr="00445209" w:rsidRDefault="00A776DB" w:rsidP="00A776DB">
      <w:pPr>
        <w:pStyle w:val="ListParagraph"/>
        <w:spacing w:after="0" w:line="240" w:lineRule="auto"/>
        <w:ind w:left="360"/>
        <w:rPr>
          <w:b/>
        </w:rPr>
      </w:pPr>
    </w:p>
    <w:p w14:paraId="4B166824" w14:textId="77777777" w:rsidR="00404880" w:rsidRDefault="00404880" w:rsidP="00A07209">
      <w:pPr>
        <w:pStyle w:val="ListParagraph"/>
        <w:numPr>
          <w:ilvl w:val="1"/>
          <w:numId w:val="347"/>
        </w:numPr>
        <w:spacing w:after="0" w:line="240" w:lineRule="auto"/>
        <w:ind w:left="1080" w:hanging="360"/>
      </w:pPr>
      <w:r>
        <w:lastRenderedPageBreak/>
        <w:t>Expanded access, sometimes called "compassionate use," is the use outside of a clinical trial of a medical product that is not legally marketed in the United States. Expanded access refers to the use of a medical device when the primary purpose is to diagnose, monitor, or treat a patient’s disease or condition rather than to obtain the kind of information about the device that is generally derived from clinical trials. Except for emergency expanded access use when there is not sufficient time to secure prospective IRB review, an investigator treating a patient with an investigational device under expanded access is responsible for obtaining IRB review and approval before treatment with the investigational device may begin.</w:t>
      </w:r>
    </w:p>
    <w:p w14:paraId="35A5F7DC" w14:textId="77777777" w:rsidR="00A8148E" w:rsidRPr="00445209" w:rsidRDefault="00A8148E" w:rsidP="00A8148E">
      <w:pPr>
        <w:pStyle w:val="ListParagraph"/>
        <w:spacing w:after="0" w:line="240" w:lineRule="auto"/>
        <w:ind w:left="1080"/>
      </w:pPr>
    </w:p>
    <w:p w14:paraId="3B22710A" w14:textId="77777777" w:rsidR="00404880" w:rsidRPr="00445209" w:rsidRDefault="00404880" w:rsidP="00A07209">
      <w:pPr>
        <w:pStyle w:val="ListParagraph"/>
        <w:numPr>
          <w:ilvl w:val="1"/>
          <w:numId w:val="347"/>
        </w:numPr>
        <w:spacing w:after="0" w:line="240" w:lineRule="auto"/>
        <w:ind w:left="1080" w:hanging="360"/>
      </w:pPr>
      <w:r>
        <w:t>Under FDA’s current regulations, there are three categories of expanded access:</w:t>
      </w:r>
    </w:p>
    <w:p w14:paraId="3357565D" w14:textId="77777777" w:rsidR="00404880" w:rsidRPr="00445209" w:rsidRDefault="00404880" w:rsidP="00A07209">
      <w:pPr>
        <w:pStyle w:val="ListParagraph"/>
        <w:numPr>
          <w:ilvl w:val="3"/>
          <w:numId w:val="460"/>
        </w:numPr>
        <w:spacing w:before="60" w:after="0" w:line="240" w:lineRule="auto"/>
        <w:ind w:left="1800"/>
        <w:contextualSpacing w:val="0"/>
      </w:pPr>
      <w:r>
        <w:t>Expanded access for individual patients, including for emergency use</w:t>
      </w:r>
    </w:p>
    <w:p w14:paraId="3898FD6F" w14:textId="77777777" w:rsidR="00404880" w:rsidRPr="00445209" w:rsidRDefault="00404880" w:rsidP="00A07209">
      <w:pPr>
        <w:pStyle w:val="ListParagraph"/>
        <w:numPr>
          <w:ilvl w:val="3"/>
          <w:numId w:val="460"/>
        </w:numPr>
        <w:spacing w:before="60" w:after="0" w:line="240" w:lineRule="auto"/>
        <w:ind w:left="1800"/>
        <w:contextualSpacing w:val="0"/>
      </w:pPr>
      <w:r>
        <w:t xml:space="preserve">Expanded access for intermediate-size patient populations (generally smaller than those typical of a treatment IDE or treatment protocol — a treatment protocol is submitted as a protocol to an existing IDE by the sponsor of the existing IDE) </w:t>
      </w:r>
    </w:p>
    <w:p w14:paraId="603F6862" w14:textId="77777777" w:rsidR="00404880" w:rsidRDefault="00404880" w:rsidP="00A07209">
      <w:pPr>
        <w:pStyle w:val="ListParagraph"/>
        <w:numPr>
          <w:ilvl w:val="3"/>
          <w:numId w:val="460"/>
        </w:numPr>
        <w:spacing w:before="60" w:after="0" w:line="240" w:lineRule="auto"/>
        <w:ind w:left="1800"/>
        <w:contextualSpacing w:val="0"/>
      </w:pPr>
      <w:r>
        <w:t>Expanded access for widespread treatment use through a treatment IDE or treatment protocol (designed for use in larger patient populations).</w:t>
      </w:r>
    </w:p>
    <w:p w14:paraId="7B94685E" w14:textId="77777777" w:rsidR="00A8148E" w:rsidRPr="00445209" w:rsidRDefault="00A8148E" w:rsidP="00A8148E">
      <w:pPr>
        <w:pStyle w:val="ListParagraph"/>
        <w:spacing w:before="60" w:after="0" w:line="240" w:lineRule="auto"/>
        <w:ind w:left="1800"/>
        <w:contextualSpacing w:val="0"/>
      </w:pPr>
    </w:p>
    <w:p w14:paraId="0774C627" w14:textId="77777777" w:rsidR="00404880" w:rsidRPr="00445209" w:rsidRDefault="00404880" w:rsidP="00A07209">
      <w:pPr>
        <w:pStyle w:val="ListParagraph"/>
        <w:numPr>
          <w:ilvl w:val="1"/>
          <w:numId w:val="347"/>
        </w:numPr>
        <w:spacing w:after="0" w:line="240" w:lineRule="auto"/>
        <w:ind w:left="1080" w:hanging="360"/>
      </w:pPr>
      <w:r>
        <w:t xml:space="preserve">For more information, see </w:t>
      </w:r>
      <w:hyperlink r:id="rId349" w:history="1">
        <w:r>
          <w:rPr>
            <w:rStyle w:val="Hyperlink"/>
          </w:rPr>
          <w:t>Device Advice: Expanded Access for Medical Devices</w:t>
        </w:r>
      </w:hyperlink>
      <w:r>
        <w:t xml:space="preserve"> or contact the Office of Responsible Research Practices.</w:t>
      </w:r>
      <w:r>
        <w:br/>
      </w:r>
    </w:p>
    <w:p w14:paraId="25E27E24" w14:textId="77777777" w:rsidR="00404880" w:rsidRPr="00A8148E" w:rsidRDefault="00404880" w:rsidP="00A07209">
      <w:pPr>
        <w:pStyle w:val="ListParagraph"/>
        <w:numPr>
          <w:ilvl w:val="0"/>
          <w:numId w:val="347"/>
        </w:numPr>
        <w:spacing w:after="0" w:line="240" w:lineRule="auto"/>
        <w:ind w:left="360" w:hanging="360"/>
      </w:pPr>
      <w:r>
        <w:rPr>
          <w:b/>
        </w:rPr>
        <w:t>Investigational Device Control, Accountability, and Record Retention</w:t>
      </w:r>
    </w:p>
    <w:p w14:paraId="7D0DF8DA" w14:textId="77777777" w:rsidR="00A8148E" w:rsidRPr="00A8148E" w:rsidRDefault="00A8148E" w:rsidP="00A8148E">
      <w:pPr>
        <w:pStyle w:val="ListParagraph"/>
        <w:spacing w:after="0" w:line="240" w:lineRule="auto"/>
        <w:ind w:left="360"/>
      </w:pPr>
    </w:p>
    <w:p w14:paraId="1C10B1DE" w14:textId="77777777" w:rsidR="00404880" w:rsidRDefault="00404880" w:rsidP="00A07209">
      <w:pPr>
        <w:numPr>
          <w:ilvl w:val="0"/>
          <w:numId w:val="352"/>
        </w:numPr>
        <w:spacing w:after="0" w:line="240" w:lineRule="auto"/>
        <w:ind w:left="1080"/>
      </w:pPr>
      <w:r>
        <w:t>Investigational devices used in Ohio State research must be appropriately controlled and stored in compliance with IRB and FDA requirements and applicable university policies. Such requirements include processes to ensure that investigational products are manufactured, handled, and stored in compliance with applicable good manufacturing practices; inventory and accountability records are maintained for investigational device receipt, dispensing, and disposition; and investigational devices are used only in accordance with available information regarding their design, physical and chemical composition, performance, safety, biocompatibility, labeling, and the approved protocol.</w:t>
      </w:r>
    </w:p>
    <w:p w14:paraId="47845010" w14:textId="77777777" w:rsidR="00A8148E" w:rsidRPr="00A8148E" w:rsidRDefault="00A8148E" w:rsidP="00A8148E">
      <w:pPr>
        <w:spacing w:after="0" w:line="240" w:lineRule="auto"/>
        <w:ind w:left="792"/>
      </w:pPr>
    </w:p>
    <w:p w14:paraId="3A005B6A" w14:textId="77777777" w:rsidR="00404880" w:rsidRDefault="00404880" w:rsidP="00A07209">
      <w:pPr>
        <w:numPr>
          <w:ilvl w:val="0"/>
          <w:numId w:val="352"/>
        </w:numPr>
        <w:spacing w:after="0" w:line="240" w:lineRule="auto"/>
        <w:ind w:left="1080"/>
      </w:pPr>
      <w:r>
        <w:t>Investigators must provide a plan to ensure that investigational devices will be used according to the IRB-approved protocol, under the direction of the approved investigator(s), and in compliance with FDA and university requirements. For more information describing the responsibilities of investigators conducting research with investigational devices, see Attachment 3.</w:t>
      </w:r>
    </w:p>
    <w:p w14:paraId="3ABFD709" w14:textId="77777777" w:rsidR="00A8148E" w:rsidRPr="00A8148E" w:rsidRDefault="00A8148E" w:rsidP="00A8148E">
      <w:pPr>
        <w:spacing w:after="0" w:line="240" w:lineRule="auto"/>
        <w:rPr>
          <w:rStyle w:val="Strong"/>
          <w:b w:val="0"/>
        </w:rPr>
      </w:pPr>
    </w:p>
    <w:p w14:paraId="6CA952D4" w14:textId="77777777" w:rsidR="00404880" w:rsidRDefault="00404880" w:rsidP="00A07209">
      <w:pPr>
        <w:pStyle w:val="ListParagraph"/>
        <w:numPr>
          <w:ilvl w:val="0"/>
          <w:numId w:val="347"/>
        </w:numPr>
        <w:spacing w:after="0" w:line="240" w:lineRule="auto"/>
        <w:ind w:left="360" w:hanging="360"/>
        <w:rPr>
          <w:b/>
        </w:rPr>
      </w:pPr>
      <w:bookmarkStart w:id="351" w:name="Section9"/>
      <w:bookmarkEnd w:id="351"/>
      <w:r>
        <w:rPr>
          <w:b/>
        </w:rPr>
        <w:t>Additional Responsibilities of Sponsor-Investigators</w:t>
      </w:r>
    </w:p>
    <w:p w14:paraId="36DB71B2" w14:textId="77777777" w:rsidR="00A8148E" w:rsidRPr="00A8148E" w:rsidRDefault="00A8148E" w:rsidP="00A8148E">
      <w:pPr>
        <w:pStyle w:val="ListParagraph"/>
        <w:spacing w:after="0" w:line="240" w:lineRule="auto"/>
        <w:ind w:left="360"/>
        <w:rPr>
          <w:b/>
        </w:rPr>
      </w:pPr>
    </w:p>
    <w:p w14:paraId="1BA59C0C" w14:textId="77777777" w:rsidR="00404880" w:rsidRDefault="00404880" w:rsidP="00A07209">
      <w:pPr>
        <w:numPr>
          <w:ilvl w:val="0"/>
          <w:numId w:val="353"/>
        </w:numPr>
        <w:spacing w:after="0" w:line="240" w:lineRule="auto"/>
        <w:ind w:left="1080"/>
      </w:pPr>
      <w:r>
        <w:t xml:space="preserve">Investigators obtaining an IDE to initiate and conduct research must also fulfill the federal requirements of sponsors. These requirements include (but are not limited to) additional FDA reporting (e.g., annual progress reports), data monitoring, and recordkeeping obligations. Institutional assistance for “sponsor-investigators” conducting research with investigational devices is also available, as described below. </w:t>
      </w:r>
    </w:p>
    <w:p w14:paraId="3B603ECB" w14:textId="77777777" w:rsidR="00A8148E" w:rsidRPr="00A8148E" w:rsidRDefault="00A8148E" w:rsidP="00A8148E">
      <w:pPr>
        <w:spacing w:after="0" w:line="240" w:lineRule="auto"/>
        <w:ind w:left="792"/>
      </w:pPr>
    </w:p>
    <w:p w14:paraId="7655C1B1" w14:textId="77777777" w:rsidR="00404880" w:rsidRPr="00C97748" w:rsidRDefault="00404880" w:rsidP="00A8148E">
      <w:pPr>
        <w:ind w:left="1080"/>
      </w:pPr>
      <w:r>
        <w:t xml:space="preserve">Applicable IDE responsibilities are described at the following links: </w:t>
      </w:r>
    </w:p>
    <w:p w14:paraId="52F49C3C" w14:textId="77777777" w:rsidR="00404880" w:rsidRDefault="00404880" w:rsidP="00A07209">
      <w:pPr>
        <w:numPr>
          <w:ilvl w:val="3"/>
          <w:numId w:val="353"/>
        </w:numPr>
        <w:spacing w:before="60" w:after="0" w:line="240" w:lineRule="auto"/>
        <w:ind w:left="1800"/>
      </w:pPr>
      <w:hyperlink r:id="rId350" w:anchor="resofspofor" w:history="1">
        <w:r>
          <w:rPr>
            <w:rStyle w:val="Hyperlink"/>
          </w:rPr>
          <w:t>Device Advice: Responsibilities of Sponsors for Significant Risk Device Studies</w:t>
        </w:r>
      </w:hyperlink>
    </w:p>
    <w:p w14:paraId="0D1A8A3C" w14:textId="77777777" w:rsidR="00404880" w:rsidRDefault="00404880" w:rsidP="00A07209">
      <w:pPr>
        <w:numPr>
          <w:ilvl w:val="3"/>
          <w:numId w:val="353"/>
        </w:numPr>
        <w:spacing w:before="60" w:after="0" w:line="240" w:lineRule="auto"/>
        <w:ind w:left="1800"/>
      </w:pPr>
      <w:hyperlink r:id="rId351" w:anchor="resofinvforsig" w:history="1">
        <w:r>
          <w:rPr>
            <w:rStyle w:val="Hyperlink"/>
          </w:rPr>
          <w:t>Device Advice: Responsibilities of Investigators for Significant Risk Device Studies</w:t>
        </w:r>
      </w:hyperlink>
      <w:r>
        <w:t xml:space="preserve"> </w:t>
      </w:r>
    </w:p>
    <w:p w14:paraId="4E35CA81" w14:textId="77777777" w:rsidR="00A8148E" w:rsidRPr="00A8148E" w:rsidRDefault="00A8148E" w:rsidP="00A8148E">
      <w:pPr>
        <w:spacing w:before="60" w:after="0" w:line="240" w:lineRule="auto"/>
        <w:ind w:left="1800"/>
      </w:pPr>
    </w:p>
    <w:p w14:paraId="00A6A53D" w14:textId="77777777" w:rsidR="00404880" w:rsidRDefault="00404880" w:rsidP="00A07209">
      <w:pPr>
        <w:numPr>
          <w:ilvl w:val="0"/>
          <w:numId w:val="353"/>
        </w:numPr>
        <w:spacing w:after="0" w:line="240" w:lineRule="auto"/>
        <w:ind w:left="1080"/>
      </w:pPr>
      <w:r>
        <w:t xml:space="preserve">When an Ohio State sponsor-investigator obtains an IDE to perform human subjects research, representatives from the Clinical Trials Research Office (CTMO), Center for Clinical and Translational Science (CCTS), or the Comprehensive Cancer Center Clinical Trials Office (CTO) are available to meet with the PI (and research staff, as applicable) to review the FDA responsibilities of investigators and sponsors. The </w:t>
      </w:r>
      <w:r>
        <w:lastRenderedPageBreak/>
        <w:t>groups work with the IRBs and Office of Research Compliance to assure investigator and institutional compliance with IRB and FDA requirements. The groups will assist investigators with information on FDA requirements, submission of required FDA reporting, and device accountability and recordkeeping procedures.</w:t>
      </w:r>
    </w:p>
    <w:p w14:paraId="141DB7A1" w14:textId="77777777" w:rsidR="00A8148E" w:rsidRPr="00A8148E" w:rsidRDefault="00A8148E" w:rsidP="00A8148E">
      <w:pPr>
        <w:spacing w:after="0" w:line="240" w:lineRule="auto"/>
        <w:ind w:left="1080"/>
      </w:pPr>
    </w:p>
    <w:p w14:paraId="531A643E" w14:textId="77777777" w:rsidR="00404880" w:rsidRDefault="00404880" w:rsidP="00A07209">
      <w:pPr>
        <w:numPr>
          <w:ilvl w:val="0"/>
          <w:numId w:val="353"/>
        </w:numPr>
        <w:spacing w:after="0" w:line="240" w:lineRule="auto"/>
        <w:ind w:left="1080"/>
      </w:pPr>
      <w:r>
        <w:t>Sponsor-investigators may be referred to one of the above-mentioned groups for IDE assistance, at the discretion of the IRB.</w:t>
      </w:r>
    </w:p>
    <w:p w14:paraId="3684922D" w14:textId="77777777" w:rsidR="00A8148E" w:rsidRPr="00A8148E" w:rsidRDefault="00A8148E" w:rsidP="00A8148E">
      <w:pPr>
        <w:spacing w:after="0" w:line="240" w:lineRule="auto"/>
      </w:pPr>
    </w:p>
    <w:p w14:paraId="16E89CDF" w14:textId="77777777" w:rsidR="00404880" w:rsidRPr="00445209" w:rsidRDefault="00404880" w:rsidP="00A07209">
      <w:pPr>
        <w:numPr>
          <w:ilvl w:val="0"/>
          <w:numId w:val="353"/>
        </w:numPr>
        <w:spacing w:after="0" w:line="240" w:lineRule="auto"/>
        <w:ind w:left="1080"/>
      </w:pPr>
      <w:r>
        <w:t>In addition to FDA regulations for the protection of human subjects (21 CFR Parts 50, and 56) and use of investigational devices (21 CFR 812), additional regulations may apply to sponsor-investigators, depending on the nature of the research. These regulations include:</w:t>
      </w:r>
    </w:p>
    <w:p w14:paraId="74D6C64A" w14:textId="77777777" w:rsidR="00404880" w:rsidRPr="00445209" w:rsidRDefault="00404880" w:rsidP="00A07209">
      <w:pPr>
        <w:numPr>
          <w:ilvl w:val="3"/>
          <w:numId w:val="328"/>
        </w:numPr>
        <w:tabs>
          <w:tab w:val="clear" w:pos="3168"/>
        </w:tabs>
        <w:spacing w:before="60" w:after="60" w:line="240" w:lineRule="auto"/>
        <w:ind w:left="1800"/>
      </w:pPr>
      <w:hyperlink r:id="rId352" w:history="1">
        <w:r>
          <w:rPr>
            <w:rStyle w:val="Hyperlink"/>
          </w:rPr>
          <w:t>Electronic Records; Electronic Signatures (21 CFR 11)</w:t>
        </w:r>
      </w:hyperlink>
    </w:p>
    <w:p w14:paraId="6E81F652"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3" w:history="1">
        <w:r>
          <w:rPr>
            <w:rStyle w:val="Hyperlink"/>
          </w:rPr>
          <w:t>Financial Disclosure by Clinical Investigators (21 CFR 54)</w:t>
        </w:r>
      </w:hyperlink>
    </w:p>
    <w:p w14:paraId="0AD3A84B"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4" w:history="1">
        <w:r>
          <w:rPr>
            <w:rStyle w:val="Hyperlink"/>
          </w:rPr>
          <w:t>Medical Device Reporting (21 CFR 803)</w:t>
        </w:r>
      </w:hyperlink>
      <w:r>
        <w:t xml:space="preserve"> </w:t>
      </w:r>
    </w:p>
    <w:p w14:paraId="74EC0C80"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5" w:history="1">
        <w:r>
          <w:rPr>
            <w:rStyle w:val="Hyperlink"/>
          </w:rPr>
          <w:t>Establishment Registration and Device Listing for Manufacturers and Initial Importers of Devices (21 CFR 807)</w:t>
        </w:r>
      </w:hyperlink>
    </w:p>
    <w:p w14:paraId="1EA880BD"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6" w:history="1">
        <w:r>
          <w:rPr>
            <w:rStyle w:val="Hyperlink"/>
          </w:rPr>
          <w:t>In Vitro Diagnostic Products for Human Use (21 CFR 809)</w:t>
        </w:r>
      </w:hyperlink>
    </w:p>
    <w:p w14:paraId="415F9E6A"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7" w:history="1">
        <w:r>
          <w:rPr>
            <w:rStyle w:val="Hyperlink"/>
          </w:rPr>
          <w:t>Pre-market Approval of Medical Devices (21 CFR 814)</w:t>
        </w:r>
      </w:hyperlink>
    </w:p>
    <w:p w14:paraId="0C4D147D" w14:textId="77777777" w:rsidR="00404880" w:rsidRPr="00445209" w:rsidRDefault="00404880" w:rsidP="00A07209">
      <w:pPr>
        <w:numPr>
          <w:ilvl w:val="3"/>
          <w:numId w:val="328"/>
        </w:numPr>
        <w:tabs>
          <w:tab w:val="clear" w:pos="3168"/>
          <w:tab w:val="num" w:pos="1440"/>
        </w:tabs>
        <w:spacing w:before="60" w:after="60" w:line="240" w:lineRule="auto"/>
        <w:ind w:left="1800"/>
      </w:pPr>
      <w:hyperlink r:id="rId358" w:history="1">
        <w:r>
          <w:rPr>
            <w:rStyle w:val="Hyperlink"/>
          </w:rPr>
          <w:t>Medical Devices: Quality System Regulation (21 CFR 820)</w:t>
        </w:r>
      </w:hyperlink>
    </w:p>
    <w:p w14:paraId="0417B9EF" w14:textId="77777777" w:rsidR="00404880" w:rsidRPr="00445209" w:rsidRDefault="00404880" w:rsidP="00A07209">
      <w:pPr>
        <w:numPr>
          <w:ilvl w:val="3"/>
          <w:numId w:val="328"/>
        </w:numPr>
        <w:tabs>
          <w:tab w:val="clear" w:pos="3168"/>
          <w:tab w:val="num" w:pos="1440"/>
        </w:tabs>
        <w:spacing w:before="60" w:after="0" w:line="240" w:lineRule="auto"/>
        <w:ind w:left="1800"/>
        <w:rPr>
          <w:rStyle w:val="Hyperlink"/>
          <w:color w:val="auto"/>
          <w:u w:val="none"/>
        </w:rPr>
      </w:pPr>
      <w:hyperlink r:id="rId359" w:history="1">
        <w:r>
          <w:rPr>
            <w:rStyle w:val="Hyperlink"/>
          </w:rPr>
          <w:t>Medical Device Classification Procedures (21 CFR 860)</w:t>
        </w:r>
      </w:hyperlink>
    </w:p>
    <w:p w14:paraId="1D44B3FC" w14:textId="77777777" w:rsidR="00404880" w:rsidRDefault="00404880" w:rsidP="00A07209">
      <w:pPr>
        <w:pStyle w:val="ListParagraph"/>
        <w:numPr>
          <w:ilvl w:val="3"/>
          <w:numId w:val="328"/>
        </w:numPr>
        <w:tabs>
          <w:tab w:val="clear" w:pos="3168"/>
          <w:tab w:val="num" w:pos="2808"/>
        </w:tabs>
        <w:spacing w:before="60" w:after="0" w:line="240" w:lineRule="auto"/>
        <w:ind w:left="1800"/>
        <w:contextualSpacing w:val="0"/>
        <w:rPr>
          <w:rStyle w:val="Hyperlink"/>
          <w:color w:val="auto"/>
          <w:u w:val="none"/>
        </w:rPr>
      </w:pPr>
      <w:hyperlink r:id="rId360" w:history="1">
        <w:r>
          <w:rPr>
            <w:rStyle w:val="Hyperlink"/>
          </w:rPr>
          <w:t>Laboratory Requirements (42 CFR 493)</w:t>
        </w:r>
      </w:hyperlink>
      <w:r>
        <w:rPr>
          <w:rStyle w:val="Hyperlink"/>
          <w:color w:val="auto"/>
          <w:u w:val="none"/>
        </w:rPr>
        <w:t xml:space="preserve">. </w:t>
      </w:r>
    </w:p>
    <w:p w14:paraId="6FB979D3" w14:textId="77777777" w:rsidR="00A8148E" w:rsidRPr="00A8148E" w:rsidRDefault="00A8148E" w:rsidP="00A8148E">
      <w:pPr>
        <w:pStyle w:val="ListParagraph"/>
        <w:spacing w:before="60" w:after="0" w:line="240" w:lineRule="auto"/>
        <w:ind w:left="1800"/>
        <w:contextualSpacing w:val="0"/>
      </w:pPr>
    </w:p>
    <w:p w14:paraId="39838518" w14:textId="77777777" w:rsidR="00404880" w:rsidRDefault="00404880" w:rsidP="00A07209">
      <w:pPr>
        <w:numPr>
          <w:ilvl w:val="0"/>
          <w:numId w:val="354"/>
        </w:numPr>
        <w:spacing w:after="0" w:line="240" w:lineRule="auto"/>
        <w:ind w:left="1080"/>
      </w:pPr>
      <w:r>
        <w:t xml:space="preserve">For more information describing the FDA requirements for investigators and sponsors when research is initiated and conducted with investigational devices, see </w:t>
      </w:r>
      <w:hyperlink r:id="rId361" w:history="1">
        <w:r>
          <w:rPr>
            <w:rStyle w:val="Hyperlink"/>
          </w:rPr>
          <w:t>Device Advice: IDE Responsibilities</w:t>
        </w:r>
      </w:hyperlink>
      <w:r>
        <w:t xml:space="preserve">. Additional guidance describing the international standards for good clinical practices in human subjects research (“ICH/GCP”) is available at </w:t>
      </w:r>
      <w:hyperlink r:id="rId362" w:history="1">
        <w:r>
          <w:rPr>
            <w:rStyle w:val="Hyperlink"/>
          </w:rPr>
          <w:t>E6(R2) Good Clinical Practice: Integrated Addendum to ICH E6(R1)</w:t>
        </w:r>
      </w:hyperlink>
      <w:r>
        <w:rPr>
          <w:rStyle w:val="Hyperlink"/>
          <w:u w:val="none"/>
        </w:rPr>
        <w:t xml:space="preserve"> </w:t>
      </w:r>
      <w:r>
        <w:rPr>
          <w:rStyle w:val="Hyperlink"/>
          <w:color w:val="auto"/>
          <w:u w:val="none"/>
        </w:rPr>
        <w:t xml:space="preserve">and in HRPP policy </w:t>
      </w:r>
      <w:r>
        <w:t>[</w:t>
      </w:r>
      <w:hyperlink r:id="rId363" w:history="1">
        <w:r>
          <w:rPr>
            <w:rStyle w:val="Hyperlink"/>
          </w:rPr>
          <w:t>Additional Requirements for Clinical Research: ICH-GCP</w:t>
        </w:r>
      </w:hyperlink>
      <w:r>
        <w:t>].</w:t>
      </w:r>
    </w:p>
    <w:p w14:paraId="0595C3DD" w14:textId="77777777" w:rsidR="00A8148E" w:rsidRPr="00A8148E" w:rsidRDefault="00A8148E" w:rsidP="00A8148E">
      <w:pPr>
        <w:spacing w:after="0" w:line="240" w:lineRule="auto"/>
        <w:ind w:left="720"/>
      </w:pPr>
    </w:p>
    <w:p w14:paraId="5D87961A" w14:textId="77777777" w:rsidR="00404880" w:rsidRDefault="00404880" w:rsidP="00A07209">
      <w:pPr>
        <w:numPr>
          <w:ilvl w:val="0"/>
          <w:numId w:val="347"/>
        </w:numPr>
        <w:spacing w:after="0" w:line="240" w:lineRule="auto"/>
        <w:ind w:left="360" w:hanging="360"/>
      </w:pPr>
      <w:bookmarkStart w:id="352" w:name="Section10"/>
      <w:bookmarkEnd w:id="352"/>
      <w:r>
        <w:rPr>
          <w:b/>
        </w:rPr>
        <w:t>Humanitarian Use Devices</w:t>
      </w:r>
    </w:p>
    <w:p w14:paraId="359652B7" w14:textId="77777777" w:rsidR="00A8148E" w:rsidRPr="00A8148E" w:rsidRDefault="00A8148E" w:rsidP="00A8148E">
      <w:pPr>
        <w:spacing w:after="0" w:line="240" w:lineRule="auto"/>
        <w:ind w:left="360"/>
      </w:pPr>
    </w:p>
    <w:p w14:paraId="62F00634" w14:textId="77777777" w:rsidR="00404880" w:rsidRDefault="00404880" w:rsidP="00A07209">
      <w:pPr>
        <w:numPr>
          <w:ilvl w:val="0"/>
          <w:numId w:val="343"/>
        </w:numPr>
        <w:spacing w:after="0" w:line="240" w:lineRule="auto"/>
      </w:pPr>
      <w:r>
        <w:t xml:space="preserve">An approved humanitarian device exemption (HDE), containing sufficient information for FDA to determine that the probable benefits outweigh the risks of a device’s use, is required for marketing a humanitarian use device. (Note: Results from scientifically valid clinical investigations demonstrating efficacy are not required for HDEs.)  For a list of approved HDEs, see </w:t>
      </w:r>
      <w:hyperlink r:id="rId364" w:anchor="1" w:history="1">
        <w:r>
          <w:rPr>
            <w:rStyle w:val="Hyperlink"/>
          </w:rPr>
          <w:t>Approved HDE Summaries of Safety and Possible Benefit</w:t>
        </w:r>
      </w:hyperlink>
      <w:r>
        <w:t>.</w:t>
      </w:r>
    </w:p>
    <w:p w14:paraId="2D2ADCEC" w14:textId="77777777" w:rsidR="00A8148E" w:rsidRPr="00A8148E" w:rsidRDefault="00A8148E" w:rsidP="00A8148E">
      <w:pPr>
        <w:spacing w:after="0" w:line="240" w:lineRule="auto"/>
        <w:ind w:left="720"/>
      </w:pPr>
    </w:p>
    <w:p w14:paraId="606A1004" w14:textId="77777777" w:rsidR="00404880" w:rsidRDefault="00404880" w:rsidP="00A07209">
      <w:pPr>
        <w:numPr>
          <w:ilvl w:val="0"/>
          <w:numId w:val="343"/>
        </w:numPr>
        <w:spacing w:after="0" w:line="240" w:lineRule="auto"/>
      </w:pPr>
      <w:r>
        <w:t xml:space="preserve">Humanitarian use devices are </w:t>
      </w:r>
      <w:r>
        <w:rPr>
          <w:i/>
        </w:rPr>
        <w:t>marketed</w:t>
      </w:r>
      <w:r>
        <w:t xml:space="preserve"> products; therefore, their use does not constitute research when used according to the approved labeling in the course of clinical practice; however, IRB approval is required before the HUD is administered. FDA regulations require that initial IRB review and approval of the HUD occur at a convened meeting. Continuing review must be performed at least annually but may be conducted by expedited review procedures.</w:t>
      </w:r>
    </w:p>
    <w:p w14:paraId="5FF551D4" w14:textId="77777777" w:rsidR="00A8148E" w:rsidRPr="00A8148E" w:rsidRDefault="00A8148E" w:rsidP="00A8148E">
      <w:pPr>
        <w:spacing w:after="0" w:line="240" w:lineRule="auto"/>
      </w:pPr>
    </w:p>
    <w:p w14:paraId="61510CD4" w14:textId="77777777" w:rsidR="00404880" w:rsidRPr="00445209" w:rsidRDefault="00404880" w:rsidP="00A07209">
      <w:pPr>
        <w:numPr>
          <w:ilvl w:val="0"/>
          <w:numId w:val="343"/>
        </w:numPr>
        <w:spacing w:after="60" w:line="240" w:lineRule="auto"/>
      </w:pPr>
      <w:r>
        <w:t>IRB review of HUDs should consider the criteria for approval (as applicable) described by regulations and HRPP policy [</w:t>
      </w:r>
      <w:hyperlink r:id="rId365" w:history="1">
        <w:r>
          <w:rPr>
            <w:rStyle w:val="Hyperlink"/>
          </w:rPr>
          <w:t>Review of Research by the Convened IRB</w:t>
        </w:r>
      </w:hyperlink>
      <w:r>
        <w:t>]. The following materials should be reviewed:</w:t>
      </w:r>
    </w:p>
    <w:p w14:paraId="7D66008C" w14:textId="77777777" w:rsidR="00404880" w:rsidRPr="00445209" w:rsidRDefault="00404880" w:rsidP="00A07209">
      <w:pPr>
        <w:numPr>
          <w:ilvl w:val="0"/>
          <w:numId w:val="344"/>
        </w:numPr>
        <w:tabs>
          <w:tab w:val="clear" w:pos="1080"/>
          <w:tab w:val="num" w:pos="1440"/>
        </w:tabs>
        <w:spacing w:after="60" w:line="240" w:lineRule="auto"/>
        <w:ind w:left="1800"/>
      </w:pPr>
      <w:r>
        <w:t>HDE approval order</w:t>
      </w:r>
    </w:p>
    <w:p w14:paraId="4D2FEB67" w14:textId="77777777" w:rsidR="00404880" w:rsidRPr="00445209" w:rsidRDefault="00404880" w:rsidP="00A07209">
      <w:pPr>
        <w:numPr>
          <w:ilvl w:val="0"/>
          <w:numId w:val="344"/>
        </w:numPr>
        <w:tabs>
          <w:tab w:val="clear" w:pos="1080"/>
          <w:tab w:val="num" w:pos="1440"/>
        </w:tabs>
        <w:spacing w:after="60" w:line="240" w:lineRule="auto"/>
        <w:ind w:left="1800"/>
      </w:pPr>
      <w:r>
        <w:t>Description of the device</w:t>
      </w:r>
    </w:p>
    <w:p w14:paraId="4266A1AA" w14:textId="77777777" w:rsidR="00404880" w:rsidRPr="00445209" w:rsidRDefault="00404880" w:rsidP="00A07209">
      <w:pPr>
        <w:numPr>
          <w:ilvl w:val="0"/>
          <w:numId w:val="344"/>
        </w:numPr>
        <w:tabs>
          <w:tab w:val="clear" w:pos="1080"/>
          <w:tab w:val="num" w:pos="1440"/>
        </w:tabs>
        <w:spacing w:after="60" w:line="240" w:lineRule="auto"/>
        <w:ind w:left="1800"/>
      </w:pPr>
      <w:r>
        <w:t>Product labeling</w:t>
      </w:r>
    </w:p>
    <w:p w14:paraId="7654C907" w14:textId="77777777" w:rsidR="00404880" w:rsidRPr="00445209" w:rsidRDefault="00404880" w:rsidP="00A07209">
      <w:pPr>
        <w:numPr>
          <w:ilvl w:val="0"/>
          <w:numId w:val="344"/>
        </w:numPr>
        <w:tabs>
          <w:tab w:val="clear" w:pos="1080"/>
          <w:tab w:val="num" w:pos="1440"/>
        </w:tabs>
        <w:spacing w:after="60" w:line="240" w:lineRule="auto"/>
        <w:ind w:left="1800"/>
      </w:pPr>
      <w:r>
        <w:t>Patient information packet</w:t>
      </w:r>
    </w:p>
    <w:p w14:paraId="2DB0FC51" w14:textId="77777777" w:rsidR="00404880" w:rsidRPr="00445209" w:rsidRDefault="00404880" w:rsidP="00A07209">
      <w:pPr>
        <w:numPr>
          <w:ilvl w:val="0"/>
          <w:numId w:val="344"/>
        </w:numPr>
        <w:tabs>
          <w:tab w:val="clear" w:pos="1080"/>
          <w:tab w:val="num" w:pos="1440"/>
        </w:tabs>
        <w:spacing w:after="60" w:line="240" w:lineRule="auto"/>
        <w:ind w:left="1800"/>
      </w:pPr>
      <w:r>
        <w:t>Consent form</w:t>
      </w:r>
    </w:p>
    <w:p w14:paraId="79CC831E" w14:textId="77777777" w:rsidR="00404880" w:rsidRPr="00445209" w:rsidRDefault="00404880" w:rsidP="00A07209">
      <w:pPr>
        <w:numPr>
          <w:ilvl w:val="0"/>
          <w:numId w:val="344"/>
        </w:numPr>
        <w:tabs>
          <w:tab w:val="clear" w:pos="1080"/>
          <w:tab w:val="num" w:pos="1440"/>
        </w:tabs>
        <w:spacing w:after="120" w:line="240" w:lineRule="auto"/>
        <w:ind w:left="1800"/>
      </w:pPr>
      <w:r>
        <w:lastRenderedPageBreak/>
        <w:t>Summary of the proposed use of the device, including a description of any screening procedures, HUD procedure, and any follow-up visits, tests, or procedures for patients</w:t>
      </w:r>
    </w:p>
    <w:p w14:paraId="35CF11FB" w14:textId="77777777" w:rsidR="00A8148E" w:rsidRPr="00A8148E" w:rsidRDefault="00404880" w:rsidP="00A8148E">
      <w:pPr>
        <w:ind w:left="1080"/>
        <w:rPr>
          <w:i/>
        </w:rPr>
      </w:pPr>
      <w:r>
        <w:t xml:space="preserve">Patient information packets are available for most HUDs and generally contain a description of the potential risks and benefits of the HUD and any procedures associated with its use. The HDE approval order, product labeling, and patient information packet for an HUD can be obtained from the FDA website; see </w:t>
      </w:r>
      <w:hyperlink r:id="rId366" w:anchor="1" w:history="1">
        <w:r>
          <w:rPr>
            <w:rStyle w:val="Hyperlink"/>
          </w:rPr>
          <w:t>Approved HDE Summaries of Safety and Possible Benefit</w:t>
        </w:r>
      </w:hyperlink>
      <w:r>
        <w:t xml:space="preserve">. </w:t>
      </w:r>
    </w:p>
    <w:p w14:paraId="63F19C3A" w14:textId="77777777" w:rsidR="00404880" w:rsidRDefault="00404880" w:rsidP="00A07209">
      <w:pPr>
        <w:numPr>
          <w:ilvl w:val="0"/>
          <w:numId w:val="343"/>
        </w:numPr>
        <w:spacing w:after="0" w:line="240" w:lineRule="auto"/>
      </w:pPr>
      <w:r>
        <w:t>Informed consent should be obtained orally or in writing before HUD use. Minimally, the consent process should contain a discussion of the potential risks and benefits of the HUD, description of the procedures associated with its use, and a statement that the device is a “humanitarian use device” that has not undergone clinical testing for effectiveness. Use of the HUD should not be referred to as “research” or a “clinical investigation.”  The IRBs will approve the consent process, its content, and any associated documents (i.e., consent form, information packet, etc.) that will be distributed to recipients of the HUD. HIPAA research authorization is not also required, unless the HUD is used as part of a research study.</w:t>
      </w:r>
    </w:p>
    <w:p w14:paraId="4703594D" w14:textId="77777777" w:rsidR="00A8148E" w:rsidRPr="00A8148E" w:rsidRDefault="00A8148E" w:rsidP="00A8148E">
      <w:pPr>
        <w:spacing w:after="0" w:line="240" w:lineRule="auto"/>
        <w:ind w:left="1080"/>
      </w:pPr>
    </w:p>
    <w:p w14:paraId="6685BEF4" w14:textId="77777777" w:rsidR="00404880" w:rsidRDefault="00404880" w:rsidP="00A07209">
      <w:pPr>
        <w:numPr>
          <w:ilvl w:val="0"/>
          <w:numId w:val="343"/>
        </w:numPr>
        <w:spacing w:after="0" w:line="240" w:lineRule="auto"/>
      </w:pPr>
      <w:r>
        <w:t>FDA regulations require the institution and/or device manufacturer to report to FDA and the IRB deaths or serious injuries that may have been caused by an HUD or malfunctions that would “be likely to cause or contribute to a death or serious injury if the malfunction were to recur.”</w:t>
      </w:r>
    </w:p>
    <w:p w14:paraId="33FB8AA1" w14:textId="77777777" w:rsidR="00A8148E" w:rsidRPr="00A8148E" w:rsidRDefault="00A8148E" w:rsidP="00A8148E">
      <w:pPr>
        <w:spacing w:after="0" w:line="240" w:lineRule="auto"/>
      </w:pPr>
    </w:p>
    <w:p w14:paraId="54022338" w14:textId="77777777" w:rsidR="00404880" w:rsidRDefault="00404880" w:rsidP="00A07209">
      <w:pPr>
        <w:numPr>
          <w:ilvl w:val="0"/>
          <w:numId w:val="343"/>
        </w:numPr>
        <w:spacing w:after="0" w:line="240" w:lineRule="auto"/>
      </w:pPr>
      <w:r>
        <w:t xml:space="preserve">Investigational use of an HUD (i.e., to evaluate the device’s safety and effectiveness) must comply with regulations governing research use of medical devices, as described above, including requirements for an approved IDE in addition to IRB approval when the HUD is a significant risk device. For more information on HUDs, including investigational and emergency uses, see FDA guidance </w:t>
      </w:r>
      <w:hyperlink r:id="rId367" w:history="1">
        <w:r>
          <w:rPr>
            <w:rStyle w:val="Hyperlink"/>
          </w:rPr>
          <w:t>Humanitarian Device Exemption (HDE) Program</w:t>
        </w:r>
      </w:hyperlink>
      <w:r>
        <w:t>.</w:t>
      </w:r>
    </w:p>
    <w:p w14:paraId="710E0849" w14:textId="77777777" w:rsidR="00A8148E" w:rsidRPr="00A8148E" w:rsidRDefault="00A8148E" w:rsidP="00A8148E">
      <w:pPr>
        <w:spacing w:after="0" w:line="240" w:lineRule="auto"/>
      </w:pPr>
    </w:p>
    <w:p w14:paraId="4260DCC5" w14:textId="77777777" w:rsidR="00404880" w:rsidRDefault="00404880" w:rsidP="00A07209">
      <w:pPr>
        <w:numPr>
          <w:ilvl w:val="0"/>
          <w:numId w:val="347"/>
        </w:numPr>
        <w:spacing w:after="0" w:line="240" w:lineRule="auto"/>
        <w:ind w:left="360" w:hanging="540"/>
      </w:pPr>
      <w:r>
        <w:rPr>
          <w:b/>
        </w:rPr>
        <w:t>Custom Devices</w:t>
      </w:r>
    </w:p>
    <w:p w14:paraId="19023BF9" w14:textId="77777777" w:rsidR="00A8148E" w:rsidRPr="00A8148E" w:rsidRDefault="00A8148E" w:rsidP="00A8148E">
      <w:pPr>
        <w:spacing w:after="0" w:line="240" w:lineRule="auto"/>
        <w:ind w:left="360"/>
      </w:pPr>
    </w:p>
    <w:p w14:paraId="05C38119" w14:textId="77777777" w:rsidR="00A8148E" w:rsidRDefault="00404880" w:rsidP="00A8148E">
      <w:pPr>
        <w:ind w:left="360"/>
      </w:pPr>
      <w:r>
        <w:t>FDA regulations do not require IRB review and approval for custom device use. However, to ensure adequate patient protections the requirements for the emergency use of devices, including prior notification, informed consent, and five-day reporting, should be followed when custom devices are used. For more information on these requirements, see HRPP policy [</w:t>
      </w:r>
      <w:hyperlink r:id="rId368" w:history="1">
        <w:r>
          <w:rPr>
            <w:rStyle w:val="Hyperlink"/>
          </w:rPr>
          <w:t>Emergency Use of Investigational Drugs, Biologics, or Devices</w:t>
        </w:r>
      </w:hyperlink>
      <w:r>
        <w:t>].</w:t>
      </w:r>
    </w:p>
    <w:p w14:paraId="383C540E" w14:textId="77777777" w:rsidR="00A8148E" w:rsidRPr="00A8148E" w:rsidRDefault="00A8148E" w:rsidP="00A8148E">
      <w:pPr>
        <w:ind w:left="360"/>
        <w:rPr>
          <w:rStyle w:val="Strong"/>
          <w:b w:val="0"/>
        </w:rPr>
      </w:pPr>
    </w:p>
    <w:p w14:paraId="7D716ADC" w14:textId="77777777" w:rsidR="00404880" w:rsidRDefault="00404880" w:rsidP="00A07209">
      <w:pPr>
        <w:numPr>
          <w:ilvl w:val="0"/>
          <w:numId w:val="347"/>
        </w:numPr>
        <w:spacing w:after="0" w:line="240" w:lineRule="auto"/>
        <w:ind w:left="360" w:hanging="540"/>
        <w:rPr>
          <w:rStyle w:val="Strong"/>
          <w:b w:val="0"/>
        </w:rPr>
      </w:pPr>
      <w:r>
        <w:rPr>
          <w:rStyle w:val="Strong"/>
        </w:rPr>
        <w:t>Applicable Regulations/Guidance</w:t>
      </w:r>
    </w:p>
    <w:p w14:paraId="031D6898" w14:textId="77777777" w:rsidR="00A8148E" w:rsidRPr="00A8148E" w:rsidRDefault="00A8148E" w:rsidP="00A8148E">
      <w:pPr>
        <w:spacing w:after="0" w:line="240" w:lineRule="auto"/>
        <w:ind w:left="360"/>
        <w:rPr>
          <w:rStyle w:val="Strong"/>
          <w:b w:val="0"/>
        </w:rPr>
      </w:pPr>
    </w:p>
    <w:p w14:paraId="1A424DA3" w14:textId="77777777" w:rsidR="00404880" w:rsidRDefault="00404880" w:rsidP="00A8148E">
      <w:pPr>
        <w:tabs>
          <w:tab w:val="left" w:pos="630"/>
        </w:tabs>
        <w:ind w:left="360"/>
        <w:rPr>
          <w:rStyle w:val="Strong"/>
          <w:b w:val="0"/>
          <w:bCs/>
        </w:rPr>
      </w:pPr>
      <w:r>
        <w:rPr>
          <w:rStyle w:val="Strong"/>
          <w:b w:val="0"/>
          <w:bCs/>
        </w:rPr>
        <w:t>21 CFR 50; 21 CFR 56; 21 CFR 812; 21 CFR 814; FDA Guidance “Device Advice: Comprehensive Regulatory Assistance” (06/23/21), “Investigational Devices Exemptions (IDEs) for CBER-Regulated Products” (04/20/21), “Devices Regulated by the Center for Biologics Evaluation and Research” (03/22/18), “Humanitarian Device Exemption (HDE) Program” (09/06/19), and “E6(R2) Good Clinical Practice: Integrated Addendum to ICH E6(R1)” (03/18); FDA Information Sheets: “Frequently Asked Questions About Medical Devices” (01/06), “‘Off-label’ and Investigational Use of Marketed Drugs, Biologics, and Medical Devices” (05/06/20), and “Significant Risk and Nonsignificant Risk Medical Device Studies” (01/06)</w:t>
      </w:r>
    </w:p>
    <w:p w14:paraId="7CA92574" w14:textId="77777777" w:rsidR="00A8148E" w:rsidRPr="00A8148E" w:rsidRDefault="00A8148E" w:rsidP="00A8148E">
      <w:pPr>
        <w:tabs>
          <w:tab w:val="left" w:pos="630"/>
        </w:tabs>
        <w:rPr>
          <w:rStyle w:val="Strong"/>
          <w:b w:val="0"/>
          <w:bCs/>
        </w:rPr>
      </w:pPr>
    </w:p>
    <w:p w14:paraId="000ECFAD" w14:textId="77777777" w:rsidR="00404880" w:rsidRDefault="00404880" w:rsidP="00A07209">
      <w:pPr>
        <w:pStyle w:val="ListParagraph"/>
        <w:numPr>
          <w:ilvl w:val="0"/>
          <w:numId w:val="347"/>
        </w:numPr>
        <w:spacing w:after="0" w:line="240" w:lineRule="auto"/>
        <w:ind w:left="360" w:hanging="540"/>
        <w:rPr>
          <w:b/>
        </w:rPr>
      </w:pPr>
      <w:r>
        <w:rPr>
          <w:b/>
        </w:rPr>
        <w:t xml:space="preserve">History </w:t>
      </w:r>
    </w:p>
    <w:p w14:paraId="5341CF20" w14:textId="77777777" w:rsidR="00A8148E" w:rsidRPr="00A8148E" w:rsidRDefault="00A8148E" w:rsidP="00A8148E">
      <w:pPr>
        <w:pStyle w:val="ListParagraph"/>
        <w:spacing w:after="0" w:line="240" w:lineRule="auto"/>
        <w:ind w:left="360"/>
        <w:rPr>
          <w:b/>
        </w:rPr>
      </w:pPr>
    </w:p>
    <w:p w14:paraId="1EB3F012" w14:textId="77777777" w:rsidR="00404880" w:rsidRPr="00116DB8" w:rsidRDefault="00404880" w:rsidP="00404880">
      <w:pPr>
        <w:pStyle w:val="ListParagraph"/>
        <w:ind w:left="360"/>
      </w:pPr>
      <w:r>
        <w:t>Issued: 08/31/2009</w:t>
      </w:r>
    </w:p>
    <w:p w14:paraId="780DA3CC" w14:textId="77777777" w:rsidR="00404880" w:rsidRPr="00116DB8" w:rsidRDefault="00404880" w:rsidP="00263F36">
      <w:pPr>
        <w:pStyle w:val="ListParagraph"/>
        <w:ind w:left="360"/>
      </w:pPr>
      <w:r>
        <w:t>Revised: 06/04/2012, 12/19/2016, 11/15/2021Edited: 04/20/2022</w:t>
      </w:r>
    </w:p>
    <w:p w14:paraId="3E51D154" w14:textId="782FFF53" w:rsidR="00471B9E" w:rsidRDefault="00471B9E">
      <w:pPr>
        <w:rPr>
          <w:rStyle w:val="Strong"/>
          <w:b w:val="0"/>
        </w:rPr>
      </w:pPr>
    </w:p>
    <w:p w14:paraId="63D8660B" w14:textId="77777777" w:rsidR="00606C12" w:rsidRPr="006A56AB" w:rsidRDefault="1137D33A" w:rsidP="00471B9E">
      <w:pPr>
        <w:pStyle w:val="Heading2"/>
      </w:pPr>
      <w:bookmarkStart w:id="353" w:name="B26"/>
      <w:bookmarkStart w:id="354" w:name="_Toc212142223"/>
      <w:bookmarkStart w:id="355" w:name="_Toc225507763"/>
      <w:r>
        <w:t xml:space="preserve">Appendix B-26  </w:t>
      </w:r>
      <w:bookmarkEnd w:id="353"/>
      <w:r>
        <w:tab/>
        <w:t>Research Involving Data and/or Biospecimens</w:t>
      </w:r>
      <w:bookmarkEnd w:id="354"/>
      <w:bookmarkEnd w:id="355"/>
    </w:p>
    <w:p w14:paraId="7FCFAEBA" w14:textId="77777777" w:rsidR="00606C12" w:rsidRDefault="00606C12" w:rsidP="00606C12">
      <w:pPr>
        <w:rPr>
          <w:b/>
          <w:smallCaps/>
        </w:rPr>
      </w:pPr>
    </w:p>
    <w:p w14:paraId="5D6F03A3" w14:textId="77777777" w:rsidR="00606C12" w:rsidRDefault="00606C12" w:rsidP="00A07209">
      <w:pPr>
        <w:numPr>
          <w:ilvl w:val="0"/>
          <w:numId w:val="364"/>
        </w:numPr>
        <w:spacing w:after="0" w:line="240" w:lineRule="auto"/>
        <w:rPr>
          <w:b/>
          <w:smallCaps/>
        </w:rPr>
      </w:pPr>
      <w:r>
        <w:rPr>
          <w:b/>
        </w:rPr>
        <w:t>Overview</w:t>
      </w:r>
    </w:p>
    <w:p w14:paraId="06EB7DFA" w14:textId="77777777" w:rsidR="00EE3C6A" w:rsidRPr="00EE3C6A" w:rsidRDefault="00EE3C6A" w:rsidP="00EE3C6A">
      <w:pPr>
        <w:spacing w:after="0" w:line="240" w:lineRule="auto"/>
        <w:ind w:left="1224"/>
        <w:rPr>
          <w:b/>
          <w:smallCaps/>
        </w:rPr>
      </w:pPr>
    </w:p>
    <w:p w14:paraId="134C99AB" w14:textId="77777777" w:rsidR="00606C12" w:rsidRPr="006A56AB" w:rsidRDefault="00606C12" w:rsidP="00606C12">
      <w:pPr>
        <w:spacing w:after="60"/>
        <w:ind w:left="360"/>
      </w:pPr>
      <w:r>
        <w:t>The purpose of this policy is to describe the requirements for IRB approval (or exemption) and informed consent for any of the following:</w:t>
      </w:r>
    </w:p>
    <w:p w14:paraId="7CAFF149" w14:textId="77777777" w:rsidR="00606C12" w:rsidRPr="006A56AB" w:rsidRDefault="00606C12" w:rsidP="00A07209">
      <w:pPr>
        <w:pStyle w:val="ColorfulShading-Accent31"/>
        <w:numPr>
          <w:ilvl w:val="0"/>
          <w:numId w:val="363"/>
        </w:numPr>
        <w:spacing w:after="60"/>
        <w:ind w:left="1080"/>
        <w:rPr>
          <w:sz w:val="22"/>
          <w:szCs w:val="22"/>
        </w:rPr>
      </w:pPr>
      <w:r>
        <w:rPr>
          <w:sz w:val="22"/>
          <w:szCs w:val="22"/>
        </w:rPr>
        <w:t>Data and/or biospecimens collected for research purposes</w:t>
      </w:r>
    </w:p>
    <w:p w14:paraId="04C87842" w14:textId="77777777" w:rsidR="00606C12" w:rsidRPr="006A56AB" w:rsidRDefault="00606C12" w:rsidP="00A07209">
      <w:pPr>
        <w:pStyle w:val="ColorfulShading-Accent31"/>
        <w:numPr>
          <w:ilvl w:val="0"/>
          <w:numId w:val="363"/>
        </w:numPr>
        <w:spacing w:after="60"/>
        <w:ind w:left="1080"/>
        <w:rPr>
          <w:i/>
          <w:sz w:val="22"/>
          <w:szCs w:val="22"/>
        </w:rPr>
      </w:pPr>
      <w:r>
        <w:rPr>
          <w:sz w:val="22"/>
          <w:szCs w:val="22"/>
        </w:rPr>
        <w:t xml:space="preserve">Data and/or biospecimens collected, stored, and/or distributed for </w:t>
      </w:r>
      <w:r>
        <w:rPr>
          <w:i/>
          <w:sz w:val="22"/>
          <w:szCs w:val="22"/>
        </w:rPr>
        <w:t>future research uses</w:t>
      </w:r>
    </w:p>
    <w:p w14:paraId="19BA1D79" w14:textId="77777777" w:rsidR="00606C12" w:rsidRPr="00076836" w:rsidRDefault="00606C12" w:rsidP="00A07209">
      <w:pPr>
        <w:pStyle w:val="ColorfulShading-Accent31"/>
        <w:numPr>
          <w:ilvl w:val="0"/>
          <w:numId w:val="363"/>
        </w:numPr>
        <w:ind w:left="1080"/>
        <w:contextualSpacing/>
        <w:rPr>
          <w:sz w:val="22"/>
          <w:szCs w:val="22"/>
        </w:rPr>
      </w:pPr>
      <w:r>
        <w:rPr>
          <w:sz w:val="22"/>
          <w:szCs w:val="22"/>
        </w:rPr>
        <w:t xml:space="preserve">Previously collected data/biospecimens used for </w:t>
      </w:r>
      <w:r>
        <w:rPr>
          <w:i/>
          <w:sz w:val="22"/>
          <w:szCs w:val="22"/>
        </w:rPr>
        <w:t>secondary research</w:t>
      </w:r>
    </w:p>
    <w:p w14:paraId="140965DB" w14:textId="77777777" w:rsidR="00606C12" w:rsidRPr="00076836" w:rsidRDefault="00606C12" w:rsidP="00076836">
      <w:pPr>
        <w:pStyle w:val="ColorfulShading-Accent31"/>
        <w:ind w:left="1080"/>
        <w:contextualSpacing/>
        <w:rPr>
          <w:sz w:val="22"/>
          <w:szCs w:val="22"/>
        </w:rPr>
      </w:pPr>
    </w:p>
    <w:p w14:paraId="47952D31" w14:textId="77777777" w:rsidR="00606C12" w:rsidRPr="00EE3C6A" w:rsidRDefault="00606C12" w:rsidP="00A07209">
      <w:pPr>
        <w:numPr>
          <w:ilvl w:val="0"/>
          <w:numId w:val="364"/>
        </w:numPr>
        <w:spacing w:after="0" w:line="240" w:lineRule="auto"/>
        <w:ind w:left="360" w:hanging="360"/>
        <w:rPr>
          <w:b/>
          <w:smallCaps/>
        </w:rPr>
      </w:pPr>
      <w:r>
        <w:rPr>
          <w:b/>
        </w:rPr>
        <w:t>Definitions</w:t>
      </w:r>
    </w:p>
    <w:p w14:paraId="40F39834" w14:textId="77777777" w:rsidR="00EE3C6A" w:rsidRPr="00EE3C6A" w:rsidRDefault="00EE3C6A" w:rsidP="00EE3C6A">
      <w:pPr>
        <w:spacing w:after="0" w:line="240" w:lineRule="auto"/>
        <w:ind w:left="360"/>
        <w:rPr>
          <w:b/>
          <w:smallCaps/>
        </w:rPr>
      </w:pPr>
    </w:p>
    <w:p w14:paraId="5C22CFD7" w14:textId="77777777" w:rsidR="00606C12" w:rsidRPr="00EE3C6A" w:rsidRDefault="00606C12" w:rsidP="00EE3C6A">
      <w:pPr>
        <w:ind w:left="360"/>
      </w:pPr>
      <w:bookmarkStart w:id="356" w:name="Anonymous"/>
      <w:r>
        <w:rPr>
          <w:b/>
        </w:rPr>
        <w:t>Anonymous</w:t>
      </w:r>
      <w:bookmarkEnd w:id="356"/>
      <w:r>
        <w:t xml:space="preserve">: Unidentified (i.e., personally identifiable information was not collected, or if collected, identifiers were not retained and cannot be retrieved); information or materials (e.g., data or biospecimens) that cannot be linked directly or indirectly </w:t>
      </w:r>
      <w:r>
        <w:rPr>
          <w:i/>
        </w:rPr>
        <w:t>by anyone</w:t>
      </w:r>
      <w:r>
        <w:t xml:space="preserve"> to their source(s). </w:t>
      </w:r>
    </w:p>
    <w:p w14:paraId="3E8C59DA" w14:textId="77777777" w:rsidR="00606C12" w:rsidRPr="00EE3C6A"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Biospecimen</w:t>
      </w:r>
      <w:r>
        <w:t xml:space="preserve">: Also: </w:t>
      </w:r>
      <w:r>
        <w:rPr>
          <w:b/>
        </w:rPr>
        <w:t>sample</w:t>
      </w:r>
      <w:r>
        <w:t>. Human biological material, including solid material (e.g., tissue, organs), body fluid (e.g., blood, urine, saliva, semen, cerebrospinal fluid), and cells.</w:t>
      </w:r>
    </w:p>
    <w:p w14:paraId="295FC581" w14:textId="77777777" w:rsidR="00606C12" w:rsidRPr="00EE3C6A" w:rsidRDefault="00606C12" w:rsidP="00EE3C6A">
      <w:pPr>
        <w:ind w:left="360"/>
        <w:rPr>
          <w:i/>
        </w:rPr>
      </w:pPr>
      <w:bookmarkStart w:id="357" w:name="Coded"/>
      <w:r>
        <w:rPr>
          <w:b/>
          <w:bCs/>
        </w:rPr>
        <w:t>Coded</w:t>
      </w:r>
      <w:bookmarkEnd w:id="357"/>
      <w:r>
        <w:rPr>
          <w:bCs/>
        </w:rPr>
        <w:t xml:space="preserve">: </w:t>
      </w:r>
      <w:r>
        <w:t xml:space="preserve">Direct personal identifiers (e.g., name, date of birth, address) have been removed (e.g., from data or biospecimens) and replaced with words, letters, figures, symbols, or a combination of these (not derived from or related to the personal information) for purposes of protecting the identity of the source(s); but the original identifiers are retained in such a way that they can be traced back to the source(s) by someone with the code. </w:t>
      </w:r>
      <w:r>
        <w:rPr>
          <w:i/>
        </w:rPr>
        <w:t>Note: A code is sometimes also referred to as a “key,” “link,” or “map.”</w:t>
      </w:r>
    </w:p>
    <w:p w14:paraId="5A28C060" w14:textId="77777777" w:rsidR="00606C12" w:rsidRDefault="00606C12" w:rsidP="00606C12">
      <w:pPr>
        <w:ind w:left="360"/>
      </w:pPr>
      <w:r>
        <w:rPr>
          <w:b/>
        </w:rPr>
        <w:t>De-identified</w:t>
      </w:r>
      <w:r>
        <w:t xml:space="preserve">: All direct personal identifiers are </w:t>
      </w:r>
      <w:r>
        <w:rPr>
          <w:i/>
        </w:rPr>
        <w:t>permanently</w:t>
      </w:r>
      <w:r>
        <w:t xml:space="preserve"> removed (e.g., from data or biospecimens), no code or key exists to link the information or materials to their original source(s), and the remaining information cannot reasonably be used </w:t>
      </w:r>
      <w:r>
        <w:rPr>
          <w:i/>
        </w:rPr>
        <w:t>by anyone</w:t>
      </w:r>
      <w:r>
        <w:t xml:space="preserve"> to identify the source(s). </w:t>
      </w:r>
    </w:p>
    <w:p w14:paraId="68690CE5" w14:textId="77777777" w:rsidR="00606C12" w:rsidRPr="00EE3C6A" w:rsidRDefault="00606C12" w:rsidP="00EE3C6A">
      <w:pPr>
        <w:spacing w:before="60"/>
        <w:ind w:left="360"/>
      </w:pPr>
      <w:r>
        <w:rPr>
          <w:i/>
        </w:rPr>
        <w:t xml:space="preserve">Note: For purposes of HRPP policy, protected health information (PHI) is de-identified when it does not contain any of the 18 identifiers specified by the Health Insurance Portability and Accountability Act (HIPAA) at 45 CFR Part 164 or has been determined to be de-identified by a statistician in accordance with the standards established by the Privacy Rule. </w:t>
      </w:r>
      <w:r>
        <w:rPr>
          <w:bCs/>
          <w:i/>
        </w:rPr>
        <w:t xml:space="preserve">For more information, including the list of identifiers that must be removed to de-identify health information, see </w:t>
      </w:r>
      <w:hyperlink r:id="rId369" w:history="1">
        <w:r>
          <w:rPr>
            <w:rStyle w:val="Hyperlink"/>
            <w:bCs/>
          </w:rPr>
          <w:t>HIPAA and Human Subjects Research</w:t>
        </w:r>
      </w:hyperlink>
      <w:r>
        <w:rPr>
          <w:bCs/>
          <w:i/>
        </w:rPr>
        <w:t>.</w:t>
      </w:r>
    </w:p>
    <w:p w14:paraId="2120AE38" w14:textId="77777777" w:rsidR="00606C12"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bookmarkStart w:id="358" w:name="Remnant_Biospecimen"/>
      <w:r>
        <w:rPr>
          <w:b/>
        </w:rPr>
        <w:t>Leftover/Remnant Biospecimen</w:t>
      </w:r>
      <w:r>
        <w:t xml:space="preserve">: </w:t>
      </w:r>
      <w:bookmarkEnd w:id="358"/>
      <w:r>
        <w:t>Remaining portion of a biospecimen obtained for clinical purposes that is no longer needed for its original purpose and that would otherwise be discarded.</w:t>
      </w:r>
    </w:p>
    <w:p w14:paraId="7DC86BF0" w14:textId="77777777" w:rsidR="00606C12" w:rsidRPr="006A56AB" w:rsidRDefault="00606C12" w:rsidP="00606C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bCs/>
        </w:rPr>
        <w:t>Personally Identifiable Information (PII)</w:t>
      </w:r>
      <w:r>
        <w:t>: Information that can be used to distinguish an individual’s identity, such as name, social security number, date of birth, etc., or information linked to an individual, such as medical, financial, or employment information.</w:t>
      </w:r>
    </w:p>
    <w:p w14:paraId="0CE1CEFA" w14:textId="77777777" w:rsidR="00606C12" w:rsidRPr="006A56AB" w:rsidRDefault="00606C12" w:rsidP="00EE3C6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Repository</w:t>
      </w:r>
      <w:r>
        <w:t xml:space="preserve">: Also: </w:t>
      </w:r>
      <w:r>
        <w:rPr>
          <w:b/>
        </w:rPr>
        <w:t>bank</w:t>
      </w:r>
      <w:r>
        <w:t xml:space="preserve">. Collection of data and/or biospecimens obtained and stored for future research uses and/or distribution, including a collection not originally or primarily obtained for research purposes. </w:t>
      </w:r>
    </w:p>
    <w:p w14:paraId="4DCDF8CD" w14:textId="77777777" w:rsidR="00606C12" w:rsidRPr="006A56AB" w:rsidRDefault="00606C12" w:rsidP="00606C1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360"/>
      </w:pPr>
      <w:r>
        <w:rPr>
          <w:b/>
        </w:rPr>
        <w:t xml:space="preserve">Secondary Research: </w:t>
      </w:r>
      <w:r>
        <w:t>Study of existing information or materials (e.g., data or biospecimens) that have been previously collected for a purpose (including non-research purposes) other than the currently proposed activity.</w:t>
      </w:r>
    </w:p>
    <w:p w14:paraId="71CEC236" w14:textId="77777777" w:rsidR="00606C12" w:rsidRPr="006A56AB" w:rsidRDefault="00606C12" w:rsidP="00606C12">
      <w:pPr>
        <w:tabs>
          <w:tab w:val="left" w:pos="2947"/>
        </w:tabs>
      </w:pPr>
    </w:p>
    <w:p w14:paraId="23FD877B" w14:textId="77777777" w:rsidR="00606C12" w:rsidRDefault="00606C12" w:rsidP="00A07209">
      <w:pPr>
        <w:numPr>
          <w:ilvl w:val="0"/>
          <w:numId w:val="364"/>
        </w:numPr>
        <w:spacing w:after="0" w:line="240" w:lineRule="auto"/>
        <w:ind w:left="360" w:hanging="360"/>
        <w:rPr>
          <w:b/>
        </w:rPr>
      </w:pPr>
      <w:r>
        <w:rPr>
          <w:b/>
        </w:rPr>
        <w:t>General Information</w:t>
      </w:r>
    </w:p>
    <w:p w14:paraId="504348E2" w14:textId="77777777" w:rsidR="00EE3C6A" w:rsidRPr="00EE3C6A" w:rsidRDefault="00EE3C6A" w:rsidP="00EE3C6A">
      <w:pPr>
        <w:spacing w:after="0" w:line="240" w:lineRule="auto"/>
        <w:ind w:left="360"/>
        <w:rPr>
          <w:b/>
        </w:rPr>
      </w:pPr>
    </w:p>
    <w:p w14:paraId="404FDFB7" w14:textId="77777777" w:rsidR="00606C12" w:rsidRDefault="00606C12" w:rsidP="00A07209">
      <w:pPr>
        <w:numPr>
          <w:ilvl w:val="1"/>
          <w:numId w:val="364"/>
        </w:numPr>
        <w:spacing w:after="0" w:line="240" w:lineRule="auto"/>
        <w:ind w:left="1080" w:hanging="360"/>
        <w:rPr>
          <w:b/>
        </w:rPr>
      </w:pPr>
      <w:r>
        <w:t>Prospective collection of data and/or biospecimens for research purposes (e.g., additional questions added to routine surveys being performed for non-research purposes, an extra tube of blood taken at the time of clinical blood drawing) is “research involving human subjects,” and IRB review and approval is required. Informed consent (and HIPAA authorization for data that include PHI) must also be obtained.</w:t>
      </w:r>
    </w:p>
    <w:p w14:paraId="5346529C" w14:textId="77777777" w:rsidR="00EE3C6A" w:rsidRPr="00EE3C6A" w:rsidRDefault="00EE3C6A" w:rsidP="00EE3C6A">
      <w:pPr>
        <w:spacing w:after="0" w:line="240" w:lineRule="auto"/>
        <w:ind w:left="792"/>
        <w:rPr>
          <w:b/>
        </w:rPr>
      </w:pPr>
    </w:p>
    <w:p w14:paraId="4BDC106D" w14:textId="77777777" w:rsidR="00606C12" w:rsidRDefault="00606C12" w:rsidP="00A07209">
      <w:pPr>
        <w:numPr>
          <w:ilvl w:val="1"/>
          <w:numId w:val="364"/>
        </w:numPr>
        <w:spacing w:after="0" w:line="240" w:lineRule="auto"/>
        <w:ind w:left="1080" w:hanging="360"/>
        <w:rPr>
          <w:b/>
        </w:rPr>
      </w:pPr>
      <w:r>
        <w:t xml:space="preserve">Collection and storage of data and/or biospecimens for </w:t>
      </w:r>
      <w:r>
        <w:rPr>
          <w:i/>
        </w:rPr>
        <w:t>future research uses</w:t>
      </w:r>
      <w:r>
        <w:t xml:space="preserve"> and/or distribution (i.e., rather than using data/biospecimens only for pre-defined analyses as described in a specific IRB-approved protocol) are activities that meet the definition of “research involving human subjects;” and IRB review and approval is required (see “</w:t>
      </w:r>
      <w:hyperlink w:anchor="Repositories_Collection_Storage_Dist" w:history="1">
        <w:r>
          <w:rPr>
            <w:rStyle w:val="Hyperlink"/>
          </w:rPr>
          <w:t>Repositories – Collection, Storage, and/or Distribution of Data/Biospecimens</w:t>
        </w:r>
      </w:hyperlink>
      <w:r>
        <w:t>”). Informed consent (and HIPAA authorization for data that include PHI) is also required.</w:t>
      </w:r>
    </w:p>
    <w:p w14:paraId="546EF2B3" w14:textId="77777777" w:rsidR="00EE3C6A" w:rsidRPr="00EE3C6A" w:rsidRDefault="00EE3C6A" w:rsidP="00EE3C6A">
      <w:pPr>
        <w:spacing w:after="0" w:line="240" w:lineRule="auto"/>
        <w:rPr>
          <w:b/>
        </w:rPr>
      </w:pPr>
    </w:p>
    <w:p w14:paraId="3F619358" w14:textId="77777777" w:rsidR="00606C12" w:rsidRDefault="00606C12" w:rsidP="00A07209">
      <w:pPr>
        <w:numPr>
          <w:ilvl w:val="1"/>
          <w:numId w:val="364"/>
        </w:numPr>
        <w:spacing w:after="0" w:line="240" w:lineRule="auto"/>
        <w:ind w:left="1152"/>
        <w:rPr>
          <w:b/>
        </w:rPr>
      </w:pPr>
      <w:r>
        <w:t>When the data and/or biospecimens to be stored for future research uses are generated as part of another research study (e.g., clinical trial), a separate protocol describing repository activities must generally be submitted for IRB review and approval unless the bank is externally controlled (see “</w:t>
      </w:r>
      <w:hyperlink w:anchor="Repositories_Collection_Storage_Dist" w:history="1">
        <w:r>
          <w:rPr>
            <w:rStyle w:val="Hyperlink"/>
          </w:rPr>
          <w:t>Repositories – Collection, Storage, and/or Distribution of Data/Specimens</w:t>
        </w:r>
      </w:hyperlink>
      <w:r>
        <w:t xml:space="preserve">”). </w:t>
      </w:r>
      <w:r>
        <w:rPr>
          <w:i/>
        </w:rPr>
        <w:t>Note: Sponsor-mandated data sharing may not require a stand-alone repository submission.</w:t>
      </w:r>
    </w:p>
    <w:p w14:paraId="1D5E7A67" w14:textId="77777777" w:rsidR="00EE3C6A" w:rsidRPr="00EE3C6A" w:rsidRDefault="00EE3C6A" w:rsidP="00EE3C6A">
      <w:pPr>
        <w:spacing w:after="0" w:line="240" w:lineRule="auto"/>
        <w:rPr>
          <w:b/>
        </w:rPr>
      </w:pPr>
    </w:p>
    <w:p w14:paraId="4C8A7651" w14:textId="77777777" w:rsidR="00606C12" w:rsidRDefault="00606C12" w:rsidP="00A07209">
      <w:pPr>
        <w:numPr>
          <w:ilvl w:val="1"/>
          <w:numId w:val="364"/>
        </w:numPr>
        <w:spacing w:after="0" w:line="240" w:lineRule="auto"/>
        <w:ind w:left="1152"/>
        <w:rPr>
          <w:b/>
        </w:rPr>
      </w:pPr>
      <w:r>
        <w:rPr>
          <w:bCs/>
        </w:rPr>
        <w:t>I</w:t>
      </w:r>
      <w:r>
        <w:t>n some cases, secondary uses of previously collected data and/or biospecimens meet the definition of “research involving human subjects,” and IRB approval or exemption is required (see “</w:t>
      </w:r>
      <w:hyperlink w:anchor="Secondary_Uses" w:history="1">
        <w:r>
          <w:rPr>
            <w:rStyle w:val="Hyperlink"/>
          </w:rPr>
          <w:t>Secondary Uses of Previously Collected Data/biospecimens</w:t>
        </w:r>
      </w:hyperlink>
      <w:r>
        <w:t xml:space="preserve">”). </w:t>
      </w:r>
    </w:p>
    <w:p w14:paraId="76E9E467" w14:textId="77777777" w:rsidR="00EE3C6A" w:rsidRPr="00EE3C6A" w:rsidRDefault="00EE3C6A" w:rsidP="00EE3C6A">
      <w:pPr>
        <w:spacing w:after="0" w:line="240" w:lineRule="auto"/>
        <w:rPr>
          <w:b/>
        </w:rPr>
      </w:pPr>
    </w:p>
    <w:p w14:paraId="05EC419A" w14:textId="77777777" w:rsidR="00606C12" w:rsidRDefault="00606C12" w:rsidP="00A07209">
      <w:pPr>
        <w:numPr>
          <w:ilvl w:val="1"/>
          <w:numId w:val="364"/>
        </w:numPr>
        <w:spacing w:after="0" w:line="240" w:lineRule="auto"/>
        <w:ind w:left="1152"/>
        <w:rPr>
          <w:rStyle w:val="Strong"/>
          <w:b w:val="0"/>
          <w:bCs/>
        </w:rPr>
      </w:pPr>
      <w:r>
        <w:rPr>
          <w:rStyle w:val="Strong"/>
          <w:b w:val="0"/>
          <w:bCs/>
        </w:rPr>
        <w:t>Activities involving data and/or specimens that do not require IRB approval under DHHS regulations (see “</w:t>
      </w:r>
      <w:hyperlink w:anchor="Activities_not_HSR" w:history="1">
        <w:r>
          <w:rPr>
            <w:rStyle w:val="Hyperlink"/>
            <w:bCs/>
          </w:rPr>
          <w:t>Activities That Are Not Human Subjects Research</w:t>
        </w:r>
      </w:hyperlink>
      <w:r>
        <w:rPr>
          <w:rStyle w:val="Strong"/>
          <w:b w:val="0"/>
          <w:bCs/>
        </w:rPr>
        <w:t xml:space="preserve">”) must still receive IRB approval if the activities are subject to FDA regulations (e.g., involving FDA-regulated products or submission of data/results to FDA). Activities with data and/or biospecimens defined by FDA as “research involving human subjects” include testing of </w:t>
      </w:r>
      <w:r>
        <w:rPr>
          <w:rStyle w:val="Strong"/>
          <w:b w:val="0"/>
          <w:bCs/>
          <w:i/>
        </w:rPr>
        <w:t>in vitro</w:t>
      </w:r>
      <w:r>
        <w:rPr>
          <w:rStyle w:val="Strong"/>
          <w:b w:val="0"/>
          <w:bCs/>
        </w:rPr>
        <w:t xml:space="preserve"> diagnostic devices using biological specimens and the use of clinical data for historical “controls”</w:t>
      </w:r>
      <w:r>
        <w:rPr>
          <w:bCs/>
        </w:rPr>
        <w:t xml:space="preserve"> in investigational drug studies, regardless of identifiability</w:t>
      </w:r>
      <w:r>
        <w:rPr>
          <w:rStyle w:val="Strong"/>
          <w:b w:val="0"/>
          <w:bCs/>
        </w:rPr>
        <w:t>. For more information see HRPP policies [</w:t>
      </w:r>
      <w:hyperlink r:id="rId370" w:history="1">
        <w:r>
          <w:rPr>
            <w:rStyle w:val="Hyperlink"/>
            <w:bCs/>
          </w:rPr>
          <w:t>Research Involving Investigational Drugs</w:t>
        </w:r>
      </w:hyperlink>
      <w:r>
        <w:rPr>
          <w:rStyle w:val="Strong"/>
          <w:b w:val="0"/>
          <w:bCs/>
        </w:rPr>
        <w:t>] and [</w:t>
      </w:r>
      <w:hyperlink r:id="rId371" w:history="1">
        <w:r>
          <w:rPr>
            <w:rStyle w:val="Hyperlink"/>
            <w:bCs/>
          </w:rPr>
          <w:t>Research Involving Medical Devices</w:t>
        </w:r>
      </w:hyperlink>
      <w:r>
        <w:rPr>
          <w:rStyle w:val="Strong"/>
          <w:b w:val="0"/>
          <w:bCs/>
        </w:rPr>
        <w:t>].</w:t>
      </w:r>
    </w:p>
    <w:p w14:paraId="539D5FED" w14:textId="77777777" w:rsidR="00EE3C6A" w:rsidRPr="00EE3C6A" w:rsidRDefault="00EE3C6A" w:rsidP="00EE3C6A">
      <w:pPr>
        <w:spacing w:after="0" w:line="240" w:lineRule="auto"/>
        <w:rPr>
          <w:rStyle w:val="Strong"/>
          <w:b w:val="0"/>
          <w:bCs/>
        </w:rPr>
      </w:pPr>
    </w:p>
    <w:p w14:paraId="5775DCAA" w14:textId="77777777" w:rsidR="00606C12" w:rsidRPr="00EE3C6A" w:rsidRDefault="00606C12" w:rsidP="00A07209">
      <w:pPr>
        <w:numPr>
          <w:ilvl w:val="1"/>
          <w:numId w:val="364"/>
        </w:numPr>
        <w:spacing w:after="0" w:line="240" w:lineRule="auto"/>
        <w:ind w:left="1152"/>
        <w:rPr>
          <w:b/>
        </w:rPr>
      </w:pPr>
      <w:r>
        <w:t>An investigator may de-identify data and/or biospecimens under his or her control (e.g., data collected by the investigator for another study) for future research uses with IRB review and approval of the de-identification plan. De-identification details may be included in an initial submission (e.g., retained data points, consent disclosure), which would allow the investigator to de-identify the dataset, close the study, and continue data analysis without ongoing IRB oversight requirements. When an investigator requests de-identification of a previously approved project, the original informed consent document must be reviewed to ensure it is not inconsistent with the proposed de-identification and further data use.</w:t>
      </w:r>
    </w:p>
    <w:p w14:paraId="5F9F503B" w14:textId="77777777" w:rsidR="00EE3C6A" w:rsidRPr="00EE3C6A" w:rsidRDefault="00EE3C6A" w:rsidP="00EE3C6A">
      <w:pPr>
        <w:spacing w:after="0" w:line="240" w:lineRule="auto"/>
        <w:rPr>
          <w:b/>
        </w:rPr>
      </w:pPr>
    </w:p>
    <w:p w14:paraId="7DD5C58A" w14:textId="77777777" w:rsidR="00606C12" w:rsidRPr="00E87EE6" w:rsidRDefault="00606C12" w:rsidP="00A07209">
      <w:pPr>
        <w:numPr>
          <w:ilvl w:val="1"/>
          <w:numId w:val="364"/>
        </w:numPr>
        <w:spacing w:after="0" w:line="240" w:lineRule="auto"/>
        <w:ind w:left="1080" w:hanging="360"/>
        <w:rPr>
          <w:b/>
        </w:rPr>
      </w:pPr>
      <w:r>
        <w:t>Certain activities involving data and/or biospecimens do not meet the definition of “research involving human subjects” and do not require IRB approval or exemption, as described below.</w:t>
      </w:r>
    </w:p>
    <w:p w14:paraId="0D0844BC" w14:textId="77777777" w:rsidR="00606C12" w:rsidRPr="006A56AB" w:rsidRDefault="00606C12" w:rsidP="00606C12">
      <w:pPr>
        <w:pStyle w:val="MediumGrid1-Accent21"/>
        <w:ind w:left="0"/>
        <w:rPr>
          <w:b/>
          <w:sz w:val="22"/>
          <w:szCs w:val="22"/>
        </w:rPr>
      </w:pPr>
    </w:p>
    <w:p w14:paraId="11418EAE" w14:textId="77777777" w:rsidR="00606C12" w:rsidRPr="006A56AB" w:rsidRDefault="00606C12" w:rsidP="00A07209">
      <w:pPr>
        <w:numPr>
          <w:ilvl w:val="0"/>
          <w:numId w:val="364"/>
        </w:numPr>
        <w:spacing w:after="0" w:line="240" w:lineRule="auto"/>
        <w:ind w:left="360" w:hanging="360"/>
        <w:rPr>
          <w:b/>
        </w:rPr>
      </w:pPr>
      <w:bookmarkStart w:id="359" w:name="Activities_not_HSR"/>
      <w:r>
        <w:rPr>
          <w:b/>
        </w:rPr>
        <w:t>Activities That Are Not Human Subjects Research</w:t>
      </w:r>
    </w:p>
    <w:bookmarkEnd w:id="359"/>
    <w:p w14:paraId="1B0B6D66" w14:textId="77777777" w:rsidR="00606C12" w:rsidRPr="006A56AB" w:rsidRDefault="00606C12" w:rsidP="00606C12">
      <w:pPr>
        <w:ind w:left="720"/>
        <w:rPr>
          <w:b/>
        </w:rPr>
      </w:pPr>
    </w:p>
    <w:p w14:paraId="2070A0C6" w14:textId="77777777" w:rsidR="00606C12" w:rsidRPr="00617C5E" w:rsidRDefault="00606C12" w:rsidP="00A07209">
      <w:pPr>
        <w:numPr>
          <w:ilvl w:val="1"/>
          <w:numId w:val="364"/>
        </w:numPr>
        <w:spacing w:after="0" w:line="240" w:lineRule="auto"/>
        <w:ind w:left="1152"/>
        <w:rPr>
          <w:b/>
          <w:i/>
          <w:iCs/>
        </w:rPr>
      </w:pPr>
      <w:r>
        <w:t xml:space="preserve">Laboratory research with </w:t>
      </w:r>
      <w:r>
        <w:rPr>
          <w:i/>
        </w:rPr>
        <w:t>commercially available</w:t>
      </w:r>
      <w:r>
        <w:t xml:space="preserve"> tissue specimens, cell lines, or other human cells does not meet the definition of “research involving human subjects” and may be performed without IRB approval or exemption. </w:t>
      </w:r>
    </w:p>
    <w:p w14:paraId="1BD480AF" w14:textId="77777777" w:rsidR="00606C12" w:rsidRPr="00EE3C6A" w:rsidRDefault="00606C12" w:rsidP="00EE3C6A">
      <w:pPr>
        <w:spacing w:before="60"/>
        <w:ind w:left="1152"/>
        <w:rPr>
          <w:b/>
          <w:i/>
          <w:iCs/>
        </w:rPr>
      </w:pPr>
      <w:r>
        <w:rPr>
          <w:i/>
          <w:iCs/>
        </w:rPr>
        <w:lastRenderedPageBreak/>
        <w:t>Note: Vendors may require IRB approval/exemption for use of their products in human subjects research. In such cases, IRB approval/exemption will be provided.</w:t>
      </w:r>
    </w:p>
    <w:p w14:paraId="42596841" w14:textId="77777777" w:rsidR="00606C12" w:rsidRDefault="00606C12" w:rsidP="00A07209">
      <w:pPr>
        <w:numPr>
          <w:ilvl w:val="1"/>
          <w:numId w:val="364"/>
        </w:numPr>
        <w:spacing w:after="0" w:line="240" w:lineRule="auto"/>
        <w:ind w:left="1080" w:hanging="360"/>
        <w:rPr>
          <w:i/>
        </w:rPr>
      </w:pPr>
      <w:bookmarkStart w:id="360" w:name="_Hlk85558367"/>
      <w:r>
        <w:t xml:space="preserve">Research with </w:t>
      </w:r>
      <w:r>
        <w:rPr>
          <w:i/>
        </w:rPr>
        <w:t>autopsy</w:t>
      </w:r>
      <w:r>
        <w:t xml:space="preserve"> biospecimens does not meet the definition of “research involving human subjects” and may be performed without IRB approval or exemption. Research involving decedents’ PHI is subject to HIPAA regulations. HIPAA authorization (or waiver) is generally not required for use or disclosure of PHI for research involving decedents only, with appropriate representations from the researcher. For more information, contact The Ohio State University Wexner Medical Center Privacy Officer at 614-293-4477. Consent for autopsy must be signed by next of kin as specified by state law (Ohio Revised Code 2108.81). For more information, see </w:t>
      </w:r>
      <w:hyperlink r:id="rId372" w:history="1">
        <w:r>
          <w:rPr>
            <w:rStyle w:val="Hyperlink"/>
          </w:rPr>
          <w:t>The Ohio State University Wexner Medical Center Regional Autopsy Center</w:t>
        </w:r>
      </w:hyperlink>
      <w:r>
        <w:t xml:space="preserve"> or contact 614-247-7499. </w:t>
      </w:r>
      <w:bookmarkEnd w:id="360"/>
    </w:p>
    <w:p w14:paraId="7B0165AB" w14:textId="77777777" w:rsidR="00EE3C6A" w:rsidRPr="00EE3C6A" w:rsidRDefault="00EE3C6A" w:rsidP="00EE3C6A">
      <w:pPr>
        <w:spacing w:after="0" w:line="240" w:lineRule="auto"/>
        <w:ind w:left="792"/>
        <w:rPr>
          <w:i/>
        </w:rPr>
      </w:pPr>
    </w:p>
    <w:p w14:paraId="7FA64C13" w14:textId="77777777" w:rsidR="00606C12" w:rsidRDefault="00606C12" w:rsidP="00A07209">
      <w:pPr>
        <w:numPr>
          <w:ilvl w:val="1"/>
          <w:numId w:val="364"/>
        </w:numPr>
        <w:spacing w:after="0" w:line="240" w:lineRule="auto"/>
        <w:ind w:left="1080" w:hanging="360"/>
      </w:pPr>
      <w:r>
        <w:t xml:space="preserve">Research with previously collected </w:t>
      </w:r>
      <w:hyperlink w:anchor="Anonymous" w:history="1">
        <w:r>
          <w:rPr>
            <w:rStyle w:val="Hyperlink"/>
            <w:i/>
          </w:rPr>
          <w:t>anonymous</w:t>
        </w:r>
      </w:hyperlink>
      <w:r>
        <w:t xml:space="preserve"> data and/or biospecimens does not meet the definition of “research involving human subjects” and may be performed without IRB approval or exemption </w:t>
      </w:r>
      <w:r>
        <w:rPr>
          <w:i/>
        </w:rPr>
        <w:t>only</w:t>
      </w:r>
      <w:r>
        <w:t xml:space="preserve"> when the data/biospecimens to be studied were not collected specifically for the current research. </w:t>
      </w:r>
    </w:p>
    <w:p w14:paraId="29C177F4" w14:textId="77777777" w:rsidR="00EE3C6A" w:rsidRPr="00EE3C6A" w:rsidRDefault="00EE3C6A" w:rsidP="00EE3C6A">
      <w:pPr>
        <w:spacing w:after="0" w:line="240" w:lineRule="auto"/>
      </w:pPr>
    </w:p>
    <w:p w14:paraId="7E2399A3" w14:textId="77777777" w:rsidR="00606C12" w:rsidRPr="006A56AB" w:rsidRDefault="00606C12" w:rsidP="00A07209">
      <w:pPr>
        <w:numPr>
          <w:ilvl w:val="1"/>
          <w:numId w:val="364"/>
        </w:numPr>
        <w:spacing w:after="60" w:line="240" w:lineRule="auto"/>
        <w:ind w:left="1080" w:hanging="360"/>
      </w:pPr>
      <w:r>
        <w:t xml:space="preserve">Research with previously collected </w:t>
      </w:r>
      <w:hyperlink w:anchor="Coded" w:history="1">
        <w:r>
          <w:rPr>
            <w:rStyle w:val="Hyperlink"/>
            <w:i/>
          </w:rPr>
          <w:t>coded</w:t>
        </w:r>
      </w:hyperlink>
      <w:r>
        <w:t xml:space="preserve"> data and/or biospecimens does not meet the definition of “research involving human subjects” and may be performed without IRB approval or exemption </w:t>
      </w:r>
      <w:r>
        <w:rPr>
          <w:i/>
        </w:rPr>
        <w:t>only</w:t>
      </w:r>
      <w:r>
        <w:t xml:space="preserve"> when </w:t>
      </w:r>
      <w:r>
        <w:rPr>
          <w:b/>
        </w:rPr>
        <w:t>all</w:t>
      </w:r>
      <w:r>
        <w:t xml:space="preserve"> of the following conditions are met:</w:t>
      </w:r>
    </w:p>
    <w:p w14:paraId="36CA05CA" w14:textId="77777777" w:rsidR="00606C12" w:rsidRPr="006A56AB" w:rsidRDefault="00606C12" w:rsidP="00A07209">
      <w:pPr>
        <w:widowControl w:val="0"/>
        <w:numPr>
          <w:ilvl w:val="1"/>
          <w:numId w:val="356"/>
        </w:numPr>
        <w:autoSpaceDE w:val="0"/>
        <w:autoSpaceDN w:val="0"/>
        <w:adjustRightInd w:val="0"/>
        <w:spacing w:after="60" w:line="240" w:lineRule="auto"/>
        <w:ind w:left="1800"/>
      </w:pPr>
      <w:r>
        <w:t>The data and/or biospecimens to be studied were not collected specifically for the current research.</w:t>
      </w:r>
    </w:p>
    <w:p w14:paraId="7F4CEEB8" w14:textId="77777777" w:rsidR="00606C12" w:rsidRPr="006A56AB" w:rsidRDefault="00606C12" w:rsidP="00A07209">
      <w:pPr>
        <w:widowControl w:val="0"/>
        <w:numPr>
          <w:ilvl w:val="1"/>
          <w:numId w:val="356"/>
        </w:numPr>
        <w:autoSpaceDE w:val="0"/>
        <w:autoSpaceDN w:val="0"/>
        <w:adjustRightInd w:val="0"/>
        <w:spacing w:after="0" w:line="240" w:lineRule="auto"/>
        <w:ind w:left="1800"/>
      </w:pPr>
      <w:r>
        <w:t>Investigator(s) cannot “readily ascertain” the identity of the source(s) of the coded data or biospecimens because one or both of the conditions below is met:</w:t>
      </w:r>
    </w:p>
    <w:p w14:paraId="456F0EF7" w14:textId="77777777" w:rsidR="00606C12" w:rsidRPr="006A56AB" w:rsidRDefault="00606C12" w:rsidP="00A07209">
      <w:pPr>
        <w:widowControl w:val="0"/>
        <w:numPr>
          <w:ilvl w:val="3"/>
          <w:numId w:val="461"/>
        </w:numPr>
        <w:autoSpaceDE w:val="0"/>
        <w:autoSpaceDN w:val="0"/>
        <w:adjustRightInd w:val="0"/>
        <w:spacing w:before="60" w:after="0" w:line="240" w:lineRule="auto"/>
        <w:ind w:left="2520"/>
      </w:pPr>
      <w:r>
        <w:t>The investigators and the holder of the “key” enter into an agreement prohibiting the release of the key to the investigators under any circumstances (until the source individuals are deceased).</w:t>
      </w:r>
    </w:p>
    <w:p w14:paraId="509DF8F7" w14:textId="77777777" w:rsidR="00606C12" w:rsidRDefault="00606C12" w:rsidP="00A07209">
      <w:pPr>
        <w:widowControl w:val="0"/>
        <w:numPr>
          <w:ilvl w:val="3"/>
          <w:numId w:val="461"/>
        </w:numPr>
        <w:autoSpaceDE w:val="0"/>
        <w:autoSpaceDN w:val="0"/>
        <w:adjustRightInd w:val="0"/>
        <w:spacing w:before="60" w:after="0" w:line="240" w:lineRule="auto"/>
        <w:ind w:left="2520"/>
      </w:pPr>
      <w:r>
        <w:t>IRB-approved written policies and procedures for the repository or data coordinating center prohibit the release of the key to the investigators under any circumstances (until the source individuals are deceased).</w:t>
      </w:r>
    </w:p>
    <w:p w14:paraId="5764F066" w14:textId="77777777" w:rsidR="00EE3C6A" w:rsidRPr="00EE3C6A" w:rsidRDefault="00EE3C6A" w:rsidP="00EE3C6A">
      <w:pPr>
        <w:widowControl w:val="0"/>
        <w:autoSpaceDE w:val="0"/>
        <w:autoSpaceDN w:val="0"/>
        <w:adjustRightInd w:val="0"/>
        <w:spacing w:before="60" w:after="0" w:line="240" w:lineRule="auto"/>
        <w:ind w:left="2520"/>
      </w:pPr>
    </w:p>
    <w:p w14:paraId="56675CA2" w14:textId="77777777" w:rsidR="00606C12" w:rsidRDefault="00606C12" w:rsidP="00A07209">
      <w:pPr>
        <w:numPr>
          <w:ilvl w:val="1"/>
          <w:numId w:val="364"/>
        </w:numPr>
        <w:spacing w:after="0" w:line="240" w:lineRule="auto"/>
        <w:ind w:left="1080" w:hanging="360"/>
        <w:rPr>
          <w:b/>
        </w:rPr>
      </w:pPr>
      <w:r>
        <w:t>Research with</w:t>
      </w:r>
      <w:r>
        <w:rPr>
          <w:i/>
        </w:rPr>
        <w:t xml:space="preserve"> </w:t>
      </w:r>
      <w:hyperlink w:anchor="Remnant_Biospecimen" w:history="1">
        <w:r>
          <w:rPr>
            <w:rStyle w:val="Hyperlink"/>
            <w:i/>
          </w:rPr>
          <w:t>remnant</w:t>
        </w:r>
        <w:r>
          <w:rPr>
            <w:rStyle w:val="Hyperlink"/>
          </w:rPr>
          <w:t xml:space="preserve"> biospecimens</w:t>
        </w:r>
      </w:hyperlink>
      <w:r>
        <w:t xml:space="preserve"> does not meet the definition of “research involving human subjects” and may be performed without IRB approval or exemption </w:t>
      </w:r>
      <w:r>
        <w:rPr>
          <w:i/>
        </w:rPr>
        <w:t>only</w:t>
      </w:r>
      <w:r>
        <w:t xml:space="preserve"> when their use meets the conditions for </w:t>
      </w:r>
      <w:r>
        <w:rPr>
          <w:i/>
        </w:rPr>
        <w:t>anonymous</w:t>
      </w:r>
      <w:r>
        <w:t xml:space="preserve"> or </w:t>
      </w:r>
      <w:r>
        <w:rPr>
          <w:i/>
        </w:rPr>
        <w:t xml:space="preserve">coded </w:t>
      </w:r>
      <w:r>
        <w:t xml:space="preserve">biospecimens above. </w:t>
      </w:r>
    </w:p>
    <w:p w14:paraId="56599C0D" w14:textId="77777777" w:rsidR="00EE3C6A" w:rsidRPr="00EE3C6A" w:rsidRDefault="00EE3C6A" w:rsidP="00EE3C6A">
      <w:pPr>
        <w:spacing w:after="0" w:line="240" w:lineRule="auto"/>
        <w:ind w:left="1080"/>
        <w:rPr>
          <w:b/>
        </w:rPr>
      </w:pPr>
    </w:p>
    <w:p w14:paraId="46C47976" w14:textId="77777777" w:rsidR="00606C12" w:rsidRDefault="00606C12" w:rsidP="00A07209">
      <w:pPr>
        <w:numPr>
          <w:ilvl w:val="0"/>
          <w:numId w:val="364"/>
        </w:numPr>
        <w:spacing w:after="0" w:line="240" w:lineRule="auto"/>
        <w:ind w:left="360" w:hanging="360"/>
        <w:rPr>
          <w:b/>
        </w:rPr>
      </w:pPr>
      <w:r>
        <w:rPr>
          <w:b/>
        </w:rPr>
        <w:t>Exempt Research</w:t>
      </w:r>
    </w:p>
    <w:p w14:paraId="7A747C6E" w14:textId="77777777" w:rsidR="007E1DCB" w:rsidRPr="007E1DCB" w:rsidRDefault="007E1DCB" w:rsidP="007E1DCB">
      <w:pPr>
        <w:spacing w:after="0" w:line="240" w:lineRule="auto"/>
        <w:ind w:left="360"/>
        <w:rPr>
          <w:b/>
        </w:rPr>
      </w:pPr>
    </w:p>
    <w:p w14:paraId="61D67C9F" w14:textId="77777777" w:rsidR="00606C12" w:rsidRPr="006A56AB" w:rsidRDefault="00606C12" w:rsidP="00A07209">
      <w:pPr>
        <w:numPr>
          <w:ilvl w:val="0"/>
          <w:numId w:val="357"/>
        </w:numPr>
        <w:spacing w:after="60" w:line="240" w:lineRule="auto"/>
      </w:pPr>
      <w:r>
        <w:t xml:space="preserve">Research involving </w:t>
      </w:r>
      <w:r>
        <w:rPr>
          <w:i/>
        </w:rPr>
        <w:t xml:space="preserve">existing </w:t>
      </w:r>
      <w:r>
        <w:t xml:space="preserve">data and/or biospecimens is exempt when </w:t>
      </w:r>
      <w:r>
        <w:rPr>
          <w:b/>
        </w:rPr>
        <w:t>all</w:t>
      </w:r>
      <w:r>
        <w:t xml:space="preserve"> of the following conditions are met:</w:t>
      </w:r>
    </w:p>
    <w:p w14:paraId="7C77D8EB" w14:textId="77777777" w:rsidR="00606C12" w:rsidRPr="006A56AB" w:rsidRDefault="00606C12" w:rsidP="00A07209">
      <w:pPr>
        <w:numPr>
          <w:ilvl w:val="0"/>
          <w:numId w:val="358"/>
        </w:numPr>
        <w:spacing w:after="60" w:line="240" w:lineRule="auto"/>
        <w:ind w:left="1800"/>
      </w:pPr>
      <w:r>
        <w:t>All data and/or biospecimens are available, or “on the shelf,” at the time the research is submitted for an exempt determination.</w:t>
      </w:r>
    </w:p>
    <w:p w14:paraId="1CC9A490" w14:textId="77777777" w:rsidR="00606C12" w:rsidRPr="006A56AB" w:rsidRDefault="00606C12" w:rsidP="00A07209">
      <w:pPr>
        <w:numPr>
          <w:ilvl w:val="0"/>
          <w:numId w:val="358"/>
        </w:numPr>
        <w:spacing w:after="60" w:line="240" w:lineRule="auto"/>
        <w:ind w:left="1800"/>
      </w:pPr>
      <w:r>
        <w:t>The sources of the data and/or biospecimens are publicly available or the information is recorded by the investigator in a way that participants cannot be identified, directly or through identifiers linked to the participants.</w:t>
      </w:r>
    </w:p>
    <w:p w14:paraId="7EBADF15" w14:textId="77777777" w:rsidR="00606C12" w:rsidRPr="006A56AB" w:rsidRDefault="00606C12" w:rsidP="00A07209">
      <w:pPr>
        <w:numPr>
          <w:ilvl w:val="0"/>
          <w:numId w:val="358"/>
        </w:numPr>
        <w:spacing w:after="120" w:line="240" w:lineRule="auto"/>
        <w:ind w:left="1800"/>
      </w:pPr>
      <w:r>
        <w:t>The research is not subject to FDA regulations</w:t>
      </w:r>
    </w:p>
    <w:p w14:paraId="620D205D" w14:textId="77777777" w:rsidR="00606C12" w:rsidRPr="006A56AB" w:rsidRDefault="00606C12" w:rsidP="00606C12"/>
    <w:p w14:paraId="2C9F73D1" w14:textId="77777777" w:rsidR="00606C12" w:rsidRDefault="00606C12" w:rsidP="00A07209">
      <w:pPr>
        <w:numPr>
          <w:ilvl w:val="0"/>
          <w:numId w:val="357"/>
        </w:numPr>
        <w:spacing w:after="0" w:line="240" w:lineRule="auto"/>
      </w:pPr>
      <w:r>
        <w:t>Prospective collection of biospecimens is not exempt from IRB review. Prospective data collection may be exempt in certain cases (e.g., some research qualifying under exempt category #1), depending on the nature of the data and population from whom the information is collected. For more information see HRPP policy [</w:t>
      </w:r>
      <w:hyperlink r:id="rId373" w:history="1">
        <w:r>
          <w:rPr>
            <w:rStyle w:val="Hyperlink"/>
          </w:rPr>
          <w:t>Exempt Research</w:t>
        </w:r>
      </w:hyperlink>
      <w:r>
        <w:t>].</w:t>
      </w:r>
    </w:p>
    <w:p w14:paraId="7C2ADF35" w14:textId="77777777" w:rsidR="007E1DCB" w:rsidRPr="007E1DCB" w:rsidRDefault="007E1DCB" w:rsidP="007E1DCB">
      <w:pPr>
        <w:spacing w:after="0" w:line="240" w:lineRule="auto"/>
        <w:ind w:left="1080"/>
      </w:pPr>
    </w:p>
    <w:p w14:paraId="13C1DCA2" w14:textId="77777777" w:rsidR="00606C12" w:rsidRDefault="00606C12" w:rsidP="00A07209">
      <w:pPr>
        <w:numPr>
          <w:ilvl w:val="0"/>
          <w:numId w:val="364"/>
        </w:numPr>
        <w:spacing w:after="0" w:line="240" w:lineRule="auto"/>
        <w:ind w:left="360" w:hanging="360"/>
        <w:rPr>
          <w:b/>
        </w:rPr>
      </w:pPr>
      <w:bookmarkStart w:id="361" w:name="Secondary_Uses"/>
      <w:r>
        <w:rPr>
          <w:b/>
        </w:rPr>
        <w:t>Secondary Uses of Previously Collected Data/Biospecimens</w:t>
      </w:r>
      <w:bookmarkEnd w:id="361"/>
    </w:p>
    <w:p w14:paraId="0F39E761" w14:textId="77777777" w:rsidR="007E1DCB" w:rsidRPr="007E1DCB" w:rsidRDefault="007E1DCB" w:rsidP="007E1DCB">
      <w:pPr>
        <w:spacing w:after="0" w:line="240" w:lineRule="auto"/>
        <w:ind w:left="360"/>
        <w:rPr>
          <w:b/>
        </w:rPr>
      </w:pPr>
    </w:p>
    <w:p w14:paraId="3B6E3461"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IRB approval or exemption is required for secondary research uses of previously collected data and/or biospecimens, </w:t>
      </w:r>
      <w:r>
        <w:rPr>
          <w:b/>
          <w:bCs/>
        </w:rPr>
        <w:t xml:space="preserve">unless only </w:t>
      </w:r>
      <w:r>
        <w:rPr>
          <w:b/>
          <w:bCs/>
          <w:i/>
        </w:rPr>
        <w:t>anonymous</w:t>
      </w:r>
      <w:r>
        <w:rPr>
          <w:b/>
          <w:bCs/>
        </w:rPr>
        <w:t xml:space="preserve"> or </w:t>
      </w:r>
      <w:r>
        <w:rPr>
          <w:b/>
          <w:bCs/>
          <w:i/>
        </w:rPr>
        <w:t xml:space="preserve">coded </w:t>
      </w:r>
      <w:r>
        <w:rPr>
          <w:b/>
          <w:bCs/>
        </w:rPr>
        <w:t>data/biospecimens are used as described above (see “</w:t>
      </w:r>
      <w:hyperlink w:anchor="Activities_not_HSR" w:history="1">
        <w:r>
          <w:rPr>
            <w:rStyle w:val="Hyperlink"/>
            <w:b/>
            <w:bCs/>
          </w:rPr>
          <w:t>Activities That Are Not Human Subjects Research</w:t>
        </w:r>
      </w:hyperlink>
      <w:r>
        <w:rPr>
          <w:b/>
          <w:bCs/>
        </w:rPr>
        <w:t xml:space="preserve">”). </w:t>
      </w:r>
    </w:p>
    <w:p w14:paraId="0DDC334D" w14:textId="77777777" w:rsidR="007E1DCB" w:rsidRPr="007E1DCB" w:rsidRDefault="007E1DCB" w:rsidP="007E1DCB">
      <w:pPr>
        <w:spacing w:after="0" w:line="240" w:lineRule="auto"/>
        <w:ind w:left="720"/>
        <w:rPr>
          <w:rStyle w:val="Strong"/>
          <w:b w:val="0"/>
          <w:bCs/>
        </w:rPr>
      </w:pPr>
    </w:p>
    <w:p w14:paraId="53A8BE14"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Secondary research uses of </w:t>
      </w:r>
      <w:r>
        <w:rPr>
          <w:rStyle w:val="Strong"/>
          <w:b w:val="0"/>
          <w:bCs/>
          <w:i/>
        </w:rPr>
        <w:t>non-research</w:t>
      </w:r>
      <w:r>
        <w:rPr>
          <w:rStyle w:val="Strong"/>
          <w:b w:val="0"/>
          <w:bCs/>
        </w:rPr>
        <w:t xml:space="preserve"> collections of data/biospecimens (e.g., data or biospecimens that are retained for purposes other than research, such as clinical or educational records, archived pathology specimens, etc.) require IRB approval or exemption, as such collections have not been established as repositories with IRB-approved procedures for releasing materials that consider human subjects protection requirements. </w:t>
      </w:r>
    </w:p>
    <w:p w14:paraId="0B90EC72" w14:textId="77777777" w:rsidR="007E1DCB" w:rsidRPr="007E1DCB" w:rsidRDefault="007E1DCB" w:rsidP="007E1DCB">
      <w:pPr>
        <w:spacing w:after="0" w:line="240" w:lineRule="auto"/>
        <w:rPr>
          <w:rStyle w:val="Strong"/>
          <w:b w:val="0"/>
          <w:bCs/>
        </w:rPr>
      </w:pPr>
    </w:p>
    <w:p w14:paraId="51CB8976" w14:textId="77777777" w:rsidR="00606C12" w:rsidRDefault="00606C12" w:rsidP="00A07209">
      <w:pPr>
        <w:numPr>
          <w:ilvl w:val="0"/>
          <w:numId w:val="359"/>
        </w:numPr>
        <w:spacing w:after="0" w:line="240" w:lineRule="auto"/>
        <w:ind w:left="1080"/>
        <w:rPr>
          <w:rStyle w:val="Strong"/>
          <w:b w:val="0"/>
        </w:rPr>
      </w:pPr>
      <w:r>
        <w:t xml:space="preserve">Secondary (i.e., “new”) uses of data/biospecimens obtained for </w:t>
      </w:r>
      <w:r>
        <w:rPr>
          <w:i/>
        </w:rPr>
        <w:t>primary research purposes</w:t>
      </w:r>
      <w:r>
        <w:t xml:space="preserve"> by an investigator with IRB approval (or exemption) require IRB review of an amendment or a new protocol describing the proposed secondary use, depending on the previous approval (or exemption) and the new research objective(s). Informed consent may also be required for this new use (as described below), depending on the scope of the original consent and the newly proposed research.</w:t>
      </w:r>
    </w:p>
    <w:p w14:paraId="0865489D" w14:textId="77777777" w:rsidR="007E1DCB" w:rsidRPr="007E1DCB" w:rsidRDefault="007E1DCB" w:rsidP="007E1DCB">
      <w:pPr>
        <w:spacing w:after="0" w:line="240" w:lineRule="auto"/>
        <w:rPr>
          <w:rStyle w:val="Strong"/>
          <w:b w:val="0"/>
        </w:rPr>
      </w:pPr>
    </w:p>
    <w:p w14:paraId="309F7339" w14:textId="77777777" w:rsidR="00606C12" w:rsidRPr="00076836" w:rsidRDefault="00606C12" w:rsidP="00A07209">
      <w:pPr>
        <w:numPr>
          <w:ilvl w:val="0"/>
          <w:numId w:val="359"/>
        </w:numPr>
        <w:spacing w:after="0" w:line="240" w:lineRule="auto"/>
        <w:ind w:left="1080"/>
        <w:rPr>
          <w:rStyle w:val="Strong"/>
          <w:b w:val="0"/>
          <w:bCs/>
        </w:rPr>
      </w:pPr>
      <w:r>
        <w:rPr>
          <w:rStyle w:val="Strong"/>
          <w:b w:val="0"/>
          <w:bCs/>
        </w:rPr>
        <w:t xml:space="preserve">Research using previously collected data and/or biospecimens must be consistent with the scope and terms described in the original informed consent process/document, as applicable. If consent was not obtained (e.g., data/biospecimens obtained for non-research purposes) or the original consent does not adequately include the proposed secondary use, specific informed consent for the new research may be required. De-identification or coding of data/biospecimens should not be used as a means for circumventing the original terms of consent. Except in unusual circumstances, informed consent is required when identifiable data and/or biospecimens are used. </w:t>
      </w:r>
    </w:p>
    <w:p w14:paraId="7014106B" w14:textId="77777777" w:rsidR="00606C12" w:rsidRPr="006A56AB" w:rsidRDefault="00606C12" w:rsidP="00606C12">
      <w:pPr>
        <w:pStyle w:val="ColorfulShading-Accent31"/>
        <w:rPr>
          <w:rStyle w:val="Strong"/>
          <w:b w:val="0"/>
          <w:sz w:val="22"/>
          <w:szCs w:val="22"/>
        </w:rPr>
      </w:pPr>
    </w:p>
    <w:p w14:paraId="4CC6DA59" w14:textId="77777777" w:rsidR="00606C12" w:rsidRDefault="00606C12" w:rsidP="00A07209">
      <w:pPr>
        <w:numPr>
          <w:ilvl w:val="0"/>
          <w:numId w:val="359"/>
        </w:numPr>
        <w:spacing w:after="0" w:line="240" w:lineRule="auto"/>
        <w:ind w:left="1080"/>
        <w:rPr>
          <w:rStyle w:val="Strong"/>
          <w:b w:val="0"/>
          <w:bCs/>
        </w:rPr>
      </w:pPr>
      <w:r>
        <w:rPr>
          <w:rStyle w:val="Strong"/>
          <w:b w:val="0"/>
          <w:bCs/>
        </w:rPr>
        <w:t>Informed consent (and HIPAA authorization, when applicable) can be waived by the IRB for minimal risk non-exempt research with previously collected data and/or biospecimens when the research meets the regulatory criteria for waiver (see “</w:t>
      </w:r>
      <w:hyperlink w:anchor="Informed_Consent_Requirements" w:history="1">
        <w:r>
          <w:rPr>
            <w:rStyle w:val="Hyperlink"/>
            <w:bCs/>
          </w:rPr>
          <w:t>Informed Consent Requirements</w:t>
        </w:r>
      </w:hyperlink>
      <w:r>
        <w:rPr>
          <w:rStyle w:val="Strong"/>
          <w:b w:val="0"/>
          <w:bCs/>
        </w:rPr>
        <w:t>”).</w:t>
      </w:r>
    </w:p>
    <w:p w14:paraId="03B35D61" w14:textId="77777777" w:rsidR="007E1DCB" w:rsidRPr="007E1DCB" w:rsidRDefault="007E1DCB" w:rsidP="007E1DCB">
      <w:pPr>
        <w:spacing w:after="0" w:line="240" w:lineRule="auto"/>
        <w:rPr>
          <w:rStyle w:val="Strong"/>
          <w:b w:val="0"/>
          <w:bCs/>
        </w:rPr>
      </w:pPr>
    </w:p>
    <w:p w14:paraId="13120BF0" w14:textId="77777777" w:rsidR="00606C12" w:rsidRPr="00076836" w:rsidRDefault="00606C12" w:rsidP="00A07209">
      <w:pPr>
        <w:numPr>
          <w:ilvl w:val="0"/>
          <w:numId w:val="359"/>
        </w:numPr>
        <w:spacing w:after="60" w:line="240" w:lineRule="auto"/>
        <w:ind w:left="1080"/>
        <w:rPr>
          <w:rStyle w:val="Strong"/>
          <w:b w:val="0"/>
          <w:bCs/>
        </w:rPr>
      </w:pPr>
      <w:r>
        <w:rPr>
          <w:bCs/>
        </w:rPr>
        <w:t xml:space="preserve">Protocols for using previously collected data and/or biospecimens for research purposes should include the following information, as applicable: </w:t>
      </w:r>
    </w:p>
    <w:p w14:paraId="3660A46B" w14:textId="77777777" w:rsidR="00606C12" w:rsidRPr="00076836" w:rsidRDefault="00606C12" w:rsidP="00A07209">
      <w:pPr>
        <w:numPr>
          <w:ilvl w:val="2"/>
          <w:numId w:val="355"/>
        </w:numPr>
        <w:spacing w:after="60" w:line="240" w:lineRule="auto"/>
        <w:rPr>
          <w:bCs/>
        </w:rPr>
      </w:pPr>
      <w:r>
        <w:rPr>
          <w:bCs/>
        </w:rPr>
        <w:t>Purpose of using data/biospecimens</w:t>
      </w:r>
    </w:p>
    <w:p w14:paraId="3490797C" w14:textId="77777777" w:rsidR="00606C12" w:rsidRPr="006A56AB" w:rsidRDefault="00606C12" w:rsidP="00A07209">
      <w:pPr>
        <w:numPr>
          <w:ilvl w:val="2"/>
          <w:numId w:val="355"/>
        </w:numPr>
        <w:spacing w:after="60" w:line="240" w:lineRule="auto"/>
      </w:pPr>
      <w:r>
        <w:rPr>
          <w:bCs/>
        </w:rPr>
        <w:t>Type(s) of data/biospecimens to be studied</w:t>
      </w:r>
    </w:p>
    <w:p w14:paraId="25915102" w14:textId="77777777" w:rsidR="00606C12" w:rsidRPr="006A56AB" w:rsidRDefault="00606C12" w:rsidP="00A07209">
      <w:pPr>
        <w:numPr>
          <w:ilvl w:val="2"/>
          <w:numId w:val="355"/>
        </w:numPr>
        <w:spacing w:after="60" w:line="240" w:lineRule="auto"/>
      </w:pPr>
      <w:r>
        <w:t xml:space="preserve">Source(s) and circumstances under which the </w:t>
      </w:r>
      <w:r>
        <w:rPr>
          <w:bCs/>
        </w:rPr>
        <w:t>data/biospecimens</w:t>
      </w:r>
      <w:r>
        <w:t xml:space="preserve"> were collected</w:t>
      </w:r>
    </w:p>
    <w:p w14:paraId="52DD6DBA" w14:textId="77777777" w:rsidR="00606C12" w:rsidRPr="006A56AB" w:rsidRDefault="00606C12" w:rsidP="00A07209">
      <w:pPr>
        <w:numPr>
          <w:ilvl w:val="2"/>
          <w:numId w:val="355"/>
        </w:numPr>
        <w:spacing w:after="60" w:line="240" w:lineRule="auto"/>
      </w:pPr>
      <w:r>
        <w:rPr>
          <w:bCs/>
        </w:rPr>
        <w:t>State of the data/biospecimens to be obtained (i.e., identifiable or coded)</w:t>
      </w:r>
    </w:p>
    <w:p w14:paraId="13C754A9" w14:textId="77777777" w:rsidR="00606C12" w:rsidRPr="006A56AB" w:rsidRDefault="00606C12" w:rsidP="00A07209">
      <w:pPr>
        <w:numPr>
          <w:ilvl w:val="2"/>
          <w:numId w:val="355"/>
        </w:numPr>
        <w:spacing w:after="60" w:line="240" w:lineRule="auto"/>
      </w:pPr>
      <w:r>
        <w:t xml:space="preserve">If </w:t>
      </w:r>
      <w:r>
        <w:rPr>
          <w:bCs/>
        </w:rPr>
        <w:t>the requested data include individually identifiable protected health information</w:t>
      </w:r>
    </w:p>
    <w:p w14:paraId="610793EF" w14:textId="77777777" w:rsidR="00606C12" w:rsidRPr="006A56AB" w:rsidRDefault="00606C12" w:rsidP="00A07209">
      <w:pPr>
        <w:numPr>
          <w:ilvl w:val="2"/>
          <w:numId w:val="355"/>
        </w:numPr>
        <w:spacing w:after="60" w:line="240" w:lineRule="auto"/>
      </w:pPr>
      <w:r>
        <w:t>Whether informed consent (and HIPAA authorization, when applicable) was obtained for collection and future use of data/biospecimens</w:t>
      </w:r>
    </w:p>
    <w:p w14:paraId="7AC32F08" w14:textId="77777777" w:rsidR="00606C12" w:rsidRPr="006A56AB" w:rsidRDefault="00606C12" w:rsidP="00A07209">
      <w:pPr>
        <w:numPr>
          <w:ilvl w:val="2"/>
          <w:numId w:val="355"/>
        </w:numPr>
        <w:spacing w:after="60" w:line="240" w:lineRule="auto"/>
      </w:pPr>
      <w:r>
        <w:rPr>
          <w:bCs/>
        </w:rPr>
        <w:t>Physical location/equipment and security provisions for data/biospecimen storage</w:t>
      </w:r>
    </w:p>
    <w:p w14:paraId="2CF045BC" w14:textId="77777777" w:rsidR="00606C12" w:rsidRDefault="00606C12" w:rsidP="00A07209">
      <w:pPr>
        <w:numPr>
          <w:ilvl w:val="2"/>
          <w:numId w:val="355"/>
        </w:numPr>
        <w:spacing w:after="0" w:line="240" w:lineRule="auto"/>
      </w:pPr>
      <w:r>
        <w:rPr>
          <w:bCs/>
        </w:rPr>
        <w:t xml:space="preserve">Process for destruction or de-identification of identifiable or coded data/biospecimens at the end of the retention period </w:t>
      </w:r>
      <w:r>
        <w:rPr>
          <w:bCs/>
        </w:rPr>
        <w:br/>
      </w:r>
      <w:r>
        <w:rPr>
          <w:bCs/>
          <w:i/>
          <w:iCs/>
        </w:rPr>
        <w:t>Note:</w:t>
      </w:r>
      <w:r>
        <w:rPr>
          <w:i/>
        </w:rPr>
        <w:t xml:space="preserve"> Investigators should de-identify materials when identifiers are no longer needed, consistent with the research; when identifiers are needed, only the minimum necessary should be retained.</w:t>
      </w:r>
    </w:p>
    <w:p w14:paraId="18B012A5" w14:textId="77777777" w:rsidR="007E1DCB" w:rsidRPr="007E1DCB" w:rsidRDefault="007E1DCB" w:rsidP="007E1DCB">
      <w:pPr>
        <w:spacing w:after="0" w:line="240" w:lineRule="auto"/>
        <w:ind w:left="1800"/>
        <w:rPr>
          <w:rStyle w:val="Strong"/>
          <w:b w:val="0"/>
        </w:rPr>
      </w:pPr>
    </w:p>
    <w:p w14:paraId="35C7F326"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Investigators may only share data and/or biospecimens with collaborators (internal or external to Ohio State) for secondary research purposes with IRB approval. </w:t>
      </w:r>
    </w:p>
    <w:p w14:paraId="52C7BCEA" w14:textId="77777777" w:rsidR="007E1DCB" w:rsidRPr="007E1DCB" w:rsidRDefault="007E1DCB" w:rsidP="007E1DCB">
      <w:pPr>
        <w:spacing w:after="0" w:line="240" w:lineRule="auto"/>
        <w:ind w:left="720"/>
        <w:rPr>
          <w:rStyle w:val="Strong"/>
          <w:b w:val="0"/>
          <w:bCs/>
        </w:rPr>
      </w:pPr>
    </w:p>
    <w:p w14:paraId="53A73B1E" w14:textId="77777777" w:rsidR="00606C12" w:rsidRDefault="00606C12" w:rsidP="00A07209">
      <w:pPr>
        <w:numPr>
          <w:ilvl w:val="0"/>
          <w:numId w:val="359"/>
        </w:numPr>
        <w:spacing w:after="0" w:line="240" w:lineRule="auto"/>
        <w:ind w:left="1080"/>
        <w:rPr>
          <w:rStyle w:val="Strong"/>
          <w:b w:val="0"/>
          <w:bCs/>
        </w:rPr>
      </w:pPr>
      <w:r>
        <w:rPr>
          <w:rStyle w:val="Strong"/>
          <w:b w:val="0"/>
          <w:bCs/>
        </w:rPr>
        <w:lastRenderedPageBreak/>
        <w:t>Distribution of data and/or biospecimens for secondary research uses beyond a single transfer described in a specific IRB-approved protocol generally requires approval for a repository (see “</w:t>
      </w:r>
      <w:hyperlink w:anchor="Repositories_Collection_Storage_Dist" w:history="1">
        <w:r>
          <w:rPr>
            <w:rStyle w:val="Hyperlink"/>
            <w:b/>
            <w:bCs/>
          </w:rPr>
          <w:t>Repositories – Collection, Storage, and/or Distribution of Data/Biospecimens</w:t>
        </w:r>
      </w:hyperlink>
      <w:r>
        <w:rPr>
          <w:rStyle w:val="Strong"/>
          <w:b w:val="0"/>
          <w:bCs/>
        </w:rPr>
        <w:t>”).</w:t>
      </w:r>
    </w:p>
    <w:p w14:paraId="5193CD22" w14:textId="77777777" w:rsidR="007E1DCB" w:rsidRPr="007E1DCB" w:rsidRDefault="007E1DCB" w:rsidP="007E1DCB">
      <w:pPr>
        <w:spacing w:after="0" w:line="240" w:lineRule="auto"/>
        <w:rPr>
          <w:rStyle w:val="Strong"/>
          <w:b w:val="0"/>
          <w:bCs/>
        </w:rPr>
      </w:pPr>
    </w:p>
    <w:p w14:paraId="2E316606" w14:textId="77777777" w:rsidR="00606C12" w:rsidRDefault="00606C12" w:rsidP="00A07209">
      <w:pPr>
        <w:numPr>
          <w:ilvl w:val="0"/>
          <w:numId w:val="359"/>
        </w:numPr>
        <w:spacing w:after="0" w:line="240" w:lineRule="auto"/>
        <w:ind w:left="1080"/>
        <w:rPr>
          <w:rStyle w:val="Strong"/>
          <w:b w:val="0"/>
          <w:bCs/>
        </w:rPr>
      </w:pPr>
      <w:r>
        <w:rPr>
          <w:rStyle w:val="Strong"/>
          <w:b w:val="0"/>
          <w:bCs/>
        </w:rPr>
        <w:t xml:space="preserve">Confidential disclosure agreements (CDAs), data use agreements (DUAs), or </w:t>
      </w:r>
      <w:r>
        <w:rPr>
          <w:b/>
          <w:bCs/>
        </w:rPr>
        <w:t xml:space="preserve">material transfer agreements (MTAs) </w:t>
      </w:r>
      <w:r>
        <w:rPr>
          <w:rStyle w:val="Strong"/>
          <w:b w:val="0"/>
          <w:bCs/>
        </w:rPr>
        <w:t xml:space="preserve">may be required for sharing research data or biospecimens with non-Ohio State collaborators. For more information and signatory authority, contact the </w:t>
      </w:r>
      <w:hyperlink r:id="rId374" w:history="1">
        <w:r>
          <w:rPr>
            <w:rStyle w:val="Hyperlink"/>
            <w:b/>
            <w:bCs/>
          </w:rPr>
          <w:t>Office of Innovation and Economic Development</w:t>
        </w:r>
      </w:hyperlink>
      <w:r>
        <w:rPr>
          <w:b/>
          <w:bCs/>
        </w:rPr>
        <w:t>.</w:t>
      </w:r>
    </w:p>
    <w:p w14:paraId="3823B166" w14:textId="77777777" w:rsidR="007E1DCB" w:rsidRPr="007E1DCB" w:rsidRDefault="007E1DCB" w:rsidP="007E1DCB">
      <w:pPr>
        <w:spacing w:after="0" w:line="240" w:lineRule="auto"/>
        <w:rPr>
          <w:rStyle w:val="Strong"/>
          <w:b w:val="0"/>
          <w:bCs/>
        </w:rPr>
      </w:pPr>
    </w:p>
    <w:p w14:paraId="4C5958E4" w14:textId="77777777" w:rsidR="00606C12" w:rsidRPr="007E1DCB" w:rsidRDefault="00606C12" w:rsidP="00A07209">
      <w:pPr>
        <w:pStyle w:val="Default"/>
        <w:numPr>
          <w:ilvl w:val="0"/>
          <w:numId w:val="359"/>
        </w:numPr>
        <w:ind w:left="1080"/>
        <w:rPr>
          <w:color w:val="0000FF"/>
          <w:sz w:val="22"/>
          <w:szCs w:val="22"/>
        </w:rPr>
      </w:pPr>
      <w:bookmarkStart w:id="362" w:name="_Hlk85558806"/>
      <w:r>
        <w:rPr>
          <w:sz w:val="22"/>
          <w:szCs w:val="22"/>
        </w:rPr>
        <w:t xml:space="preserve">Access to and/or use of identifiable patient information from medical records or clinical databases for research purposes must comply with the requirements of the HIPAA Privacy and Security Rules and university policy [i.e., </w:t>
      </w:r>
      <w:hyperlink r:id="rId375" w:history="1">
        <w:r>
          <w:rPr>
            <w:rStyle w:val="Hyperlink"/>
            <w:sz w:val="22"/>
            <w:szCs w:val="22"/>
          </w:rPr>
          <w:t>University Hospital Policy 09-11: Use of Patient Information by Hospitals and Medical Staff</w:t>
        </w:r>
      </w:hyperlink>
      <w:r>
        <w:rPr>
          <w:color w:val="0000FF"/>
          <w:sz w:val="22"/>
          <w:szCs w:val="22"/>
        </w:rPr>
        <w:t xml:space="preserve">, </w:t>
      </w:r>
      <w:hyperlink r:id="rId376" w:history="1">
        <w:r>
          <w:rPr>
            <w:rStyle w:val="Hyperlink"/>
            <w:sz w:val="22"/>
            <w:szCs w:val="22"/>
          </w:rPr>
          <w:t>Protected Health Information and HIPAA</w:t>
        </w:r>
      </w:hyperlink>
      <w:r>
        <w:rPr>
          <w:sz w:val="22"/>
          <w:szCs w:val="22"/>
        </w:rPr>
        <w:t xml:space="preserve">]. For more information, contact the appropriate Ohio State </w:t>
      </w:r>
      <w:hyperlink r:id="rId377" w:history="1">
        <w:r>
          <w:rPr>
            <w:rStyle w:val="Hyperlink"/>
            <w:sz w:val="22"/>
            <w:szCs w:val="22"/>
          </w:rPr>
          <w:t>privacy officer</w:t>
        </w:r>
      </w:hyperlink>
      <w:r>
        <w:rPr>
          <w:sz w:val="22"/>
          <w:szCs w:val="22"/>
        </w:rPr>
        <w:t>.</w:t>
      </w:r>
      <w:bookmarkEnd w:id="362"/>
    </w:p>
    <w:p w14:paraId="1AB3FD92" w14:textId="77777777" w:rsidR="007E1DCB" w:rsidRPr="007E1DCB" w:rsidRDefault="007E1DCB" w:rsidP="007E1DCB">
      <w:pPr>
        <w:pStyle w:val="Default"/>
        <w:rPr>
          <w:rStyle w:val="Strong"/>
          <w:b w:val="0"/>
          <w:color w:val="0000FF"/>
          <w:sz w:val="22"/>
          <w:szCs w:val="22"/>
        </w:rPr>
      </w:pPr>
    </w:p>
    <w:p w14:paraId="06137C3F" w14:textId="77777777" w:rsidR="00606C12" w:rsidRPr="006A56AB" w:rsidRDefault="00606C12" w:rsidP="00A07209">
      <w:pPr>
        <w:pStyle w:val="Default"/>
        <w:numPr>
          <w:ilvl w:val="0"/>
          <w:numId w:val="359"/>
        </w:numPr>
        <w:ind w:left="1080"/>
        <w:rPr>
          <w:sz w:val="22"/>
          <w:szCs w:val="22"/>
        </w:rPr>
      </w:pPr>
      <w:r>
        <w:rPr>
          <w:sz w:val="22"/>
          <w:szCs w:val="22"/>
        </w:rPr>
        <w:t xml:space="preserve">The proposed use of student education or treatment records in research must comply with the requirements of the </w:t>
      </w:r>
      <w:hyperlink r:id="rId378" w:history="1">
        <w:r>
          <w:rPr>
            <w:rStyle w:val="Hyperlink"/>
            <w:sz w:val="22"/>
            <w:szCs w:val="22"/>
          </w:rPr>
          <w:t>Family Educational Rights and Privacy Act (FERPA)</w:t>
        </w:r>
      </w:hyperlink>
      <w:r>
        <w:rPr>
          <w:sz w:val="22"/>
          <w:szCs w:val="22"/>
        </w:rPr>
        <w:t xml:space="preserve">. For information about the release of student records at Ohio State, see </w:t>
      </w:r>
      <w:hyperlink r:id="rId379" w:history="1">
        <w:r>
          <w:rPr>
            <w:rStyle w:val="Hyperlink"/>
            <w:sz w:val="22"/>
            <w:szCs w:val="22"/>
          </w:rPr>
          <w:t>Privacy and Release of Student Education Records</w:t>
        </w:r>
      </w:hyperlink>
      <w:r>
        <w:rPr>
          <w:sz w:val="22"/>
          <w:szCs w:val="22"/>
        </w:rPr>
        <w:t xml:space="preserve"> or contact the </w:t>
      </w:r>
      <w:hyperlink r:id="rId380" w:history="1">
        <w:r>
          <w:rPr>
            <w:rStyle w:val="Hyperlink"/>
            <w:sz w:val="22"/>
            <w:szCs w:val="22"/>
          </w:rPr>
          <w:t>Office of the University Registrar</w:t>
        </w:r>
      </w:hyperlink>
      <w:r>
        <w:rPr>
          <w:sz w:val="22"/>
          <w:szCs w:val="22"/>
        </w:rPr>
        <w:t>.</w:t>
      </w:r>
    </w:p>
    <w:p w14:paraId="349224D3" w14:textId="77777777" w:rsidR="00606C12" w:rsidRPr="006A56AB" w:rsidRDefault="00606C12" w:rsidP="00606C12">
      <w:pPr>
        <w:rPr>
          <w:b/>
        </w:rPr>
      </w:pPr>
    </w:p>
    <w:p w14:paraId="659B855F" w14:textId="77777777" w:rsidR="00606C12" w:rsidRDefault="00606C12" w:rsidP="00A07209">
      <w:pPr>
        <w:numPr>
          <w:ilvl w:val="0"/>
          <w:numId w:val="364"/>
        </w:numPr>
        <w:spacing w:after="0" w:line="240" w:lineRule="auto"/>
        <w:ind w:left="360" w:hanging="360"/>
        <w:rPr>
          <w:b/>
        </w:rPr>
      </w:pPr>
      <w:bookmarkStart w:id="363" w:name="Repositories_Collection_Storage_Dist"/>
      <w:r>
        <w:rPr>
          <w:b/>
        </w:rPr>
        <w:t>Repositories – Collection, Storage, and/or Distribution of Data/Biospecimens</w:t>
      </w:r>
      <w:bookmarkEnd w:id="363"/>
    </w:p>
    <w:p w14:paraId="1A587BBC" w14:textId="77777777" w:rsidR="007E1DCB" w:rsidRPr="007E1DCB" w:rsidRDefault="007E1DCB" w:rsidP="007E1DCB">
      <w:pPr>
        <w:spacing w:after="0" w:line="240" w:lineRule="auto"/>
        <w:ind w:left="360"/>
        <w:rPr>
          <w:b/>
        </w:rPr>
      </w:pPr>
    </w:p>
    <w:p w14:paraId="4F8F9631" w14:textId="77777777" w:rsidR="00606C12" w:rsidRDefault="00606C12" w:rsidP="00A07209">
      <w:pPr>
        <w:numPr>
          <w:ilvl w:val="1"/>
          <w:numId w:val="364"/>
        </w:numPr>
        <w:spacing w:after="0" w:line="240" w:lineRule="auto"/>
        <w:ind w:left="1080" w:hanging="360"/>
        <w:rPr>
          <w:b/>
        </w:rPr>
      </w:pPr>
      <w:r>
        <w:t xml:space="preserve">Data and biospecimen repositories/banks may range from materials held by a single investigator in his/her office or laboratory to large networks with central coordinating centers. Although the size, purpose, types of information and materials stored, and populations from whom the data/biospecimens are collected may also vary widely, creating a data and/or specimen bank for </w:t>
      </w:r>
      <w:r>
        <w:rPr>
          <w:i/>
        </w:rPr>
        <w:t>future research purposes</w:t>
      </w:r>
      <w:r>
        <w:t xml:space="preserve"> (i.e., rather than using data/biospecimens only for pre-defined analyses as described in a specific IRB-approved protocol) is defined as “research involving human subjects;” and IRB review and approval is required.</w:t>
      </w:r>
    </w:p>
    <w:p w14:paraId="5281A6CC" w14:textId="77777777" w:rsidR="007E1DCB" w:rsidRPr="007E1DCB" w:rsidRDefault="007E1DCB" w:rsidP="007E1DCB">
      <w:pPr>
        <w:spacing w:after="0" w:line="240" w:lineRule="auto"/>
        <w:ind w:left="792"/>
        <w:rPr>
          <w:b/>
        </w:rPr>
      </w:pPr>
    </w:p>
    <w:p w14:paraId="52E8C782" w14:textId="77777777" w:rsidR="00606C12" w:rsidRDefault="00606C12" w:rsidP="00A07209">
      <w:pPr>
        <w:numPr>
          <w:ilvl w:val="1"/>
          <w:numId w:val="364"/>
        </w:numPr>
        <w:spacing w:after="0" w:line="240" w:lineRule="auto"/>
        <w:ind w:left="1080" w:hanging="360"/>
        <w:rPr>
          <w:b/>
        </w:rPr>
      </w:pPr>
      <w:r>
        <w:t>Informed consent is required for collection of data and/or biospecimens to be stored for future research (see “</w:t>
      </w:r>
      <w:hyperlink w:anchor="Informed_Consent_Requirements" w:history="1">
        <w:r>
          <w:rPr>
            <w:rStyle w:val="Hyperlink"/>
          </w:rPr>
          <w:t>Informed Consent Requirements</w:t>
        </w:r>
      </w:hyperlink>
      <w:r>
        <w:t>”). HIPAA authorization is also required when the data include protected health information.</w:t>
      </w:r>
    </w:p>
    <w:p w14:paraId="473AB98B" w14:textId="77777777" w:rsidR="007E1DCB" w:rsidRPr="007E1DCB" w:rsidRDefault="007E1DCB" w:rsidP="007E1DCB">
      <w:pPr>
        <w:spacing w:after="0" w:line="240" w:lineRule="auto"/>
        <w:rPr>
          <w:b/>
        </w:rPr>
      </w:pPr>
    </w:p>
    <w:p w14:paraId="32ECD1E1" w14:textId="77777777" w:rsidR="00606C12" w:rsidRPr="006A56AB" w:rsidRDefault="00606C12" w:rsidP="00A07209">
      <w:pPr>
        <w:numPr>
          <w:ilvl w:val="1"/>
          <w:numId w:val="364"/>
        </w:numPr>
        <w:spacing w:after="60" w:line="240" w:lineRule="auto"/>
        <w:ind w:left="1080" w:hanging="360"/>
        <w:rPr>
          <w:b/>
        </w:rPr>
      </w:pPr>
      <w:r>
        <w:t>Protocols for creating data and/or biospecimen repositories for research purposes should include the following information, as applicable:</w:t>
      </w:r>
    </w:p>
    <w:p w14:paraId="423C6A0C" w14:textId="77777777" w:rsidR="00606C12" w:rsidRPr="006A56AB" w:rsidRDefault="00606C12" w:rsidP="00A07209">
      <w:pPr>
        <w:numPr>
          <w:ilvl w:val="2"/>
          <w:numId w:val="355"/>
        </w:numPr>
        <w:spacing w:after="60" w:line="240" w:lineRule="auto"/>
      </w:pPr>
      <w:r>
        <w:t xml:space="preserve">Purpose of collecting and storing </w:t>
      </w:r>
      <w:r>
        <w:rPr>
          <w:bCs/>
        </w:rPr>
        <w:t>data/biospecimens</w:t>
      </w:r>
    </w:p>
    <w:p w14:paraId="22BD28E0" w14:textId="77777777" w:rsidR="00606C12" w:rsidRPr="006A56AB" w:rsidRDefault="00606C12" w:rsidP="00A07209">
      <w:pPr>
        <w:numPr>
          <w:ilvl w:val="2"/>
          <w:numId w:val="355"/>
        </w:numPr>
        <w:spacing w:after="60" w:line="240" w:lineRule="auto"/>
      </w:pPr>
      <w:r>
        <w:rPr>
          <w:bCs/>
        </w:rPr>
        <w:t>Type(s) of data/biospecimens to be collected and stored</w:t>
      </w:r>
    </w:p>
    <w:p w14:paraId="4DD5DD09" w14:textId="77777777" w:rsidR="00606C12" w:rsidRPr="006A56AB" w:rsidRDefault="00606C12" w:rsidP="00A07209">
      <w:pPr>
        <w:numPr>
          <w:ilvl w:val="2"/>
          <w:numId w:val="355"/>
        </w:numPr>
        <w:spacing w:after="60" w:line="240" w:lineRule="auto"/>
      </w:pPr>
      <w:r>
        <w:t xml:space="preserve">Source(s) and circumstances of </w:t>
      </w:r>
      <w:r>
        <w:rPr>
          <w:bCs/>
        </w:rPr>
        <w:t>data/biospecimen</w:t>
      </w:r>
      <w:r>
        <w:t xml:space="preserve"> collection (i.e., obtained directly from participants or from a secondary source)</w:t>
      </w:r>
    </w:p>
    <w:p w14:paraId="208D7CEF" w14:textId="77777777" w:rsidR="00606C12" w:rsidRPr="006A56AB" w:rsidRDefault="00606C12" w:rsidP="00A07209">
      <w:pPr>
        <w:numPr>
          <w:ilvl w:val="2"/>
          <w:numId w:val="355"/>
        </w:numPr>
        <w:spacing w:after="60" w:line="240" w:lineRule="auto"/>
      </w:pPr>
      <w:r>
        <w:rPr>
          <w:bCs/>
        </w:rPr>
        <w:t>How the data/biospecimens will be stored (i.e., identifiable, coded, or de-identified)</w:t>
      </w:r>
    </w:p>
    <w:p w14:paraId="6EFEAE6B" w14:textId="77777777" w:rsidR="00606C12" w:rsidRPr="006A56AB" w:rsidRDefault="00606C12" w:rsidP="00A07209">
      <w:pPr>
        <w:numPr>
          <w:ilvl w:val="2"/>
          <w:numId w:val="355"/>
        </w:numPr>
        <w:spacing w:after="60" w:line="240" w:lineRule="auto"/>
      </w:pPr>
      <w:r>
        <w:t xml:space="preserve">If </w:t>
      </w:r>
      <w:r>
        <w:rPr>
          <w:bCs/>
        </w:rPr>
        <w:t>the data include individually identifiable protected health information</w:t>
      </w:r>
    </w:p>
    <w:p w14:paraId="3B7637A8" w14:textId="77777777" w:rsidR="00606C12" w:rsidRPr="006A56AB" w:rsidRDefault="00606C12" w:rsidP="00A07209">
      <w:pPr>
        <w:numPr>
          <w:ilvl w:val="2"/>
          <w:numId w:val="355"/>
        </w:numPr>
        <w:spacing w:after="60" w:line="240" w:lineRule="auto"/>
      </w:pPr>
      <w:r>
        <w:rPr>
          <w:bCs/>
        </w:rPr>
        <w:t>Physical location/equipment and security provisions for data/biospecimen storage</w:t>
      </w:r>
    </w:p>
    <w:p w14:paraId="4141FA61" w14:textId="77777777" w:rsidR="00606C12" w:rsidRPr="006A56AB" w:rsidRDefault="00606C12" w:rsidP="00A07209">
      <w:pPr>
        <w:numPr>
          <w:ilvl w:val="2"/>
          <w:numId w:val="355"/>
        </w:numPr>
        <w:spacing w:after="60" w:line="240" w:lineRule="auto"/>
      </w:pPr>
      <w:r>
        <w:rPr>
          <w:bCs/>
        </w:rPr>
        <w:t>Length of time</w:t>
      </w:r>
      <w:r>
        <w:t xml:space="preserve"> data/biospecimens will be stored</w:t>
      </w:r>
    </w:p>
    <w:p w14:paraId="1B2F269E" w14:textId="77777777" w:rsidR="00606C12" w:rsidRPr="006A56AB" w:rsidRDefault="00606C12" w:rsidP="00A07209">
      <w:pPr>
        <w:numPr>
          <w:ilvl w:val="2"/>
          <w:numId w:val="355"/>
        </w:numPr>
        <w:spacing w:after="60" w:line="240" w:lineRule="auto"/>
      </w:pPr>
      <w:r>
        <w:rPr>
          <w:bCs/>
        </w:rPr>
        <w:t>Any limits on data/biospecimens’ intended future use (e.g., for cancer research only)</w:t>
      </w:r>
    </w:p>
    <w:p w14:paraId="7AE94AE5" w14:textId="77777777" w:rsidR="00606C12" w:rsidRPr="006A56AB" w:rsidRDefault="00606C12" w:rsidP="00A07209">
      <w:pPr>
        <w:numPr>
          <w:ilvl w:val="2"/>
          <w:numId w:val="355"/>
        </w:numPr>
        <w:spacing w:after="60" w:line="240" w:lineRule="auto"/>
      </w:pPr>
      <w:r>
        <w:rPr>
          <w:bCs/>
        </w:rPr>
        <w:t>With whom data/biospecimens may be shared (including non-Ohio State researchers)</w:t>
      </w:r>
    </w:p>
    <w:p w14:paraId="62EB28AD" w14:textId="77777777" w:rsidR="00606C12" w:rsidRPr="006A56AB" w:rsidRDefault="00606C12" w:rsidP="00A07209">
      <w:pPr>
        <w:numPr>
          <w:ilvl w:val="2"/>
          <w:numId w:val="355"/>
        </w:numPr>
        <w:spacing w:after="60" w:line="240" w:lineRule="auto"/>
      </w:pPr>
      <w:r>
        <w:t xml:space="preserve">Process for requesting and releasing </w:t>
      </w:r>
      <w:r>
        <w:rPr>
          <w:bCs/>
        </w:rPr>
        <w:t>data/biospecimens</w:t>
      </w:r>
    </w:p>
    <w:p w14:paraId="72846DDB" w14:textId="77777777" w:rsidR="00606C12" w:rsidRPr="006A56AB" w:rsidRDefault="00606C12" w:rsidP="00A07209">
      <w:pPr>
        <w:numPr>
          <w:ilvl w:val="2"/>
          <w:numId w:val="355"/>
        </w:numPr>
        <w:spacing w:after="60" w:line="240" w:lineRule="auto"/>
      </w:pPr>
      <w:r>
        <w:t xml:space="preserve">How </w:t>
      </w:r>
      <w:r>
        <w:rPr>
          <w:bCs/>
        </w:rPr>
        <w:t>data/biospecimens</w:t>
      </w:r>
      <w:r>
        <w:t xml:space="preserve"> will be released </w:t>
      </w:r>
      <w:r>
        <w:rPr>
          <w:bCs/>
        </w:rPr>
        <w:t>(i.e., identifiable, coded, or de-identified)</w:t>
      </w:r>
    </w:p>
    <w:p w14:paraId="5D7751CF" w14:textId="77777777" w:rsidR="00606C12" w:rsidRPr="006A56AB" w:rsidRDefault="00606C12" w:rsidP="00A07209">
      <w:pPr>
        <w:numPr>
          <w:ilvl w:val="2"/>
          <w:numId w:val="355"/>
        </w:numPr>
        <w:spacing w:after="60" w:line="240" w:lineRule="auto"/>
      </w:pPr>
      <w:r>
        <w:t>Procedures to withdraw participants’</w:t>
      </w:r>
      <w:r>
        <w:rPr>
          <w:bCs/>
        </w:rPr>
        <w:t xml:space="preserve"> data/biospecimens</w:t>
      </w:r>
      <w:r>
        <w:t xml:space="preserve"> from future research</w:t>
      </w:r>
    </w:p>
    <w:p w14:paraId="458A57BA" w14:textId="77777777" w:rsidR="00606C12" w:rsidRPr="006A56AB" w:rsidRDefault="00606C12" w:rsidP="00A07209">
      <w:pPr>
        <w:numPr>
          <w:ilvl w:val="2"/>
          <w:numId w:val="355"/>
        </w:numPr>
        <w:spacing w:after="60" w:line="240" w:lineRule="auto"/>
      </w:pPr>
      <w:r>
        <w:t>Plan for continuing repository operations in the absence (or departure) of the principal investigator</w:t>
      </w:r>
    </w:p>
    <w:p w14:paraId="67545921" w14:textId="77777777" w:rsidR="00606C12" w:rsidRDefault="00606C12" w:rsidP="00A07209">
      <w:pPr>
        <w:numPr>
          <w:ilvl w:val="2"/>
          <w:numId w:val="355"/>
        </w:numPr>
        <w:spacing w:after="0" w:line="240" w:lineRule="auto"/>
      </w:pPr>
      <w:r>
        <w:rPr>
          <w:bCs/>
        </w:rPr>
        <w:lastRenderedPageBreak/>
        <w:t>Process for destruction or de-identification of identifiable or coded data/biospecimens at the end of the retention period</w:t>
      </w:r>
    </w:p>
    <w:p w14:paraId="29EC29AC" w14:textId="77777777" w:rsidR="007E1DCB" w:rsidRPr="007E1DCB" w:rsidRDefault="007E1DCB" w:rsidP="007E1DCB">
      <w:pPr>
        <w:spacing w:after="0" w:line="240" w:lineRule="auto"/>
        <w:ind w:left="1800"/>
      </w:pPr>
    </w:p>
    <w:p w14:paraId="6407676D" w14:textId="77777777" w:rsidR="00606C12" w:rsidRDefault="00606C12" w:rsidP="00A07209">
      <w:pPr>
        <w:pStyle w:val="Default"/>
        <w:numPr>
          <w:ilvl w:val="1"/>
          <w:numId w:val="364"/>
        </w:numPr>
        <w:spacing w:after="60"/>
        <w:ind w:left="1152"/>
        <w:rPr>
          <w:sz w:val="22"/>
          <w:szCs w:val="22"/>
        </w:rPr>
      </w:pPr>
      <w:r>
        <w:rPr>
          <w:sz w:val="22"/>
          <w:szCs w:val="22"/>
        </w:rPr>
        <w:t xml:space="preserve">If a National Institutes of Health (NIH) Certificate of Confidentiality (CoC) is not automatically issued, consideration should be given to obtaining a </w:t>
      </w:r>
      <w:bookmarkStart w:id="364" w:name="_Hlk85460332"/>
      <w:r>
        <w:rPr>
          <w:sz w:val="22"/>
          <w:szCs w:val="22"/>
        </w:rPr>
        <w:t xml:space="preserve">CoC </w:t>
      </w:r>
      <w:bookmarkEnd w:id="364"/>
      <w:r>
        <w:rPr>
          <w:sz w:val="22"/>
          <w:szCs w:val="22"/>
        </w:rPr>
        <w:t>to protect the confidentiality of banked identifiable or coded data/biospecimens. For more information about Certificates of Confidentiality, see “NIH Certificates of Confidentiality” in HRPP policy [</w:t>
      </w:r>
      <w:hyperlink r:id="rId381" w:history="1">
        <w:r>
          <w:rPr>
            <w:rStyle w:val="Hyperlink"/>
            <w:sz w:val="22"/>
            <w:szCs w:val="22"/>
          </w:rPr>
          <w:t>Privacy and Confidentiality</w:t>
        </w:r>
      </w:hyperlink>
      <w:r>
        <w:rPr>
          <w:sz w:val="22"/>
          <w:szCs w:val="22"/>
        </w:rPr>
        <w:t xml:space="preserve">] or NIH </w:t>
      </w:r>
      <w:hyperlink r:id="rId382" w:history="1">
        <w:r>
          <w:rPr>
            <w:rStyle w:val="Hyperlink"/>
            <w:sz w:val="22"/>
            <w:szCs w:val="22"/>
          </w:rPr>
          <w:t>Certificates of Confidentiality (CoC) - Human Subjects</w:t>
        </w:r>
      </w:hyperlink>
      <w:r>
        <w:rPr>
          <w:sz w:val="22"/>
          <w:szCs w:val="22"/>
        </w:rPr>
        <w:t xml:space="preserve">. </w:t>
      </w:r>
    </w:p>
    <w:p w14:paraId="0B17A66E" w14:textId="77777777" w:rsidR="007E1DCB" w:rsidRPr="007E1DCB" w:rsidRDefault="007E1DCB" w:rsidP="007E1DCB">
      <w:pPr>
        <w:pStyle w:val="Default"/>
        <w:spacing w:after="60"/>
        <w:ind w:left="792"/>
        <w:rPr>
          <w:sz w:val="22"/>
          <w:szCs w:val="22"/>
        </w:rPr>
      </w:pPr>
    </w:p>
    <w:p w14:paraId="255877AB" w14:textId="77777777" w:rsidR="00606C12" w:rsidRPr="00172D87" w:rsidRDefault="00606C12" w:rsidP="00A07209">
      <w:pPr>
        <w:pStyle w:val="Default"/>
        <w:numPr>
          <w:ilvl w:val="1"/>
          <w:numId w:val="364"/>
        </w:numPr>
        <w:ind w:left="1152"/>
        <w:rPr>
          <w:sz w:val="22"/>
          <w:szCs w:val="22"/>
        </w:rPr>
      </w:pPr>
      <w:r>
        <w:rPr>
          <w:sz w:val="22"/>
          <w:szCs w:val="22"/>
        </w:rPr>
        <w:t>Methods for handling and storing data (including the use of personal computers and portable storage devices) must comply with university policies. Restricted data, including protected health information, must be encrypted if stored or used on portable devices, if removed from a secure university location, or if electronically transmitted. For more information, see [</w:t>
      </w:r>
      <w:hyperlink r:id="rId383" w:history="1">
        <w:r>
          <w:rPr>
            <w:rStyle w:val="Hyperlink"/>
            <w:sz w:val="22"/>
            <w:szCs w:val="22"/>
          </w:rPr>
          <w:t>Policy on Institutional Data</w:t>
        </w:r>
      </w:hyperlink>
      <w:r>
        <w:rPr>
          <w:sz w:val="22"/>
          <w:szCs w:val="22"/>
        </w:rPr>
        <w:t>] and [</w:t>
      </w:r>
      <w:hyperlink r:id="rId384" w:history="1">
        <w:r>
          <w:rPr>
            <w:rStyle w:val="Hyperlink"/>
            <w:sz w:val="22"/>
            <w:szCs w:val="22"/>
          </w:rPr>
          <w:t>Research Data Policy</w:t>
        </w:r>
      </w:hyperlink>
      <w:r>
        <w:rPr>
          <w:sz w:val="22"/>
          <w:szCs w:val="22"/>
        </w:rPr>
        <w:t>].</w:t>
      </w:r>
    </w:p>
    <w:p w14:paraId="4DF3AD51" w14:textId="77777777" w:rsidR="00606C12" w:rsidRPr="006A56AB" w:rsidRDefault="00606C12" w:rsidP="00606C12">
      <w:pPr>
        <w:pStyle w:val="Default"/>
        <w:ind w:left="360"/>
        <w:rPr>
          <w:sz w:val="22"/>
          <w:szCs w:val="22"/>
        </w:rPr>
      </w:pPr>
    </w:p>
    <w:p w14:paraId="184CE03C" w14:textId="77777777" w:rsidR="007E1DCB" w:rsidRDefault="00606C12" w:rsidP="00A07209">
      <w:pPr>
        <w:widowControl w:val="0"/>
        <w:numPr>
          <w:ilvl w:val="1"/>
          <w:numId w:val="364"/>
        </w:numPr>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1152"/>
      </w:pPr>
      <w:r>
        <w:t xml:space="preserve">Investigators and IRBs should consider when research involving the collection and storage of </w:t>
      </w:r>
      <w:hyperlink w:anchor="Personally_Identifiable_Information" w:history="1">
        <w:r>
          <w:rPr>
            <w:rStyle w:val="Hyperlink"/>
          </w:rPr>
          <w:t>personally identifiable information</w:t>
        </w:r>
      </w:hyperlink>
      <w:r>
        <w:t xml:space="preserve"> might expose research participants to the risk of fraud or identity theft. This is especially important in research linked to “fee-for-service” activities, where federal financial regulations for protecting consumers against identity theft may apply. In such cases, plans for handling and storing personally identifiable information must comply with university policy and Federal Trade Commission rules. For more information, see university policy [</w:t>
      </w:r>
      <w:hyperlink r:id="rId385" w:history="1">
        <w:r>
          <w:rPr>
            <w:rStyle w:val="Hyperlink"/>
          </w:rPr>
          <w:t>Identity Theft Red Flags Policy 5.16</w:t>
        </w:r>
      </w:hyperlink>
      <w:r>
        <w:t xml:space="preserve">]. </w:t>
      </w:r>
    </w:p>
    <w:p w14:paraId="58430F2C" w14:textId="77777777" w:rsidR="007E1DCB" w:rsidRPr="007E1DCB" w:rsidRDefault="007E1DCB" w:rsidP="007E1DCB">
      <w:pPr>
        <w:widowControl w:val="0"/>
        <w:tabs>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14:paraId="1FA9FFBA" w14:textId="77777777" w:rsidR="00606C12" w:rsidRPr="00CE2701" w:rsidRDefault="00606C12" w:rsidP="00A07209">
      <w:pPr>
        <w:numPr>
          <w:ilvl w:val="1"/>
          <w:numId w:val="364"/>
        </w:numPr>
        <w:spacing w:after="0" w:line="240" w:lineRule="auto"/>
        <w:ind w:left="1152"/>
      </w:pPr>
      <w:r>
        <w:t>Medical staff rules and regulations [84-09] and The Ohio State University Wexner Medical Center policy [Care of Pathology and Culture Specimens] require pathology examination of diagnostic surgical tissue/biospecimens prior to collection of these materials for research purposes.</w:t>
      </w:r>
    </w:p>
    <w:p w14:paraId="57C435E5" w14:textId="77777777" w:rsidR="00606C12" w:rsidRPr="006A56AB" w:rsidRDefault="00606C12" w:rsidP="00606C12">
      <w:pPr>
        <w:rPr>
          <w:b/>
        </w:rPr>
      </w:pPr>
    </w:p>
    <w:p w14:paraId="1D547C4B" w14:textId="77777777" w:rsidR="00606C12" w:rsidRDefault="00606C12" w:rsidP="00A07209">
      <w:pPr>
        <w:numPr>
          <w:ilvl w:val="0"/>
          <w:numId w:val="51"/>
        </w:numPr>
        <w:spacing w:after="0" w:line="240" w:lineRule="auto"/>
        <w:ind w:left="360"/>
        <w:rPr>
          <w:rStyle w:val="Strong"/>
          <w:b w:val="0"/>
        </w:rPr>
      </w:pPr>
      <w:bookmarkStart w:id="365" w:name="Informed_Consent_Requirements"/>
      <w:r>
        <w:rPr>
          <w:rStyle w:val="Strong"/>
        </w:rPr>
        <w:t>Informed Consent Requirements</w:t>
      </w:r>
      <w:bookmarkEnd w:id="365"/>
    </w:p>
    <w:p w14:paraId="4D310484" w14:textId="77777777" w:rsidR="007E1DCB" w:rsidRPr="007E1DCB" w:rsidRDefault="007E1DCB" w:rsidP="007E1DCB">
      <w:pPr>
        <w:spacing w:after="0" w:line="240" w:lineRule="auto"/>
        <w:ind w:left="720"/>
        <w:rPr>
          <w:rStyle w:val="Strong"/>
          <w:b w:val="0"/>
        </w:rPr>
      </w:pPr>
    </w:p>
    <w:p w14:paraId="6C87096D" w14:textId="77777777" w:rsidR="007E1DCB" w:rsidRDefault="00606C12" w:rsidP="00A07209">
      <w:pPr>
        <w:numPr>
          <w:ilvl w:val="0"/>
          <w:numId w:val="361"/>
        </w:numPr>
        <w:spacing w:after="0" w:line="240" w:lineRule="auto"/>
        <w:ind w:left="1080"/>
        <w:rPr>
          <w:rStyle w:val="Strong"/>
          <w:b w:val="0"/>
          <w:bCs/>
        </w:rPr>
      </w:pPr>
      <w:r>
        <w:rPr>
          <w:rStyle w:val="Strong"/>
          <w:b w:val="0"/>
          <w:bCs/>
        </w:rPr>
        <w:t>Informed consent must be obtained for collection and storage of data and/or biospecimens for future research and should generally be obtained separately from consent to other research participation. HIPAA authorization is also required when the data include protected health information. For more information on the requirements for obtaining and documenting informed consent, see HRPP policies [</w:t>
      </w:r>
      <w:hyperlink r:id="rId386" w:history="1">
        <w:r>
          <w:rPr>
            <w:rStyle w:val="Hyperlink"/>
            <w:b/>
            <w:bCs/>
          </w:rPr>
          <w:t>Informed Consent Process and the Elements of Informed Consent</w:t>
        </w:r>
      </w:hyperlink>
      <w:r>
        <w:rPr>
          <w:rStyle w:val="Strong"/>
          <w:b w:val="0"/>
          <w:bCs/>
        </w:rPr>
        <w:t>] and [</w:t>
      </w:r>
      <w:hyperlink r:id="rId387" w:history="1">
        <w:r>
          <w:rPr>
            <w:rStyle w:val="Hyperlink"/>
            <w:b/>
            <w:bCs/>
          </w:rPr>
          <w:t>Documentation of the Informed Consent Process</w:t>
        </w:r>
      </w:hyperlink>
      <w:r>
        <w:rPr>
          <w:rStyle w:val="Strong"/>
          <w:b w:val="0"/>
          <w:bCs/>
        </w:rPr>
        <w:t>].</w:t>
      </w:r>
    </w:p>
    <w:p w14:paraId="138193C2" w14:textId="77777777" w:rsidR="007E1DCB" w:rsidRPr="007E1DCB" w:rsidRDefault="007E1DCB" w:rsidP="007E1DCB">
      <w:pPr>
        <w:spacing w:after="0" w:line="240" w:lineRule="auto"/>
        <w:ind w:left="720"/>
        <w:rPr>
          <w:rStyle w:val="Strong"/>
          <w:b w:val="0"/>
          <w:bCs/>
        </w:rPr>
      </w:pPr>
    </w:p>
    <w:p w14:paraId="6D0E4860" w14:textId="77777777" w:rsidR="00606C12" w:rsidRPr="00076836" w:rsidRDefault="00606C12" w:rsidP="00A07209">
      <w:pPr>
        <w:numPr>
          <w:ilvl w:val="0"/>
          <w:numId w:val="361"/>
        </w:numPr>
        <w:spacing w:after="60" w:line="240" w:lineRule="auto"/>
        <w:ind w:left="1080"/>
        <w:rPr>
          <w:rStyle w:val="Strong"/>
          <w:b w:val="0"/>
          <w:bCs/>
        </w:rPr>
      </w:pPr>
      <w:r>
        <w:rPr>
          <w:rStyle w:val="Strong"/>
          <w:b w:val="0"/>
          <w:bCs/>
        </w:rPr>
        <w:t xml:space="preserve">Investigators and IRBs should balance the ethical obligation to provide sufficient information regarding possible </w:t>
      </w:r>
      <w:r>
        <w:rPr>
          <w:rStyle w:val="Strong"/>
          <w:b w:val="0"/>
          <w:bCs/>
          <w:i/>
        </w:rPr>
        <w:t>future research uses</w:t>
      </w:r>
      <w:r>
        <w:rPr>
          <w:rStyle w:val="Strong"/>
          <w:b w:val="0"/>
          <w:bCs/>
        </w:rPr>
        <w:t xml:space="preserve"> of stored data and/or biospecimens during the consent process for banking with the practical issues of trying to anticipate and describe all possible research uses of these materials. However, the consent process for collecting and banking data and/or biospecimens should be as specific as possible regarding the circumstances and any risks associated with data/biospecimen collection, as well as the procedures for maintaining the security and confidentiality of the stored materials. In addition to the required elements of informed consent, the consent process should include the following information, as applicable:</w:t>
      </w:r>
    </w:p>
    <w:p w14:paraId="57FB6EFA" w14:textId="77777777" w:rsidR="00606C12" w:rsidRPr="006A56AB" w:rsidRDefault="00606C12" w:rsidP="00A07209">
      <w:pPr>
        <w:numPr>
          <w:ilvl w:val="0"/>
          <w:numId w:val="360"/>
        </w:numPr>
        <w:spacing w:after="60" w:line="240" w:lineRule="auto"/>
      </w:pPr>
      <w:r>
        <w:t>Description of the data/biospecimens to be collected and how they will be obtained</w:t>
      </w:r>
    </w:p>
    <w:p w14:paraId="63DD606F" w14:textId="77777777" w:rsidR="00606C12" w:rsidRPr="006A56AB" w:rsidRDefault="00606C12" w:rsidP="00A07209">
      <w:pPr>
        <w:numPr>
          <w:ilvl w:val="0"/>
          <w:numId w:val="360"/>
        </w:numPr>
        <w:spacing w:after="60" w:line="240" w:lineRule="auto"/>
      </w:pPr>
      <w:r>
        <w:t>Any risks associated with obtaining the data/biospecimens</w:t>
      </w:r>
    </w:p>
    <w:p w14:paraId="3EC96694" w14:textId="77777777" w:rsidR="00606C12" w:rsidRPr="006A56AB" w:rsidRDefault="00606C12" w:rsidP="00A07209">
      <w:pPr>
        <w:numPr>
          <w:ilvl w:val="0"/>
          <w:numId w:val="360"/>
        </w:numPr>
        <w:spacing w:after="60" w:line="240" w:lineRule="auto"/>
      </w:pPr>
      <w:r>
        <w:t>How the data/biospecimens will be used (to the extent known)</w:t>
      </w:r>
    </w:p>
    <w:p w14:paraId="4F7116F4" w14:textId="77777777" w:rsidR="00606C12" w:rsidRPr="006A56AB" w:rsidRDefault="00606C12" w:rsidP="00A07209">
      <w:pPr>
        <w:numPr>
          <w:ilvl w:val="2"/>
          <w:numId w:val="355"/>
        </w:numPr>
        <w:spacing w:after="60" w:line="240" w:lineRule="auto"/>
      </w:pPr>
      <w:r>
        <w:rPr>
          <w:bCs/>
        </w:rPr>
        <w:t>Any limits on data/biospecimens’ intended future use (e.g., for cancer research only)</w:t>
      </w:r>
    </w:p>
    <w:p w14:paraId="408A6AA7" w14:textId="77777777" w:rsidR="00606C12" w:rsidRPr="006A56AB" w:rsidRDefault="00606C12" w:rsidP="00A07209">
      <w:pPr>
        <w:numPr>
          <w:ilvl w:val="0"/>
          <w:numId w:val="360"/>
        </w:numPr>
        <w:spacing w:after="60" w:line="240" w:lineRule="auto"/>
      </w:pPr>
      <w:r>
        <w:t>Whether any identifying information will be retained, and if so, how it will be stored</w:t>
      </w:r>
    </w:p>
    <w:p w14:paraId="192A649C" w14:textId="77777777" w:rsidR="00606C12" w:rsidRPr="006A56AB" w:rsidRDefault="00606C12" w:rsidP="00A07209">
      <w:pPr>
        <w:numPr>
          <w:ilvl w:val="0"/>
          <w:numId w:val="360"/>
        </w:numPr>
        <w:spacing w:after="60" w:line="240" w:lineRule="auto"/>
      </w:pPr>
      <w:r>
        <w:t>Certificate of Confidentiality information (when a Certificate is issued or obtained)</w:t>
      </w:r>
    </w:p>
    <w:p w14:paraId="0A626348" w14:textId="77777777" w:rsidR="00606C12" w:rsidRPr="006A56AB" w:rsidRDefault="00606C12" w:rsidP="00A07209">
      <w:pPr>
        <w:numPr>
          <w:ilvl w:val="0"/>
          <w:numId w:val="360"/>
        </w:numPr>
        <w:spacing w:after="60" w:line="240" w:lineRule="auto"/>
      </w:pPr>
      <w:r>
        <w:t>Description of the repository, including physical location, security procedures, etc.</w:t>
      </w:r>
    </w:p>
    <w:p w14:paraId="7B8773E1" w14:textId="77777777" w:rsidR="00606C12" w:rsidRPr="006A56AB" w:rsidRDefault="00606C12" w:rsidP="00A07209">
      <w:pPr>
        <w:numPr>
          <w:ilvl w:val="0"/>
          <w:numId w:val="360"/>
        </w:numPr>
        <w:spacing w:after="60" w:line="240" w:lineRule="auto"/>
      </w:pPr>
      <w:r>
        <w:lastRenderedPageBreak/>
        <w:t>Who will have access to the data/biospecimens</w:t>
      </w:r>
    </w:p>
    <w:p w14:paraId="16757DD2" w14:textId="77777777" w:rsidR="00606C12" w:rsidRPr="006A56AB" w:rsidRDefault="00606C12" w:rsidP="00A07209">
      <w:pPr>
        <w:numPr>
          <w:ilvl w:val="0"/>
          <w:numId w:val="360"/>
        </w:numPr>
        <w:spacing w:after="60" w:line="240" w:lineRule="auto"/>
      </w:pPr>
      <w:r>
        <w:t>How long the data/biospecimens will be stored</w:t>
      </w:r>
    </w:p>
    <w:p w14:paraId="3468972A" w14:textId="77777777" w:rsidR="00606C12" w:rsidRPr="006A56AB" w:rsidRDefault="00606C12" w:rsidP="00A07209">
      <w:pPr>
        <w:numPr>
          <w:ilvl w:val="0"/>
          <w:numId w:val="362"/>
        </w:numPr>
        <w:spacing w:after="60" w:line="240" w:lineRule="auto"/>
        <w:ind w:left="1800"/>
      </w:pPr>
      <w:r>
        <w:rPr>
          <w:bCs/>
        </w:rPr>
        <w:t>With whom data/biospecimens may be shared (including non-Ohio State researchers or external sponsor-mandated repositories)</w:t>
      </w:r>
    </w:p>
    <w:p w14:paraId="2B7BF0BD" w14:textId="77777777" w:rsidR="00606C12" w:rsidRPr="006A56AB" w:rsidRDefault="00606C12" w:rsidP="00A07209">
      <w:pPr>
        <w:numPr>
          <w:ilvl w:val="0"/>
          <w:numId w:val="360"/>
        </w:numPr>
        <w:spacing w:after="60" w:line="240" w:lineRule="auto"/>
      </w:pPr>
      <w:r>
        <w:t>How to withdraw data/biospecimens from future research</w:t>
      </w:r>
    </w:p>
    <w:p w14:paraId="4CCF4B44" w14:textId="77777777" w:rsidR="00606C12" w:rsidRDefault="00606C12" w:rsidP="00A07209">
      <w:pPr>
        <w:numPr>
          <w:ilvl w:val="0"/>
          <w:numId w:val="360"/>
        </w:numPr>
        <w:spacing w:after="0" w:line="240" w:lineRule="auto"/>
      </w:pPr>
      <w:r>
        <w:t>Whether or not participants may be re-contacted in the future (e.g., for consent to future research, to return research results, etc.)</w:t>
      </w:r>
    </w:p>
    <w:p w14:paraId="478749EB" w14:textId="77777777" w:rsidR="007E1DCB" w:rsidRPr="007E1DCB" w:rsidRDefault="007E1DCB" w:rsidP="007E1DCB">
      <w:pPr>
        <w:spacing w:after="0" w:line="240" w:lineRule="auto"/>
        <w:ind w:left="1800"/>
      </w:pPr>
    </w:p>
    <w:p w14:paraId="2C2B8A86" w14:textId="77777777" w:rsidR="00606C12" w:rsidRDefault="00606C12" w:rsidP="00A07209">
      <w:pPr>
        <w:numPr>
          <w:ilvl w:val="0"/>
          <w:numId w:val="361"/>
        </w:numPr>
        <w:spacing w:after="0" w:line="240" w:lineRule="auto"/>
        <w:ind w:left="1080"/>
      </w:pPr>
      <w:r>
        <w:t xml:space="preserve">If biospecimens may be commercialized, the consent process/document must include language that complies with state law. For required consent language for Ohio State-controlled repositories, see </w:t>
      </w:r>
      <w:hyperlink r:id="rId388" w:history="1">
        <w:r>
          <w:rPr>
            <w:rStyle w:val="Hyperlink"/>
          </w:rPr>
          <w:t>Consent Template Languag</w:t>
        </w:r>
        <w:r w:rsidR="00E56957">
          <w:t>Researchers must inform participants of the protections and limitations</w:t>
        </w:r>
        <w:r>
          <w:rPr>
            <w:rStyle w:val="Hyperlink"/>
          </w:rPr>
          <w:t>e by Topic</w:t>
        </w:r>
      </w:hyperlink>
      <w:r>
        <w:t xml:space="preserve">. For external repositories, the sponsors’ commercialization language may be used. In addition, HIPAA regulations </w:t>
      </w:r>
      <w:r>
        <w:rPr>
          <w:lang w:val="en"/>
        </w:rPr>
        <w:t xml:space="preserve">prohibit the sale of an individual’s PHI without his/her authorization. </w:t>
      </w:r>
      <w:r>
        <w:t xml:space="preserve">For questions, contact The Ohio State University Office of Legal Affairs at 614-292-0611. </w:t>
      </w:r>
    </w:p>
    <w:p w14:paraId="1D6DFB77" w14:textId="77777777" w:rsidR="007E1DCB" w:rsidRPr="007E1DCB" w:rsidRDefault="007E1DCB" w:rsidP="007E1DCB">
      <w:pPr>
        <w:spacing w:after="0" w:line="240" w:lineRule="auto"/>
        <w:ind w:left="720"/>
      </w:pPr>
    </w:p>
    <w:p w14:paraId="1F54D455" w14:textId="77777777" w:rsidR="00606C12" w:rsidRDefault="00606C12" w:rsidP="00A07209">
      <w:pPr>
        <w:numPr>
          <w:ilvl w:val="0"/>
          <w:numId w:val="361"/>
        </w:numPr>
        <w:spacing w:after="0" w:line="240" w:lineRule="auto"/>
        <w:ind w:left="1080"/>
      </w:pPr>
      <w:r>
        <w:t xml:space="preserve">When identifiable biospecimens and/or genetic information are stored and may be released for future research that may include genetic testing, the consent process/document should also include language describing the protections provided by the Genetic Information Nondiscrimination Act. For specific language, see </w:t>
      </w:r>
      <w:hyperlink r:id="rId389" w:history="1">
        <w:r>
          <w:rPr>
            <w:rStyle w:val="Hyperlink"/>
          </w:rPr>
          <w:t>Consent Template Language by Topic</w:t>
        </w:r>
      </w:hyperlink>
      <w:r>
        <w:t>.</w:t>
      </w:r>
    </w:p>
    <w:p w14:paraId="14627B07" w14:textId="77777777" w:rsidR="007E1DCB" w:rsidRPr="007E1DCB" w:rsidRDefault="007E1DCB" w:rsidP="007E1DCB">
      <w:pPr>
        <w:spacing w:after="0" w:line="240" w:lineRule="auto"/>
      </w:pPr>
    </w:p>
    <w:p w14:paraId="21166D39" w14:textId="77777777" w:rsidR="00606C12" w:rsidRDefault="00606C12" w:rsidP="00A07209">
      <w:pPr>
        <w:numPr>
          <w:ilvl w:val="0"/>
          <w:numId w:val="361"/>
        </w:numPr>
        <w:spacing w:after="0" w:line="240" w:lineRule="auto"/>
        <w:ind w:left="1080"/>
      </w:pPr>
      <w:r>
        <w:t>The informed consent process/document must not include any exculpatory language through which subjects are made to waive or appear to waive any legal rights regarding the collection or use of their data and/or biospecimens. For more information see HRPP policy [</w:t>
      </w:r>
      <w:hyperlink r:id="rId390" w:history="1">
        <w:r>
          <w:rPr>
            <w:rStyle w:val="Hyperlink"/>
          </w:rPr>
          <w:t>Informed Consent Process and the Elements of Informed Consent</w:t>
        </w:r>
      </w:hyperlink>
      <w:r>
        <w:t>].</w:t>
      </w:r>
    </w:p>
    <w:p w14:paraId="7468E797" w14:textId="77777777" w:rsidR="007E1DCB" w:rsidRPr="007E1DCB" w:rsidRDefault="007E1DCB" w:rsidP="007E1DCB">
      <w:pPr>
        <w:spacing w:after="0" w:line="240" w:lineRule="auto"/>
      </w:pPr>
    </w:p>
    <w:p w14:paraId="77897B6C" w14:textId="77777777" w:rsidR="00606C12" w:rsidRDefault="00606C12" w:rsidP="00A07209">
      <w:pPr>
        <w:numPr>
          <w:ilvl w:val="0"/>
          <w:numId w:val="361"/>
        </w:numPr>
        <w:spacing w:after="0" w:line="240" w:lineRule="auto"/>
        <w:ind w:left="1080"/>
        <w:rPr>
          <w:rStyle w:val="Strong"/>
          <w:b w:val="0"/>
          <w:bCs/>
        </w:rPr>
      </w:pPr>
      <w:r>
        <w:rPr>
          <w:rStyle w:val="Strong"/>
          <w:b w:val="0"/>
          <w:bCs/>
        </w:rPr>
        <w:t>Research using previously banked data and/or biospecimens should be consistent with the scope and terms described in the original informed consent process/document, as applicable. If consent was not obtained (e.g., data/biospecimens obtained for non-research purposes) or the original consent does not adequately include the proposed secondary use, specific informed consent for the new research may be required. Except in unusual circumstances, informed consent is required when identifiable data and/or specimens are used.</w:t>
      </w:r>
    </w:p>
    <w:p w14:paraId="7050C9E7" w14:textId="77777777" w:rsidR="007E1DCB" w:rsidRPr="007E1DCB" w:rsidRDefault="007E1DCB" w:rsidP="007E1DCB">
      <w:pPr>
        <w:spacing w:after="0" w:line="240" w:lineRule="auto"/>
        <w:rPr>
          <w:rStyle w:val="Strong"/>
          <w:b w:val="0"/>
          <w:bCs/>
        </w:rPr>
      </w:pPr>
    </w:p>
    <w:p w14:paraId="665EA3DE" w14:textId="77777777" w:rsidR="00606C12" w:rsidRPr="00076836" w:rsidRDefault="00606C12" w:rsidP="00A07209">
      <w:pPr>
        <w:numPr>
          <w:ilvl w:val="0"/>
          <w:numId w:val="361"/>
        </w:numPr>
        <w:spacing w:after="0" w:line="240" w:lineRule="auto"/>
        <w:ind w:left="1080"/>
        <w:rPr>
          <w:b/>
          <w:bCs/>
        </w:rPr>
      </w:pPr>
      <w:r>
        <w:rPr>
          <w:rStyle w:val="Strong"/>
          <w:b w:val="0"/>
          <w:bCs/>
        </w:rPr>
        <w:t xml:space="preserve">Informed consent (and HIPAA authorization, when applicable) can be waived by the IRB for minimal risk, non-exempt research with data and/or biospecimens (e.g., retrospective record review studies) when the research meets the regulatory criteria for waiver. Waiver of HIPAA authorization can also be granted (when applicable) by the Privacy Board for secondary uses of existing data and/or biospecimens in exempt research. For more information on waiver of informed consent, see HRPP policy </w:t>
      </w:r>
      <w:r>
        <w:rPr>
          <w:b/>
          <w:bCs/>
        </w:rPr>
        <w:t>[</w:t>
      </w:r>
      <w:hyperlink r:id="rId391" w:history="1">
        <w:r>
          <w:rPr>
            <w:rStyle w:val="Hyperlink"/>
            <w:b/>
            <w:bCs/>
          </w:rPr>
          <w:t>Informed Consent Process and the Elements of Informed Consent</w:t>
        </w:r>
      </w:hyperlink>
      <w:r>
        <w:rPr>
          <w:b/>
          <w:bCs/>
        </w:rPr>
        <w:t>].</w:t>
      </w:r>
    </w:p>
    <w:p w14:paraId="57C16CB7" w14:textId="77777777" w:rsidR="00606C12" w:rsidRPr="006A56AB" w:rsidRDefault="00606C12" w:rsidP="00606C12">
      <w:pPr>
        <w:rPr>
          <w:rStyle w:val="Strong"/>
          <w:b w:val="0"/>
        </w:rPr>
      </w:pPr>
    </w:p>
    <w:p w14:paraId="327485FE" w14:textId="77777777" w:rsidR="00606C12" w:rsidRDefault="00606C12" w:rsidP="00A07209">
      <w:pPr>
        <w:numPr>
          <w:ilvl w:val="0"/>
          <w:numId w:val="51"/>
        </w:numPr>
        <w:spacing w:after="0" w:line="240" w:lineRule="auto"/>
        <w:ind w:left="360" w:hanging="540"/>
        <w:rPr>
          <w:rStyle w:val="Strong"/>
          <w:b w:val="0"/>
        </w:rPr>
      </w:pPr>
      <w:r>
        <w:rPr>
          <w:rStyle w:val="Strong"/>
        </w:rPr>
        <w:t>Applicable Regulations/Guidance</w:t>
      </w:r>
    </w:p>
    <w:p w14:paraId="3B452F20" w14:textId="77777777" w:rsidR="007E1DCB" w:rsidRPr="007E1DCB" w:rsidRDefault="007E1DCB" w:rsidP="007E1DCB">
      <w:pPr>
        <w:spacing w:after="0" w:line="240" w:lineRule="auto"/>
        <w:ind w:left="360"/>
        <w:rPr>
          <w:rStyle w:val="Strong"/>
          <w:b w:val="0"/>
        </w:rPr>
      </w:pPr>
    </w:p>
    <w:p w14:paraId="682DADE6" w14:textId="77777777" w:rsidR="00606C12" w:rsidRDefault="00606C12" w:rsidP="00606C12">
      <w:pPr>
        <w:ind w:left="360"/>
        <w:rPr>
          <w:rStyle w:val="Strong"/>
          <w:b w:val="0"/>
          <w:bCs/>
        </w:rPr>
      </w:pPr>
      <w:r>
        <w:rPr>
          <w:rStyle w:val="Strong"/>
          <w:b w:val="0"/>
          <w:bCs/>
        </w:rPr>
        <w:t xml:space="preserve">National Bioethics Advisory Commission “Research Involving Human Biological Materials: Ethical Issues and Policy Guidance” (08/99); NIH “Research Repositories, Databases, and the HIPAA Privacy Rule” (07/02/04); </w:t>
      </w:r>
      <w:r>
        <w:rPr>
          <w:b/>
          <w:bCs/>
        </w:rPr>
        <w:t xml:space="preserve">NIH Certificates of Confidentiality Policy (10/01/2017), </w:t>
      </w:r>
      <w:r>
        <w:rPr>
          <w:rStyle w:val="Strong"/>
          <w:b w:val="0"/>
          <w:bCs/>
        </w:rPr>
        <w:t xml:space="preserve">OHRP “Guidance on Research Using Coded Private Information or Specimens” (10/16/08); OHRP “Guidance on the Genetic Information Nondiscrimination Act: Implications for Investigators and Institutional Review Boards” (03/24/09); OHRP “Issues to Consider in the Research Use of Stored Data or Tissues” (11/07/97); “Report of the Public Responsibility in Medicine and Research (PRIM&amp;R) Human Tissue/Specimen Banking Working Group” (03/07); The Secretary’s Advisory Committee on Human Research </w:t>
      </w:r>
      <w:r>
        <w:rPr>
          <w:rStyle w:val="Strong"/>
          <w:b w:val="0"/>
          <w:bCs/>
        </w:rPr>
        <w:lastRenderedPageBreak/>
        <w:t>Protections (SACHRP) “FAQs, Terms, and Recommendations on Informed Consent and Research Use of Biospecimens” (07/20/11)</w:t>
      </w:r>
    </w:p>
    <w:p w14:paraId="3B753123" w14:textId="77777777" w:rsidR="009C6A10" w:rsidRPr="00076836" w:rsidRDefault="009C6A10" w:rsidP="00606C12">
      <w:pPr>
        <w:ind w:left="360"/>
        <w:rPr>
          <w:rStyle w:val="Strong"/>
          <w:b w:val="0"/>
          <w:bCs/>
        </w:rPr>
      </w:pPr>
    </w:p>
    <w:p w14:paraId="19EAEABA" w14:textId="77777777" w:rsidR="009C6A10" w:rsidRDefault="00606C12" w:rsidP="00A07209">
      <w:pPr>
        <w:numPr>
          <w:ilvl w:val="0"/>
          <w:numId w:val="51"/>
        </w:numPr>
        <w:spacing w:after="0" w:line="240" w:lineRule="auto"/>
        <w:ind w:left="360" w:hanging="540"/>
        <w:rPr>
          <w:rStyle w:val="Strong"/>
        </w:rPr>
      </w:pPr>
      <w:r>
        <w:rPr>
          <w:rStyle w:val="Strong"/>
        </w:rPr>
        <w:t>History</w:t>
      </w:r>
    </w:p>
    <w:p w14:paraId="643BA155" w14:textId="77777777" w:rsidR="009C6A10" w:rsidRDefault="009C6A10" w:rsidP="009C6A10">
      <w:pPr>
        <w:spacing w:after="0" w:line="240" w:lineRule="auto"/>
        <w:ind w:left="360"/>
        <w:rPr>
          <w:rStyle w:val="Strong"/>
        </w:rPr>
      </w:pPr>
    </w:p>
    <w:p w14:paraId="5EA929D2" w14:textId="77777777" w:rsidR="00606C12" w:rsidRPr="009C6A10" w:rsidRDefault="00606C12" w:rsidP="009C6A10">
      <w:pPr>
        <w:spacing w:after="0" w:line="240" w:lineRule="auto"/>
        <w:ind w:left="360"/>
        <w:rPr>
          <w:rStyle w:val="Strong"/>
        </w:rPr>
      </w:pPr>
      <w:r>
        <w:rPr>
          <w:rStyle w:val="Strong"/>
          <w:b w:val="0"/>
          <w:bCs/>
        </w:rPr>
        <w:t>Issued: 08/29/2010</w:t>
      </w:r>
    </w:p>
    <w:p w14:paraId="1AB6455E" w14:textId="77777777" w:rsidR="00606C12" w:rsidRPr="00116DB8" w:rsidRDefault="00606C12" w:rsidP="009C6A10">
      <w:pPr>
        <w:spacing w:after="0"/>
        <w:ind w:left="360"/>
        <w:rPr>
          <w:rStyle w:val="Strong"/>
          <w:b w:val="0"/>
          <w:bCs/>
        </w:rPr>
      </w:pPr>
      <w:r>
        <w:rPr>
          <w:rStyle w:val="Strong"/>
          <w:b w:val="0"/>
          <w:bCs/>
        </w:rPr>
        <w:t>Revised: 06/20/2011, 06/04/2012, 02/13/2013, 03/07/2014, 11/21/2016, 11/15/2021</w:t>
      </w:r>
    </w:p>
    <w:p w14:paraId="5D8FE616" w14:textId="77777777" w:rsidR="00471B9E" w:rsidRDefault="00263F36" w:rsidP="009C6A10">
      <w:pPr>
        <w:spacing w:after="0"/>
        <w:rPr>
          <w:rStyle w:val="Strong"/>
          <w:b w:val="0"/>
          <w:bCs/>
        </w:rPr>
      </w:pPr>
      <w:r>
        <w:rPr>
          <w:rStyle w:val="Strong"/>
          <w:b w:val="0"/>
          <w:bCs/>
        </w:rPr>
        <w:t xml:space="preserve">      Edited: 04/20/2022</w:t>
      </w:r>
    </w:p>
    <w:p w14:paraId="747ACA02" w14:textId="77777777" w:rsidR="00471B9E" w:rsidRDefault="00471B9E">
      <w:pPr>
        <w:rPr>
          <w:rStyle w:val="Strong"/>
          <w:b w:val="0"/>
          <w:bCs/>
        </w:rPr>
      </w:pPr>
      <w:r>
        <w:rPr>
          <w:rStyle w:val="Strong"/>
          <w:b w:val="0"/>
          <w:bCs/>
        </w:rPr>
        <w:br w:type="page"/>
      </w:r>
    </w:p>
    <w:p w14:paraId="25A49DC6" w14:textId="77777777" w:rsidR="00606C12" w:rsidRPr="00606C12" w:rsidRDefault="00606C12" w:rsidP="00471B9E">
      <w:pPr>
        <w:pStyle w:val="Heading2"/>
      </w:pPr>
      <w:bookmarkStart w:id="366" w:name="B27"/>
      <w:bookmarkStart w:id="367" w:name="_Toc212142224"/>
      <w:bookmarkStart w:id="368" w:name="_Toc225507764"/>
      <w:r>
        <w:lastRenderedPageBreak/>
        <w:t xml:space="preserve">Appendix B-27  </w:t>
      </w:r>
      <w:bookmarkEnd w:id="366"/>
      <w:r>
        <w:tab/>
        <w:t>Planned Emergency Research</w:t>
      </w:r>
      <w:bookmarkEnd w:id="367"/>
      <w:bookmarkEnd w:id="368"/>
    </w:p>
    <w:p w14:paraId="37456FE6" w14:textId="77777777" w:rsidR="00606C12" w:rsidRPr="00606C12" w:rsidRDefault="00606C12" w:rsidP="00606C12">
      <w:pPr>
        <w:spacing w:after="0" w:line="240" w:lineRule="auto"/>
        <w:rPr>
          <w:b/>
          <w:smallCaps/>
        </w:rPr>
      </w:pPr>
    </w:p>
    <w:p w14:paraId="7DE2A284" w14:textId="77777777" w:rsidR="00606C12" w:rsidRPr="00606C12" w:rsidRDefault="00606C12" w:rsidP="00A07209">
      <w:pPr>
        <w:numPr>
          <w:ilvl w:val="0"/>
          <w:numId w:val="380"/>
        </w:numPr>
        <w:tabs>
          <w:tab w:val="num" w:pos="360"/>
        </w:tabs>
        <w:spacing w:after="0" w:line="240" w:lineRule="auto"/>
        <w:rPr>
          <w:b/>
          <w:smallCaps/>
        </w:rPr>
      </w:pPr>
      <w:r>
        <w:rPr>
          <w:b/>
        </w:rPr>
        <w:t>Overview</w:t>
      </w:r>
    </w:p>
    <w:p w14:paraId="7A81AB98" w14:textId="77777777" w:rsidR="00606C12" w:rsidRPr="00606C12" w:rsidRDefault="00606C12" w:rsidP="00606C12">
      <w:pPr>
        <w:spacing w:after="0" w:line="240" w:lineRule="auto"/>
      </w:pPr>
    </w:p>
    <w:p w14:paraId="5BA0D9FB" w14:textId="77777777" w:rsidR="00606C12" w:rsidRPr="00606C12" w:rsidRDefault="00606C12" w:rsidP="00606C12">
      <w:pPr>
        <w:spacing w:after="0" w:line="240" w:lineRule="auto"/>
        <w:ind w:left="360"/>
      </w:pPr>
      <w:r>
        <w:t>The IRB may approve an exception to the requirements for informed consent for research on life-threatening conditions for which available treatments are unproven or unsatisfactory and where it is not possible to obtain informed consent from research participants or their legally authorized representatives.</w:t>
      </w:r>
    </w:p>
    <w:p w14:paraId="44D76473" w14:textId="77777777" w:rsidR="00606C12" w:rsidRPr="00606C12" w:rsidRDefault="00606C12" w:rsidP="00606C12">
      <w:pPr>
        <w:spacing w:after="0" w:line="240" w:lineRule="auto"/>
        <w:ind w:left="360"/>
        <w:rPr>
          <w:i/>
        </w:rPr>
      </w:pPr>
    </w:p>
    <w:p w14:paraId="163569B2" w14:textId="77777777" w:rsidR="00606C12" w:rsidRPr="00606C12" w:rsidRDefault="00606C12" w:rsidP="00606C12">
      <w:pPr>
        <w:spacing w:after="0" w:line="240" w:lineRule="auto"/>
        <w:ind w:left="360"/>
      </w:pPr>
      <w:r>
        <w:t>The purpose of this policy is to outline the additional protections required by the regulations for planned emergency research where the requirements for informed consent are waived.</w:t>
      </w:r>
    </w:p>
    <w:p w14:paraId="1A2483F2" w14:textId="77777777" w:rsidR="00606C12" w:rsidRPr="00606C12" w:rsidRDefault="00606C12" w:rsidP="00606C12">
      <w:pPr>
        <w:spacing w:after="0" w:line="240" w:lineRule="auto"/>
        <w:rPr>
          <w:b/>
          <w:smallCaps/>
        </w:rPr>
      </w:pPr>
    </w:p>
    <w:p w14:paraId="05E689D3" w14:textId="77777777" w:rsidR="00606C12" w:rsidRPr="00076836" w:rsidRDefault="00606C12" w:rsidP="00A07209">
      <w:pPr>
        <w:pStyle w:val="ListParagraph"/>
        <w:numPr>
          <w:ilvl w:val="0"/>
          <w:numId w:val="380"/>
        </w:numPr>
        <w:spacing w:after="0" w:line="240" w:lineRule="auto"/>
        <w:rPr>
          <w:b/>
          <w:smallCaps/>
        </w:rPr>
      </w:pPr>
      <w:r>
        <w:rPr>
          <w:b/>
        </w:rPr>
        <w:t>Definitions</w:t>
      </w:r>
    </w:p>
    <w:p w14:paraId="78420BE3" w14:textId="77777777" w:rsidR="00606C12" w:rsidRPr="00606C12" w:rsidRDefault="00606C12" w:rsidP="00606C12">
      <w:pPr>
        <w:spacing w:after="0" w:line="240" w:lineRule="auto"/>
      </w:pPr>
    </w:p>
    <w:p w14:paraId="18CEF210" w14:textId="77777777" w:rsidR="00606C12" w:rsidRPr="00606C12" w:rsidRDefault="00606C12" w:rsidP="00606C12">
      <w:pPr>
        <w:spacing w:after="0" w:line="240" w:lineRule="auto"/>
        <w:ind w:left="360"/>
      </w:pPr>
      <w:r>
        <w:rPr>
          <w:b/>
        </w:rPr>
        <w:t>Family Member:</w:t>
      </w:r>
      <w:r>
        <w:rPr>
          <w:b/>
          <w:szCs w:val="20"/>
        </w:rPr>
        <w:t xml:space="preserve"> </w:t>
      </w:r>
      <w:r>
        <w:t>For purposes of the waiver of informed consent for emergency research, any one of the following legally competent persons: spouse, parent, child (including an adopted child), brother, sister, spouse of a brother or sister, and any individual related by blood or affinity whose close association with the subject is the equivalent of a family relationship.</w:t>
      </w:r>
    </w:p>
    <w:p w14:paraId="5629072F" w14:textId="77777777" w:rsidR="00606C12" w:rsidRPr="00606C12" w:rsidRDefault="00606C12" w:rsidP="00606C12">
      <w:pPr>
        <w:spacing w:after="0" w:line="240" w:lineRule="auto"/>
        <w:ind w:left="360"/>
        <w:rPr>
          <w:b/>
        </w:rPr>
      </w:pPr>
    </w:p>
    <w:p w14:paraId="7F0578D4" w14:textId="77777777" w:rsidR="00606C12" w:rsidRPr="00606C12" w:rsidRDefault="00606C12" w:rsidP="00606C12">
      <w:pPr>
        <w:spacing w:after="0" w:line="240" w:lineRule="auto"/>
        <w:ind w:left="360"/>
        <w:rPr>
          <w:b/>
        </w:rPr>
      </w:pPr>
      <w:r>
        <w:rPr>
          <w:b/>
        </w:rPr>
        <w:t xml:space="preserve">Planned Emergency Research: </w:t>
      </w:r>
      <w:r>
        <w:t xml:space="preserve">Research involving human subjects who are in need of emergency medical intervention (e.g., comparison of methods for providing </w:t>
      </w:r>
      <w:r>
        <w:rPr>
          <w:bCs/>
          <w:color w:val="000000"/>
        </w:rPr>
        <w:t>cardiopulmonary resuscitation</w:t>
      </w:r>
      <w:r>
        <w:t>), but who cannot give informed consent because of their life-threatening medical conditions and who do not have an available legally authorized representative to provide consent.</w:t>
      </w:r>
    </w:p>
    <w:p w14:paraId="0FF9464B" w14:textId="77777777" w:rsidR="00606C12" w:rsidRPr="00606C12" w:rsidRDefault="00606C12" w:rsidP="00606C12">
      <w:pPr>
        <w:spacing w:after="0" w:line="240" w:lineRule="auto"/>
      </w:pPr>
    </w:p>
    <w:p w14:paraId="690A66A9" w14:textId="77777777" w:rsidR="00606C12" w:rsidRPr="00076836" w:rsidRDefault="00606C12" w:rsidP="00A07209">
      <w:pPr>
        <w:pStyle w:val="ListParagraph"/>
        <w:numPr>
          <w:ilvl w:val="0"/>
          <w:numId w:val="380"/>
        </w:numPr>
        <w:spacing w:after="0" w:line="240" w:lineRule="auto"/>
      </w:pPr>
      <w:r>
        <w:rPr>
          <w:b/>
        </w:rPr>
        <w:t>General Information</w:t>
      </w:r>
    </w:p>
    <w:p w14:paraId="4F11632B" w14:textId="77777777" w:rsidR="00606C12" w:rsidRPr="00606C12" w:rsidRDefault="00606C12" w:rsidP="00606C12">
      <w:pPr>
        <w:spacing w:after="0" w:line="240" w:lineRule="auto"/>
        <w:ind w:left="360"/>
      </w:pPr>
    </w:p>
    <w:p w14:paraId="69165989" w14:textId="77777777" w:rsidR="00606C12" w:rsidRPr="00606C12" w:rsidRDefault="00606C12" w:rsidP="00A07209">
      <w:pPr>
        <w:numPr>
          <w:ilvl w:val="0"/>
          <w:numId w:val="370"/>
        </w:numPr>
        <w:spacing w:after="0" w:line="240" w:lineRule="auto"/>
      </w:pPr>
      <w:r>
        <w:t>Persons with life-threatening conditions who cannot either provide informed consent or refuse research participation are considered to be a vulnerable population. The lack of subject autonomy and inability of subjects to provide informed consent require that additional protections are provided in the review, approval, and performance of this research.</w:t>
      </w:r>
    </w:p>
    <w:p w14:paraId="1975D2B6" w14:textId="77777777" w:rsidR="00606C12" w:rsidRPr="00606C12" w:rsidRDefault="00606C12" w:rsidP="00606C12">
      <w:pPr>
        <w:spacing w:after="0" w:line="240" w:lineRule="auto"/>
        <w:ind w:left="360"/>
      </w:pPr>
    </w:p>
    <w:p w14:paraId="58213FD8" w14:textId="77777777" w:rsidR="00606C12" w:rsidRPr="00606C12" w:rsidRDefault="00606C12" w:rsidP="00A07209">
      <w:pPr>
        <w:numPr>
          <w:ilvl w:val="0"/>
          <w:numId w:val="370"/>
        </w:numPr>
        <w:spacing w:after="0" w:line="240" w:lineRule="auto"/>
      </w:pPr>
      <w:r>
        <w:t>Prior and continuing IRB reviews are required for planned emergency research. The IRB must approve both the research and the exception to the requirements for informed consent (i.e., waiver) by finding and documenting that the regulatory criteria described below are met.</w:t>
      </w:r>
    </w:p>
    <w:p w14:paraId="0E9B365C" w14:textId="77777777" w:rsidR="00606C12" w:rsidRPr="00606C12" w:rsidRDefault="00606C12" w:rsidP="00606C12">
      <w:pPr>
        <w:spacing w:after="0" w:line="240" w:lineRule="auto"/>
        <w:ind w:left="720"/>
      </w:pPr>
    </w:p>
    <w:p w14:paraId="738128AE" w14:textId="77777777" w:rsidR="00606C12" w:rsidRPr="00606C12" w:rsidRDefault="00606C12" w:rsidP="00A07209">
      <w:pPr>
        <w:numPr>
          <w:ilvl w:val="0"/>
          <w:numId w:val="370"/>
        </w:numPr>
        <w:spacing w:after="0" w:line="240" w:lineRule="auto"/>
      </w:pPr>
      <w:r>
        <w:t xml:space="preserve">To approve a </w:t>
      </w:r>
      <w:r>
        <w:rPr>
          <w:bCs/>
        </w:rPr>
        <w:t xml:space="preserve">waiver of informed consent for research conducted in emergency settings, </w:t>
      </w:r>
      <w:r>
        <w:t>a licensed physician who is a member (or consultant) of the IRB and who is not otherwise participating in the research must agree with the IRB’s determination that the criteria for consent waiver are met. Documentation of the physician’s concurrence is also required for approval; therefore, IRB meeting minutes should specifically record the physician’s vote when planned emergency research is reviewed.</w:t>
      </w:r>
    </w:p>
    <w:p w14:paraId="3D02A36E" w14:textId="77777777" w:rsidR="00606C12" w:rsidRPr="00606C12" w:rsidRDefault="00606C12" w:rsidP="00606C12">
      <w:pPr>
        <w:spacing w:after="0" w:line="240" w:lineRule="auto"/>
      </w:pPr>
    </w:p>
    <w:p w14:paraId="2944957E" w14:textId="77777777" w:rsidR="00606C12" w:rsidRPr="00606C12" w:rsidRDefault="00606C12" w:rsidP="00A07209">
      <w:pPr>
        <w:numPr>
          <w:ilvl w:val="0"/>
          <w:numId w:val="370"/>
        </w:numPr>
        <w:spacing w:after="0" w:line="240" w:lineRule="auto"/>
      </w:pPr>
      <w:r>
        <w:t>The requirements for planned emergency research subject to FDA regulations differ slightly from the requirements for research subject to DHHS regulations, as described below. For information on activities that are defined by FDA and DHHS regulations as “research involving human subjects,” see HRPP policy [</w:t>
      </w:r>
      <w:hyperlink r:id="rId392" w:history="1">
        <w:r>
          <w:rPr>
            <w:color w:val="0000FF"/>
            <w:u w:val="single"/>
          </w:rPr>
          <w:t>Research Involving Human Subjects</w:t>
        </w:r>
      </w:hyperlink>
      <w:r>
        <w:t>]. All planned emergency research at The Ohio State University must meet the requirements described below in “</w:t>
      </w:r>
      <w:hyperlink w:anchor="EFIC" w:history="1">
        <w:r>
          <w:rPr>
            <w:color w:val="0000FF"/>
            <w:u w:val="single"/>
          </w:rPr>
          <w:t>Exception to the Requirements for Informed Consent</w:t>
        </w:r>
      </w:hyperlink>
      <w:r>
        <w:t>.”</w:t>
      </w:r>
    </w:p>
    <w:p w14:paraId="4727D725" w14:textId="77777777" w:rsidR="00606C12" w:rsidRPr="00606C12" w:rsidRDefault="00606C12" w:rsidP="00606C12">
      <w:pPr>
        <w:spacing w:after="0" w:line="240" w:lineRule="auto"/>
        <w:ind w:left="720"/>
      </w:pPr>
    </w:p>
    <w:p w14:paraId="5E756E25" w14:textId="77777777" w:rsidR="00606C12" w:rsidRPr="00606C12" w:rsidRDefault="00606C12" w:rsidP="00A07209">
      <w:pPr>
        <w:numPr>
          <w:ilvl w:val="0"/>
          <w:numId w:val="370"/>
        </w:numPr>
        <w:spacing w:after="0" w:line="240" w:lineRule="auto"/>
      </w:pPr>
      <w:r>
        <w:t xml:space="preserve">Planned emergency research conducted in life-threatening situations must be differentiated from the “emergency use” of an investigational drug or biologic or unapproved medical device. The emergency use provision in FDA regulations allows for a single use of an investigational drug or biologic or unapproved medical device for a human subject in a life-threatening situation for which no standard acceptable treatment is available and when there is not sufficient time to obtain IRB approval. For more information </w:t>
      </w:r>
      <w:r>
        <w:lastRenderedPageBreak/>
        <w:t>about the requirements for emergency uses, see HRPP policy [</w:t>
      </w:r>
      <w:hyperlink r:id="rId393" w:history="1">
        <w:r>
          <w:rPr>
            <w:color w:val="0000FF"/>
            <w:u w:val="single"/>
          </w:rPr>
          <w:t>Emergency Use of Investigational Drugs, Biologics, or Devices</w:t>
        </w:r>
      </w:hyperlink>
      <w:r>
        <w:t>].</w:t>
      </w:r>
    </w:p>
    <w:p w14:paraId="5A0F7B20" w14:textId="77777777" w:rsidR="00606C12" w:rsidRPr="00606C12" w:rsidRDefault="00606C12" w:rsidP="00606C12">
      <w:pPr>
        <w:spacing w:after="0" w:line="240" w:lineRule="auto"/>
        <w:ind w:left="360"/>
        <w:rPr>
          <w:b/>
        </w:rPr>
      </w:pPr>
    </w:p>
    <w:p w14:paraId="1EF353DE" w14:textId="77777777" w:rsidR="00606C12" w:rsidRPr="00076836" w:rsidRDefault="00606C12" w:rsidP="00A07209">
      <w:pPr>
        <w:pStyle w:val="ListParagraph"/>
        <w:numPr>
          <w:ilvl w:val="0"/>
          <w:numId w:val="380"/>
        </w:numPr>
        <w:spacing w:after="0" w:line="240" w:lineRule="auto"/>
        <w:rPr>
          <w:b/>
        </w:rPr>
      </w:pPr>
      <w:r>
        <w:rPr>
          <w:b/>
        </w:rPr>
        <w:t>Exception to the Requirements for Informed Consent</w:t>
      </w:r>
    </w:p>
    <w:p w14:paraId="77E52BEF" w14:textId="77777777" w:rsidR="00606C12" w:rsidRPr="00606C12" w:rsidRDefault="00606C12" w:rsidP="00606C12">
      <w:pPr>
        <w:spacing w:after="0" w:line="240" w:lineRule="auto"/>
        <w:rPr>
          <w:b/>
        </w:rPr>
      </w:pPr>
    </w:p>
    <w:p w14:paraId="2DD36A2F" w14:textId="77777777" w:rsidR="00606C12" w:rsidRPr="00606C12" w:rsidRDefault="00606C12" w:rsidP="00A07209">
      <w:pPr>
        <w:numPr>
          <w:ilvl w:val="0"/>
          <w:numId w:val="365"/>
        </w:numPr>
        <w:spacing w:after="0" w:line="240" w:lineRule="auto"/>
        <w:ind w:left="1080"/>
      </w:pPr>
      <w:r>
        <w:t>The IRB may approve emergency research without requiring that informed consent is obtained from subjects or their legally authorized representatives only if the IRB finds and documents that each of the requirements below has been met.</w:t>
      </w:r>
    </w:p>
    <w:p w14:paraId="229D5861" w14:textId="77777777" w:rsidR="00606C12" w:rsidRPr="00606C12" w:rsidRDefault="00606C12" w:rsidP="00606C12">
      <w:pPr>
        <w:spacing w:after="0" w:line="240" w:lineRule="auto"/>
        <w:ind w:left="720"/>
      </w:pPr>
    </w:p>
    <w:p w14:paraId="095449C6" w14:textId="77777777" w:rsidR="00606C12" w:rsidRPr="00606C12" w:rsidRDefault="00606C12" w:rsidP="00A07209">
      <w:pPr>
        <w:numPr>
          <w:ilvl w:val="3"/>
          <w:numId w:val="365"/>
        </w:numPr>
        <w:spacing w:after="0" w:line="240" w:lineRule="auto"/>
        <w:ind w:left="1800"/>
      </w:pPr>
      <w:r>
        <w:t>The human subjects are in a life-threatening situation.</w:t>
      </w:r>
    </w:p>
    <w:p w14:paraId="019EDDD1" w14:textId="77777777" w:rsidR="00606C12" w:rsidRPr="00606C12" w:rsidRDefault="00606C12" w:rsidP="00A07209">
      <w:pPr>
        <w:numPr>
          <w:ilvl w:val="4"/>
          <w:numId w:val="365"/>
        </w:numPr>
        <w:tabs>
          <w:tab w:val="num" w:pos="2160"/>
        </w:tabs>
        <w:spacing w:after="0" w:line="240" w:lineRule="auto"/>
        <w:ind w:left="2160"/>
      </w:pPr>
      <w:r>
        <w:t>Intervention is required before consent from legally authorized representatives is feasible.</w:t>
      </w:r>
    </w:p>
    <w:p w14:paraId="46B046D5" w14:textId="77777777" w:rsidR="00606C12" w:rsidRPr="00606C12" w:rsidRDefault="00606C12" w:rsidP="00A07209">
      <w:pPr>
        <w:numPr>
          <w:ilvl w:val="3"/>
          <w:numId w:val="365"/>
        </w:numPr>
        <w:spacing w:after="0" w:line="240" w:lineRule="auto"/>
        <w:ind w:left="1800"/>
      </w:pPr>
      <w:r>
        <w:t>Available treatments are unproven or unsatisfactory.</w:t>
      </w:r>
    </w:p>
    <w:p w14:paraId="739A4426" w14:textId="77777777" w:rsidR="00606C12" w:rsidRPr="00606C12" w:rsidRDefault="00606C12" w:rsidP="00A07209">
      <w:pPr>
        <w:numPr>
          <w:ilvl w:val="4"/>
          <w:numId w:val="365"/>
        </w:numPr>
        <w:tabs>
          <w:tab w:val="num" w:pos="2160"/>
        </w:tabs>
        <w:spacing w:after="0" w:line="240" w:lineRule="auto"/>
        <w:ind w:left="2160"/>
      </w:pPr>
      <w:r>
        <w:t>The relative risks and benefits of the proposed intervention are unknown or thought to be equivalent (or better) compared to standard therapy.</w:t>
      </w:r>
    </w:p>
    <w:p w14:paraId="00356B42" w14:textId="77777777" w:rsidR="00606C12" w:rsidRPr="00606C12" w:rsidRDefault="00606C12" w:rsidP="00A07209">
      <w:pPr>
        <w:numPr>
          <w:ilvl w:val="3"/>
          <w:numId w:val="365"/>
        </w:numPr>
        <w:spacing w:after="0" w:line="240" w:lineRule="auto"/>
        <w:ind w:left="1800"/>
      </w:pPr>
      <w:r>
        <w:t>The collection of valid scientific evidence (including evidence from randomized, placebo-controlled studies) is necessary to determine the safety and efficacy of the intervention.</w:t>
      </w:r>
    </w:p>
    <w:p w14:paraId="1C60636C" w14:textId="77777777" w:rsidR="00606C12" w:rsidRPr="00606C12" w:rsidRDefault="00606C12" w:rsidP="00A07209">
      <w:pPr>
        <w:numPr>
          <w:ilvl w:val="3"/>
          <w:numId w:val="365"/>
        </w:numPr>
        <w:spacing w:after="0" w:line="240" w:lineRule="auto"/>
        <w:ind w:left="1800"/>
      </w:pPr>
      <w:r>
        <w:t xml:space="preserve">Obtaining informed consent is not feasible because of all of the following: </w:t>
      </w:r>
    </w:p>
    <w:p w14:paraId="38D2F2AA" w14:textId="77777777" w:rsidR="00606C12" w:rsidRPr="00606C12" w:rsidRDefault="00606C12" w:rsidP="00A07209">
      <w:pPr>
        <w:numPr>
          <w:ilvl w:val="4"/>
          <w:numId w:val="367"/>
        </w:numPr>
        <w:tabs>
          <w:tab w:val="num" w:pos="2160"/>
        </w:tabs>
        <w:spacing w:after="0" w:line="240" w:lineRule="auto"/>
        <w:ind w:left="2160"/>
      </w:pPr>
      <w:r>
        <w:t>The subjects will not be able to give their informed consent as a result of their medical condition(s).</w:t>
      </w:r>
    </w:p>
    <w:p w14:paraId="0FB4301D" w14:textId="77777777" w:rsidR="00606C12" w:rsidRPr="00606C12" w:rsidRDefault="00606C12" w:rsidP="00A07209">
      <w:pPr>
        <w:numPr>
          <w:ilvl w:val="4"/>
          <w:numId w:val="367"/>
        </w:numPr>
        <w:tabs>
          <w:tab w:val="num" w:pos="2160"/>
        </w:tabs>
        <w:spacing w:after="0" w:line="240" w:lineRule="auto"/>
        <w:ind w:left="2160"/>
      </w:pPr>
      <w:r>
        <w:t>The intervention under investigation must be administered before consent from the subjects' legally authorized representatives is feasible.</w:t>
      </w:r>
    </w:p>
    <w:p w14:paraId="0EA67F89" w14:textId="77777777" w:rsidR="00606C12" w:rsidRPr="00606C12" w:rsidRDefault="00606C12" w:rsidP="00A07209">
      <w:pPr>
        <w:numPr>
          <w:ilvl w:val="4"/>
          <w:numId w:val="367"/>
        </w:numPr>
        <w:tabs>
          <w:tab w:val="num" w:pos="2160"/>
        </w:tabs>
        <w:spacing w:after="0" w:line="240" w:lineRule="auto"/>
        <w:ind w:left="2160"/>
      </w:pPr>
      <w:r>
        <w:t>There is no reasonable way to prospectively identify the individuals likely to become eligible for participation in the research.</w:t>
      </w:r>
    </w:p>
    <w:p w14:paraId="24776AAF" w14:textId="77777777" w:rsidR="00606C12" w:rsidRPr="00606C12" w:rsidRDefault="00606C12" w:rsidP="00A07209">
      <w:pPr>
        <w:numPr>
          <w:ilvl w:val="3"/>
          <w:numId w:val="365"/>
        </w:numPr>
        <w:spacing w:after="0" w:line="240" w:lineRule="auto"/>
        <w:ind w:left="1800"/>
      </w:pPr>
      <w:r>
        <w:t xml:space="preserve">Participation in the research holds out the prospect of direct benefit to the subjects because of all of the following: </w:t>
      </w:r>
    </w:p>
    <w:p w14:paraId="14449318" w14:textId="77777777" w:rsidR="00606C12" w:rsidRPr="00606C12" w:rsidRDefault="00606C12" w:rsidP="00A07209">
      <w:pPr>
        <w:numPr>
          <w:ilvl w:val="0"/>
          <w:numId w:val="368"/>
        </w:numPr>
        <w:tabs>
          <w:tab w:val="num" w:pos="2160"/>
        </w:tabs>
        <w:spacing w:after="0" w:line="240" w:lineRule="auto"/>
        <w:ind w:left="2160"/>
      </w:pPr>
      <w:r>
        <w:t>Subjects are facing a life-threatening situation that necessitates intervention.</w:t>
      </w:r>
    </w:p>
    <w:p w14:paraId="25CBB931" w14:textId="77777777" w:rsidR="00606C12" w:rsidRPr="00606C12" w:rsidRDefault="00606C12" w:rsidP="00A07209">
      <w:pPr>
        <w:numPr>
          <w:ilvl w:val="0"/>
          <w:numId w:val="368"/>
        </w:numPr>
        <w:tabs>
          <w:tab w:val="left" w:pos="2160"/>
        </w:tabs>
        <w:spacing w:after="0" w:line="240" w:lineRule="auto"/>
        <w:ind w:left="2160"/>
      </w:pPr>
      <w:r>
        <w:t>Appropriate animal and other preclinical studies have been conducted and the information derived from those studies (and related evidence) supports the potential for the intervention to provide a direct benefit to the individual subjects.</w:t>
      </w:r>
    </w:p>
    <w:p w14:paraId="138C4C7E" w14:textId="77777777" w:rsidR="00606C12" w:rsidRPr="00606C12" w:rsidRDefault="00606C12" w:rsidP="00A07209">
      <w:pPr>
        <w:numPr>
          <w:ilvl w:val="0"/>
          <w:numId w:val="368"/>
        </w:numPr>
        <w:tabs>
          <w:tab w:val="left" w:pos="2160"/>
        </w:tabs>
        <w:spacing w:after="0" w:line="240" w:lineRule="auto"/>
        <w:ind w:left="2160"/>
      </w:pPr>
      <w:r>
        <w:t>Risks associated with the research are reasonable in relation to what is known about the medical condition of the potential class of subjects, the risks and benefits of standard therapy, and what is known about the risks and benefits of the proposed intervention or activity.</w:t>
      </w:r>
    </w:p>
    <w:p w14:paraId="085F4063" w14:textId="77777777" w:rsidR="00606C12" w:rsidRPr="00606C12" w:rsidRDefault="00606C12" w:rsidP="00A07209">
      <w:pPr>
        <w:numPr>
          <w:ilvl w:val="3"/>
          <w:numId w:val="365"/>
        </w:numPr>
        <w:spacing w:after="0" w:line="240" w:lineRule="auto"/>
        <w:ind w:left="1800"/>
      </w:pPr>
      <w:r>
        <w:t>The research could not practicably be carried out without the IRB approval of a waiver of informed consent.</w:t>
      </w:r>
    </w:p>
    <w:p w14:paraId="4935DBCC" w14:textId="77777777" w:rsidR="00606C12" w:rsidRPr="00606C12" w:rsidRDefault="00606C12" w:rsidP="00A07209">
      <w:pPr>
        <w:numPr>
          <w:ilvl w:val="4"/>
          <w:numId w:val="365"/>
        </w:numPr>
        <w:tabs>
          <w:tab w:val="num" w:pos="2160"/>
        </w:tabs>
        <w:spacing w:after="0" w:line="240" w:lineRule="auto"/>
        <w:ind w:left="2160"/>
      </w:pPr>
      <w:r>
        <w:t>Recruitment of subjects providing informed consent could bias the science, the science is less rigorous as a result of restricting the research to subjects who can provide consent, or the research would be unreasonably delayed by restricting it to consenting subjects.</w:t>
      </w:r>
    </w:p>
    <w:p w14:paraId="323E060A" w14:textId="77777777" w:rsidR="00606C12" w:rsidRPr="00606C12" w:rsidRDefault="00606C12" w:rsidP="00A07209">
      <w:pPr>
        <w:numPr>
          <w:ilvl w:val="3"/>
          <w:numId w:val="365"/>
        </w:numPr>
        <w:spacing w:after="0" w:line="240" w:lineRule="auto"/>
        <w:ind w:left="1800"/>
      </w:pPr>
      <w:r>
        <w:t>The protocol defines the length of the potential therapeutic window based on scientific evidence, and the investigator has committed to attempting to contact a legally authorized representative for each subject within that window of time and, if feasible, to asking the legally authorized representative for consent rather than proceeding without consent.</w:t>
      </w:r>
    </w:p>
    <w:p w14:paraId="107A7AD0" w14:textId="77777777" w:rsidR="00606C12" w:rsidRPr="00606C12" w:rsidRDefault="00606C12" w:rsidP="00A07209">
      <w:pPr>
        <w:numPr>
          <w:ilvl w:val="4"/>
          <w:numId w:val="365"/>
        </w:numPr>
        <w:tabs>
          <w:tab w:val="num" w:pos="2160"/>
        </w:tabs>
        <w:spacing w:after="0" w:line="240" w:lineRule="auto"/>
        <w:ind w:left="2160"/>
      </w:pPr>
      <w:r>
        <w:t>Investigators will summarize efforts made to contact legally authorized representatives and provide this information to the IRB at the time of continuing review.</w:t>
      </w:r>
      <w:r>
        <w:br/>
      </w:r>
    </w:p>
    <w:p w14:paraId="45C6347C" w14:textId="77777777" w:rsidR="00606C12" w:rsidRPr="00606C12" w:rsidRDefault="00606C12" w:rsidP="00A07209">
      <w:pPr>
        <w:numPr>
          <w:ilvl w:val="3"/>
          <w:numId w:val="365"/>
        </w:numPr>
        <w:spacing w:after="0" w:line="240" w:lineRule="auto"/>
        <w:ind w:left="1800"/>
      </w:pPr>
      <w:r>
        <w:t>The IRB has reviewed and approved an informed consent process and consent document meeting all the requirements described in regulations and HRPP policies [</w:t>
      </w:r>
      <w:hyperlink r:id="rId394" w:history="1">
        <w:r>
          <w:rPr>
            <w:color w:val="0000FF"/>
            <w:u w:val="single"/>
          </w:rPr>
          <w:t>Informed Consent Process and the Elements of the Informed Consent</w:t>
        </w:r>
      </w:hyperlink>
      <w:r>
        <w:t>] and [</w:t>
      </w:r>
      <w:hyperlink r:id="rId395" w:history="1">
        <w:r>
          <w:rPr>
            <w:color w:val="0000FF"/>
            <w:u w:val="single"/>
          </w:rPr>
          <w:t>Documentation of the Informed Consent Process</w:t>
        </w:r>
      </w:hyperlink>
      <w:r>
        <w:t>].</w:t>
      </w:r>
    </w:p>
    <w:p w14:paraId="5FD8585B" w14:textId="77777777" w:rsidR="00606C12" w:rsidRPr="00606C12" w:rsidRDefault="00606C12" w:rsidP="00A07209">
      <w:pPr>
        <w:numPr>
          <w:ilvl w:val="4"/>
          <w:numId w:val="365"/>
        </w:numPr>
        <w:tabs>
          <w:tab w:val="left" w:pos="2160"/>
        </w:tabs>
        <w:spacing w:after="0" w:line="240" w:lineRule="auto"/>
        <w:ind w:left="2160"/>
      </w:pPr>
      <w:r>
        <w:t>The approved informed consent procedures and consent document are to be used with subjects or their legally authorized representatives when feasible.</w:t>
      </w:r>
    </w:p>
    <w:p w14:paraId="09C276B3" w14:textId="77777777" w:rsidR="00606C12" w:rsidRPr="00606C12" w:rsidRDefault="00606C12" w:rsidP="00A07209">
      <w:pPr>
        <w:numPr>
          <w:ilvl w:val="4"/>
          <w:numId w:val="365"/>
        </w:numPr>
        <w:tabs>
          <w:tab w:val="left" w:pos="2160"/>
        </w:tabs>
        <w:spacing w:after="0" w:line="240" w:lineRule="auto"/>
        <w:ind w:left="2160"/>
      </w:pPr>
      <w:r>
        <w:lastRenderedPageBreak/>
        <w:t xml:space="preserve">The IRB has approved procedures and information to be used when providing an opportunity for a family member to object to the subject’s participation (as described </w:t>
      </w:r>
      <w:hyperlink w:anchor="objection" w:history="1">
        <w:r>
          <w:rPr>
            <w:color w:val="0000FF"/>
            <w:u w:val="single"/>
          </w:rPr>
          <w:t>below</w:t>
        </w:r>
      </w:hyperlink>
      <w:r>
        <w:t>).</w:t>
      </w:r>
      <w:r>
        <w:br/>
      </w:r>
    </w:p>
    <w:p w14:paraId="04506A20" w14:textId="77777777" w:rsidR="00606C12" w:rsidRPr="00606C12" w:rsidRDefault="00606C12" w:rsidP="00A07209">
      <w:pPr>
        <w:numPr>
          <w:ilvl w:val="3"/>
          <w:numId w:val="365"/>
        </w:numPr>
        <w:spacing w:after="0" w:line="240" w:lineRule="auto"/>
        <w:ind w:left="1800"/>
      </w:pPr>
      <w:r>
        <w:t xml:space="preserve">Additional protections of the rights and welfare of subjects will be provided, including at least: </w:t>
      </w:r>
    </w:p>
    <w:p w14:paraId="1C0410D7" w14:textId="77777777" w:rsidR="00606C12" w:rsidRPr="00606C12" w:rsidRDefault="00606C12" w:rsidP="00A07209">
      <w:pPr>
        <w:numPr>
          <w:ilvl w:val="0"/>
          <w:numId w:val="372"/>
        </w:numPr>
        <w:spacing w:after="0" w:line="240" w:lineRule="auto"/>
        <w:ind w:left="2160"/>
      </w:pPr>
      <w:r>
        <w:t>Consultation (including consultation carried out by the IRB, where appropriate) with representatives of the communities in which the research will be conducted and from which the subjects will be drawn</w:t>
      </w:r>
    </w:p>
    <w:p w14:paraId="6306B8F5" w14:textId="77777777" w:rsidR="00606C12" w:rsidRPr="00606C12" w:rsidRDefault="00606C12" w:rsidP="00A07209">
      <w:pPr>
        <w:numPr>
          <w:ilvl w:val="3"/>
          <w:numId w:val="372"/>
        </w:numPr>
        <w:spacing w:after="0" w:line="240" w:lineRule="auto"/>
      </w:pPr>
      <w:r>
        <w:t>Examples: Holding a public meeting in the community from which the subjects will be drawn to discuss the research, conducting a telephone poll, establishing a separate panel of community members, including community consultants to the IRB, and adding unaffiliated members to the IRB who are representative of the community</w:t>
      </w:r>
    </w:p>
    <w:p w14:paraId="13F27955" w14:textId="77777777" w:rsidR="00606C12" w:rsidRPr="00606C12" w:rsidRDefault="00606C12" w:rsidP="00A07209">
      <w:pPr>
        <w:numPr>
          <w:ilvl w:val="3"/>
          <w:numId w:val="372"/>
        </w:numPr>
        <w:spacing w:after="0" w:line="240" w:lineRule="auto"/>
      </w:pPr>
      <w:r>
        <w:t>The IRB will consider community input when reviewing the research</w:t>
      </w:r>
    </w:p>
    <w:p w14:paraId="58255BB0" w14:textId="77777777" w:rsidR="00606C12" w:rsidRPr="00606C12" w:rsidRDefault="00606C12" w:rsidP="00A07209">
      <w:pPr>
        <w:numPr>
          <w:ilvl w:val="0"/>
          <w:numId w:val="372"/>
        </w:numPr>
        <w:spacing w:after="0" w:line="240" w:lineRule="auto"/>
        <w:ind w:left="2160"/>
      </w:pPr>
      <w:r>
        <w:t>Prior to initiation of the research, public disclosure of plans for the research and its risks and expected benefits to the communities in which the research will be conducted and from which the subjects will be drawn</w:t>
      </w:r>
    </w:p>
    <w:p w14:paraId="2C3B566A" w14:textId="77777777" w:rsidR="00606C12" w:rsidRPr="00606C12" w:rsidRDefault="00606C12" w:rsidP="00A07209">
      <w:pPr>
        <w:numPr>
          <w:ilvl w:val="0"/>
          <w:numId w:val="372"/>
        </w:numPr>
        <w:spacing w:after="0" w:line="240" w:lineRule="auto"/>
        <w:ind w:left="2160"/>
      </w:pPr>
      <w:r>
        <w:t>Public disclosure of sufficient information following completion of the research to apprise the community and researchers of the study, including the demographic characteristics of the research population and its results</w:t>
      </w:r>
    </w:p>
    <w:p w14:paraId="7B6EF46D" w14:textId="77777777" w:rsidR="00606C12" w:rsidRPr="00606C12" w:rsidRDefault="00606C12" w:rsidP="00A07209">
      <w:pPr>
        <w:numPr>
          <w:ilvl w:val="0"/>
          <w:numId w:val="372"/>
        </w:numPr>
        <w:spacing w:after="0" w:line="240" w:lineRule="auto"/>
        <w:ind w:left="2160"/>
      </w:pPr>
      <w:r>
        <w:t>Establishment of an independent data monitoring committee to exercise oversight of the research</w:t>
      </w:r>
    </w:p>
    <w:p w14:paraId="6AA3E438" w14:textId="77777777" w:rsidR="00606C12" w:rsidRPr="00606C12" w:rsidRDefault="00606C12" w:rsidP="00A07209">
      <w:pPr>
        <w:numPr>
          <w:ilvl w:val="0"/>
          <w:numId w:val="372"/>
        </w:numPr>
        <w:spacing w:after="0" w:line="240" w:lineRule="auto"/>
        <w:ind w:left="2160"/>
      </w:pPr>
      <w:r>
        <w:t>If obtaining informed consent is not feasible (and a legally authorized representative is not reasonably available), the investigator has committed to attempting to contact within the therapeutic window the subject's family member who is not a legally authorized representative, if feasible, and asking whether he/she objects to the subject's participation in the research</w:t>
      </w:r>
    </w:p>
    <w:p w14:paraId="2C772477" w14:textId="77777777" w:rsidR="00606C12" w:rsidRPr="00606C12" w:rsidRDefault="00606C12" w:rsidP="00A07209">
      <w:pPr>
        <w:numPr>
          <w:ilvl w:val="0"/>
          <w:numId w:val="371"/>
        </w:numPr>
        <w:tabs>
          <w:tab w:val="num" w:pos="2880"/>
        </w:tabs>
        <w:spacing w:after="0" w:line="240" w:lineRule="auto"/>
        <w:ind w:left="2880"/>
      </w:pPr>
      <w:r>
        <w:t>Only one family member must be consulted and agree (or object) to the subject's participation in the research.</w:t>
      </w:r>
    </w:p>
    <w:p w14:paraId="71BEC730" w14:textId="77777777" w:rsidR="00606C12" w:rsidRPr="00606C12" w:rsidRDefault="00606C12" w:rsidP="00A07209">
      <w:pPr>
        <w:numPr>
          <w:ilvl w:val="0"/>
          <w:numId w:val="371"/>
        </w:numPr>
        <w:tabs>
          <w:tab w:val="num" w:pos="2880"/>
        </w:tabs>
        <w:spacing w:after="0" w:line="240" w:lineRule="auto"/>
        <w:ind w:left="2880"/>
      </w:pPr>
      <w:r>
        <w:t>If more than one family member is present and family members disagree, the family members must work out the disagreement to enroll the potential subject.</w:t>
      </w:r>
    </w:p>
    <w:p w14:paraId="3EEC7419" w14:textId="77777777" w:rsidR="00606C12" w:rsidRPr="00606C12" w:rsidRDefault="00606C12" w:rsidP="00A07209">
      <w:pPr>
        <w:numPr>
          <w:ilvl w:val="0"/>
          <w:numId w:val="371"/>
        </w:numPr>
        <w:tabs>
          <w:tab w:val="num" w:pos="2880"/>
        </w:tabs>
        <w:spacing w:after="0" w:line="240" w:lineRule="auto"/>
        <w:ind w:left="2880"/>
      </w:pPr>
      <w:r>
        <w:t>Investigators will summarize efforts made to contact family members and provide this information to the IRB at the time of continuing review.</w:t>
      </w:r>
    </w:p>
    <w:p w14:paraId="102EC012" w14:textId="77777777" w:rsidR="00606C12" w:rsidRPr="00606C12" w:rsidRDefault="00606C12" w:rsidP="00CF1647">
      <w:pPr>
        <w:spacing w:after="0" w:line="240" w:lineRule="auto"/>
        <w:ind w:left="2160"/>
        <w:rPr>
          <w:i/>
          <w:iCs/>
        </w:rPr>
      </w:pPr>
      <w:r>
        <w:rPr>
          <w:i/>
          <w:iCs/>
        </w:rPr>
        <w:t>Note: If a subject is enrolled in the study with waived consent and the subject dies before a legally authorized representative or family member can be contacted, information about the study (as described in the following section) is to be provided to the subject's legally authorized representative or family member, if feasible.</w:t>
      </w:r>
    </w:p>
    <w:p w14:paraId="6C8B35F9" w14:textId="77777777" w:rsidR="00606C12" w:rsidRPr="00606C12" w:rsidRDefault="00606C12" w:rsidP="00606C12">
      <w:pPr>
        <w:spacing w:after="0" w:line="240" w:lineRule="auto"/>
      </w:pPr>
    </w:p>
    <w:p w14:paraId="33A27D94" w14:textId="77777777" w:rsidR="00606C12" w:rsidRPr="00606C12" w:rsidRDefault="00606C12" w:rsidP="00A07209">
      <w:pPr>
        <w:numPr>
          <w:ilvl w:val="0"/>
          <w:numId w:val="365"/>
        </w:numPr>
        <w:spacing w:after="60" w:line="240" w:lineRule="auto"/>
        <w:ind w:left="1080"/>
      </w:pPr>
      <w:r>
        <w:t>The IRB will approve procedures to inform the subject, the subject’s legally authorized representative (if the subject remains incapacitated), or a family member (if the legally authorized representative is not reasonably available) of the following at the earliest feasible opportunity:</w:t>
      </w:r>
    </w:p>
    <w:p w14:paraId="7BB874CC" w14:textId="77777777" w:rsidR="00606C12" w:rsidRPr="00606C12" w:rsidRDefault="00606C12" w:rsidP="00A07209">
      <w:pPr>
        <w:numPr>
          <w:ilvl w:val="0"/>
          <w:numId w:val="373"/>
        </w:numPr>
        <w:tabs>
          <w:tab w:val="num" w:pos="1440"/>
        </w:tabs>
        <w:spacing w:before="120" w:after="0" w:line="240" w:lineRule="auto"/>
        <w:ind w:left="1800"/>
      </w:pPr>
      <w:r>
        <w:t>That the subject was included in the study</w:t>
      </w:r>
    </w:p>
    <w:p w14:paraId="6E65B4BC" w14:textId="77777777" w:rsidR="00606C12" w:rsidRPr="00606C12" w:rsidRDefault="00606C12" w:rsidP="00A07209">
      <w:pPr>
        <w:numPr>
          <w:ilvl w:val="0"/>
          <w:numId w:val="373"/>
        </w:numPr>
        <w:tabs>
          <w:tab w:val="num" w:pos="1440"/>
        </w:tabs>
        <w:spacing w:before="120" w:after="0" w:line="240" w:lineRule="auto"/>
        <w:ind w:left="1800"/>
      </w:pPr>
      <w:r>
        <w:t>Details of the research and other information contained in the informed consent document</w:t>
      </w:r>
    </w:p>
    <w:p w14:paraId="4ED38F99" w14:textId="77777777" w:rsidR="00606C12" w:rsidRPr="00606C12" w:rsidRDefault="00606C12" w:rsidP="00A07209">
      <w:pPr>
        <w:numPr>
          <w:ilvl w:val="0"/>
          <w:numId w:val="373"/>
        </w:numPr>
        <w:tabs>
          <w:tab w:val="num" w:pos="1440"/>
        </w:tabs>
        <w:spacing w:before="120" w:after="0" w:line="240" w:lineRule="auto"/>
        <w:ind w:left="1800"/>
      </w:pPr>
      <w:r>
        <w:t>That the subject’s participation may be discontinued at any time without penalty or loss of benefits to which the subject is otherwise entitled</w:t>
      </w:r>
      <w:r>
        <w:br/>
      </w:r>
    </w:p>
    <w:p w14:paraId="2538D1CD" w14:textId="77777777" w:rsidR="00606C12" w:rsidRPr="00606C12" w:rsidRDefault="00606C12" w:rsidP="00CF1647">
      <w:pPr>
        <w:spacing w:after="0" w:line="240" w:lineRule="auto"/>
        <w:ind w:left="1224"/>
        <w:rPr>
          <w:i/>
          <w:iCs/>
        </w:rPr>
      </w:pPr>
      <w:r>
        <w:rPr>
          <w:i/>
          <w:iCs/>
        </w:rPr>
        <w:t>Note: If it is a legally authorized representative or family member that is told about the study and the subject's condition improves, the subject is also to be informed as soon as feasible.</w:t>
      </w:r>
    </w:p>
    <w:p w14:paraId="0FD56A8F" w14:textId="77777777" w:rsidR="00606C12" w:rsidRPr="00606C12" w:rsidRDefault="00606C12" w:rsidP="00606C12">
      <w:pPr>
        <w:spacing w:after="0" w:line="240" w:lineRule="auto"/>
        <w:rPr>
          <w:i/>
        </w:rPr>
      </w:pPr>
    </w:p>
    <w:p w14:paraId="0965B590" w14:textId="77777777" w:rsidR="00606C12" w:rsidRPr="00076836" w:rsidRDefault="00606C12" w:rsidP="00A07209">
      <w:pPr>
        <w:pStyle w:val="ListParagraph"/>
        <w:numPr>
          <w:ilvl w:val="0"/>
          <w:numId w:val="380"/>
        </w:numPr>
        <w:spacing w:after="0" w:line="240" w:lineRule="auto"/>
        <w:rPr>
          <w:b/>
        </w:rPr>
      </w:pPr>
      <w:r>
        <w:rPr>
          <w:b/>
        </w:rPr>
        <w:t>Research Subject to FDA Regulations</w:t>
      </w:r>
    </w:p>
    <w:p w14:paraId="1DF2FEFA" w14:textId="77777777" w:rsidR="00606C12" w:rsidRPr="00606C12" w:rsidRDefault="00606C12" w:rsidP="00606C12">
      <w:pPr>
        <w:spacing w:after="0" w:line="240" w:lineRule="auto"/>
      </w:pPr>
    </w:p>
    <w:p w14:paraId="0E2C7000" w14:textId="77777777" w:rsidR="00606C12" w:rsidRPr="00606C12" w:rsidRDefault="00606C12" w:rsidP="00606C12">
      <w:pPr>
        <w:spacing w:after="0" w:line="240" w:lineRule="auto"/>
        <w:ind w:left="360"/>
      </w:pPr>
      <w:r>
        <w:t>For planned emergency research subject to FDA regulations, other specific requirements also apply, as described below.</w:t>
      </w:r>
    </w:p>
    <w:p w14:paraId="59D165CC" w14:textId="77777777" w:rsidR="00606C12" w:rsidRPr="00606C12" w:rsidRDefault="00606C12" w:rsidP="00606C12">
      <w:pPr>
        <w:spacing w:after="0" w:line="240" w:lineRule="auto"/>
        <w:ind w:left="360"/>
      </w:pPr>
    </w:p>
    <w:p w14:paraId="513B2CFB" w14:textId="77777777" w:rsidR="00606C12" w:rsidRPr="00606C12" w:rsidRDefault="00606C12" w:rsidP="00A07209">
      <w:pPr>
        <w:numPr>
          <w:ilvl w:val="0"/>
          <w:numId w:val="376"/>
        </w:numPr>
        <w:spacing w:after="0" w:line="240" w:lineRule="auto"/>
        <w:ind w:left="1080"/>
      </w:pPr>
      <w:r>
        <w:t>The IRB will confirm and document that a separate IND or IDE is obtained for use of the investigational drug, biologic, or device to be studied in the research that clearly identifies the protocol as one that may include subjects who are unable to consent. Note: A separate IND or IDE is required even if an IND for the same drug or an IDE for the same device as the one to be studied already exists.</w:t>
      </w:r>
    </w:p>
    <w:p w14:paraId="66398C45" w14:textId="77777777" w:rsidR="00606C12" w:rsidRPr="00606C12" w:rsidRDefault="00606C12" w:rsidP="00606C12">
      <w:pPr>
        <w:spacing w:after="0" w:line="240" w:lineRule="auto"/>
      </w:pPr>
    </w:p>
    <w:p w14:paraId="48C73345" w14:textId="77777777" w:rsidR="00606C12" w:rsidRPr="00606C12" w:rsidRDefault="00606C12" w:rsidP="00A07209">
      <w:pPr>
        <w:numPr>
          <w:ilvl w:val="0"/>
          <w:numId w:val="376"/>
        </w:numPr>
        <w:spacing w:after="60" w:line="240" w:lineRule="auto"/>
        <w:ind w:left="1080"/>
      </w:pPr>
      <w:r>
        <w:t>If the IRB cannot approve the research either because the criteria described above are not met or because of relevant ethical concerns, documentation of the IRB’s findings will be provided in writing to the investigator and sponsor within 14 days.</w:t>
      </w:r>
    </w:p>
    <w:p w14:paraId="1D06AFBE" w14:textId="77777777" w:rsidR="00606C12" w:rsidRPr="00606C12" w:rsidRDefault="00606C12" w:rsidP="00A07209">
      <w:pPr>
        <w:numPr>
          <w:ilvl w:val="0"/>
          <w:numId w:val="374"/>
        </w:numPr>
        <w:tabs>
          <w:tab w:val="left" w:pos="1440"/>
        </w:tabs>
        <w:spacing w:before="120" w:after="0" w:line="240" w:lineRule="auto"/>
        <w:ind w:left="1800"/>
      </w:pPr>
      <w:r>
        <w:t>The sponsor must promptly disclose this information to FDA and to investigators who have been asked to participate in the research or a “substantially equivalent clinical investigation” and to other IRBs that have been or are asked to review this or a substantially equivalent investigation by that sponsor.</w:t>
      </w:r>
    </w:p>
    <w:p w14:paraId="2490BF0D" w14:textId="77777777" w:rsidR="00606C12" w:rsidRPr="00606C12" w:rsidRDefault="00606C12" w:rsidP="00606C12">
      <w:pPr>
        <w:spacing w:after="0" w:line="240" w:lineRule="auto"/>
      </w:pPr>
    </w:p>
    <w:p w14:paraId="5FFE23F2" w14:textId="77777777" w:rsidR="00606C12" w:rsidRPr="00606C12" w:rsidRDefault="00606C12" w:rsidP="00606C12">
      <w:pPr>
        <w:spacing w:after="0" w:line="240" w:lineRule="auto"/>
      </w:pPr>
    </w:p>
    <w:p w14:paraId="33B5ED08" w14:textId="77777777" w:rsidR="00606C12" w:rsidRPr="00606C12" w:rsidRDefault="00606C12" w:rsidP="00A07209">
      <w:pPr>
        <w:numPr>
          <w:ilvl w:val="0"/>
          <w:numId w:val="377"/>
        </w:numPr>
        <w:tabs>
          <w:tab w:val="num" w:pos="360"/>
        </w:tabs>
        <w:spacing w:after="0" w:line="240" w:lineRule="auto"/>
        <w:ind w:left="360"/>
        <w:rPr>
          <w:b/>
        </w:rPr>
      </w:pPr>
      <w:r>
        <w:rPr>
          <w:b/>
        </w:rPr>
        <w:t>Research Subject to DHHS Regulations</w:t>
      </w:r>
    </w:p>
    <w:p w14:paraId="655317E2" w14:textId="77777777" w:rsidR="00606C12" w:rsidRPr="00606C12" w:rsidRDefault="00606C12" w:rsidP="00606C12">
      <w:pPr>
        <w:spacing w:after="0" w:line="240" w:lineRule="auto"/>
        <w:ind w:left="360"/>
        <w:rPr>
          <w:b/>
        </w:rPr>
      </w:pPr>
    </w:p>
    <w:p w14:paraId="3FC819FC" w14:textId="77777777" w:rsidR="00606C12" w:rsidRPr="00606C12" w:rsidRDefault="00606C12" w:rsidP="00A07209">
      <w:pPr>
        <w:numPr>
          <w:ilvl w:val="0"/>
          <w:numId w:val="369"/>
        </w:numPr>
        <w:spacing w:after="60" w:line="240" w:lineRule="auto"/>
      </w:pPr>
      <w:r>
        <w:t xml:space="preserve">The IRB may approve research subject to DHHS regulations involving an “emergency research consent waiver” under </w:t>
      </w:r>
      <w:r>
        <w:rPr>
          <w:b/>
        </w:rPr>
        <w:t>either</w:t>
      </w:r>
      <w:r>
        <w:t xml:space="preserve"> of the following two conditions:</w:t>
      </w:r>
      <w:r>
        <w:br/>
      </w:r>
    </w:p>
    <w:p w14:paraId="7A99AD10" w14:textId="77777777" w:rsidR="00606C12" w:rsidRPr="00606C12" w:rsidRDefault="00606C12" w:rsidP="00A07209">
      <w:pPr>
        <w:numPr>
          <w:ilvl w:val="1"/>
          <w:numId w:val="378"/>
        </w:numPr>
        <w:spacing w:after="0" w:line="240" w:lineRule="auto"/>
        <w:ind w:left="1800"/>
      </w:pPr>
      <w:r>
        <w:t>The IRB finds and documents all of the following:</w:t>
      </w:r>
    </w:p>
    <w:p w14:paraId="74913AD1" w14:textId="77777777" w:rsidR="00606C12" w:rsidRPr="00606C12" w:rsidRDefault="00606C12" w:rsidP="00A07209">
      <w:pPr>
        <w:numPr>
          <w:ilvl w:val="1"/>
          <w:numId w:val="375"/>
        </w:numPr>
        <w:tabs>
          <w:tab w:val="num" w:pos="2160"/>
        </w:tabs>
        <w:spacing w:after="0" w:line="240" w:lineRule="auto"/>
        <w:ind w:left="2160"/>
      </w:pPr>
      <w:r>
        <w:t>The research is subject to FDA regulations.</w:t>
      </w:r>
    </w:p>
    <w:p w14:paraId="028A5572" w14:textId="77777777" w:rsidR="00606C12" w:rsidRPr="00606C12" w:rsidRDefault="00606C12" w:rsidP="00A07209">
      <w:pPr>
        <w:numPr>
          <w:ilvl w:val="1"/>
          <w:numId w:val="375"/>
        </w:numPr>
        <w:tabs>
          <w:tab w:val="num" w:pos="2160"/>
        </w:tabs>
        <w:spacing w:after="0" w:line="240" w:lineRule="auto"/>
        <w:ind w:left="2160"/>
      </w:pPr>
      <w:r>
        <w:t>The research will be performed under a separate IND or IDE (see “</w:t>
      </w:r>
      <w:hyperlink w:anchor="FDA" w:history="1">
        <w:r>
          <w:rPr>
            <w:color w:val="0000FF"/>
            <w:u w:val="single"/>
          </w:rPr>
          <w:t>Research Subject to FDA Regulations</w:t>
        </w:r>
      </w:hyperlink>
      <w:r>
        <w:t>” above).</w:t>
      </w:r>
    </w:p>
    <w:p w14:paraId="0FFCB116" w14:textId="77777777" w:rsidR="00606C12" w:rsidRPr="00606C12" w:rsidRDefault="00606C12" w:rsidP="00A07209">
      <w:pPr>
        <w:numPr>
          <w:ilvl w:val="1"/>
          <w:numId w:val="375"/>
        </w:numPr>
        <w:tabs>
          <w:tab w:val="num" w:pos="2160"/>
        </w:tabs>
        <w:spacing w:after="0" w:line="240" w:lineRule="auto"/>
        <w:ind w:left="2160"/>
      </w:pPr>
      <w:r>
        <w:t>The FDA requirements for exception from informed consent for emergency research (see “</w:t>
      </w:r>
      <w:hyperlink w:anchor="EFIC" w:history="1">
        <w:r>
          <w:rPr>
            <w:color w:val="0000FF"/>
            <w:u w:val="single"/>
          </w:rPr>
          <w:t>Exception to the Requirements for Informed Consent</w:t>
        </w:r>
      </w:hyperlink>
      <w:r>
        <w:t>” above) have been met.</w:t>
      </w:r>
      <w:r>
        <w:br/>
      </w:r>
    </w:p>
    <w:p w14:paraId="6C225516" w14:textId="77777777" w:rsidR="00606C12" w:rsidRPr="00606C12" w:rsidRDefault="00606C12" w:rsidP="00A07209">
      <w:pPr>
        <w:numPr>
          <w:ilvl w:val="1"/>
          <w:numId w:val="378"/>
        </w:numPr>
        <w:spacing w:after="0" w:line="240" w:lineRule="auto"/>
        <w:ind w:left="1800"/>
      </w:pPr>
      <w:r>
        <w:t>The IRB finds, documents, and reports to OHRP all of the following:</w:t>
      </w:r>
    </w:p>
    <w:p w14:paraId="7C271165" w14:textId="77777777" w:rsidR="00606C12" w:rsidRPr="00606C12" w:rsidRDefault="00606C12" w:rsidP="00A07209">
      <w:pPr>
        <w:numPr>
          <w:ilvl w:val="0"/>
          <w:numId w:val="379"/>
        </w:numPr>
        <w:spacing w:after="0" w:line="240" w:lineRule="auto"/>
      </w:pPr>
      <w:r>
        <w:t xml:space="preserve">The research is </w:t>
      </w:r>
      <w:r>
        <w:rPr>
          <w:i/>
        </w:rPr>
        <w:t xml:space="preserve">not </w:t>
      </w:r>
      <w:r>
        <w:t>subject to FDA regulations.</w:t>
      </w:r>
    </w:p>
    <w:p w14:paraId="01D338D2" w14:textId="77777777" w:rsidR="00606C12" w:rsidRPr="00606C12" w:rsidRDefault="00606C12" w:rsidP="00A07209">
      <w:pPr>
        <w:numPr>
          <w:ilvl w:val="0"/>
          <w:numId w:val="379"/>
        </w:numPr>
        <w:spacing w:after="0" w:line="240" w:lineRule="auto"/>
      </w:pPr>
      <w:r>
        <w:t>The DHHS requirements for waiver of informed consent for emergency research (see “Exception to the Requirements for Informed Consent” above) have been met.</w:t>
      </w:r>
    </w:p>
    <w:p w14:paraId="1F377DC6" w14:textId="77777777" w:rsidR="00606C12" w:rsidRPr="00606C12" w:rsidRDefault="00606C12" w:rsidP="00606C12">
      <w:pPr>
        <w:spacing w:after="0" w:line="240" w:lineRule="auto"/>
      </w:pPr>
    </w:p>
    <w:p w14:paraId="2EE0D23A" w14:textId="77777777" w:rsidR="00606C12" w:rsidRPr="00606C12" w:rsidRDefault="00606C12" w:rsidP="00A07209">
      <w:pPr>
        <w:numPr>
          <w:ilvl w:val="0"/>
          <w:numId w:val="369"/>
        </w:numPr>
        <w:spacing w:after="0" w:line="240" w:lineRule="auto"/>
        <w:ind w:left="1080"/>
        <w:rPr>
          <w:i/>
          <w:iCs/>
        </w:rPr>
      </w:pPr>
      <w:r>
        <w:t xml:space="preserve">Because of the regulatory limitations relating to research involving prisoners, fetuses, pregnant women, and human in vitro fertilization, a waiver of informed consent cannot be approved for emergency research involving these populations. </w:t>
      </w:r>
      <w:r>
        <w:rPr>
          <w:i/>
          <w:iCs/>
        </w:rPr>
        <w:t>Note: These limitations do not apply to research subject only to FDA regulations.</w:t>
      </w:r>
      <w:r>
        <w:rPr>
          <w:i/>
          <w:iCs/>
        </w:rPr>
        <w:br/>
      </w:r>
    </w:p>
    <w:p w14:paraId="01EDB585" w14:textId="77777777" w:rsidR="00606C12" w:rsidRPr="00606C12" w:rsidRDefault="00606C12" w:rsidP="00606C12">
      <w:pPr>
        <w:spacing w:after="0" w:line="240" w:lineRule="auto"/>
        <w:rPr>
          <w:bCs/>
          <w:color w:val="000000"/>
        </w:rPr>
      </w:pPr>
    </w:p>
    <w:p w14:paraId="17595682" w14:textId="77777777" w:rsidR="00606C12" w:rsidRPr="00606C12" w:rsidRDefault="00606C12" w:rsidP="00A07209">
      <w:pPr>
        <w:numPr>
          <w:ilvl w:val="0"/>
          <w:numId w:val="366"/>
        </w:numPr>
        <w:tabs>
          <w:tab w:val="num" w:pos="360"/>
        </w:tabs>
        <w:spacing w:after="0" w:line="240" w:lineRule="auto"/>
        <w:ind w:left="360"/>
      </w:pPr>
      <w:r>
        <w:rPr>
          <w:b/>
        </w:rPr>
        <w:t>Applicable Regulations/Guidance</w:t>
      </w:r>
    </w:p>
    <w:p w14:paraId="59586CA1" w14:textId="77777777" w:rsidR="00606C12" w:rsidRPr="00606C12" w:rsidRDefault="00606C12" w:rsidP="00606C12">
      <w:pPr>
        <w:spacing w:after="0" w:line="240" w:lineRule="auto"/>
        <w:ind w:left="360"/>
      </w:pPr>
    </w:p>
    <w:p w14:paraId="304C3E32" w14:textId="77777777" w:rsidR="00606C12" w:rsidRPr="00606C12" w:rsidRDefault="00606C12" w:rsidP="00606C12">
      <w:pPr>
        <w:spacing w:after="0" w:line="240" w:lineRule="auto"/>
        <w:ind w:left="360"/>
      </w:pPr>
      <w:r>
        <w:t>21 CFR 50.24, 21 CFR 50.25, 21 CFR 50.27, 45 CFR 46.116, 45 CFR 46.117, Federal Register Vol. 61 No. 192 p. 51531-51533 (10/02/96), FDA Guidance “</w:t>
      </w:r>
      <w:r>
        <w:rPr>
          <w:bCs/>
        </w:rPr>
        <w:t xml:space="preserve">Exception from Informed Consent Requirements for Emergency Research” (04/13), </w:t>
      </w:r>
      <w:r>
        <w:t>OHRP</w:t>
      </w:r>
      <w:r>
        <w:rPr>
          <w:b/>
        </w:rPr>
        <w:t xml:space="preserve"> </w:t>
      </w:r>
      <w:r>
        <w:t>Guidance “Informed Consent Requirements in Emergency Research” (OPRR Reports 97-01, 10/31/96)</w:t>
      </w:r>
    </w:p>
    <w:p w14:paraId="77FAD89B" w14:textId="77777777" w:rsidR="00606C12" w:rsidRPr="00606C12" w:rsidRDefault="00606C12" w:rsidP="00606C12">
      <w:pPr>
        <w:spacing w:after="0" w:line="240" w:lineRule="auto"/>
        <w:ind w:left="360"/>
        <w:rPr>
          <w:b/>
        </w:rPr>
      </w:pPr>
    </w:p>
    <w:p w14:paraId="6D54A758" w14:textId="77777777" w:rsidR="00606C12" w:rsidRPr="00606C12" w:rsidRDefault="00606C12" w:rsidP="00A07209">
      <w:pPr>
        <w:numPr>
          <w:ilvl w:val="0"/>
          <w:numId w:val="366"/>
        </w:numPr>
        <w:spacing w:after="0" w:line="240" w:lineRule="auto"/>
        <w:ind w:left="360"/>
        <w:rPr>
          <w:b/>
        </w:rPr>
      </w:pPr>
      <w:r>
        <w:rPr>
          <w:b/>
        </w:rPr>
        <w:t>History</w:t>
      </w:r>
    </w:p>
    <w:p w14:paraId="63A4D0AE" w14:textId="77777777" w:rsidR="00606C12" w:rsidRPr="00606C12" w:rsidRDefault="00606C12" w:rsidP="00606C12">
      <w:pPr>
        <w:spacing w:after="0" w:line="240" w:lineRule="auto"/>
      </w:pPr>
    </w:p>
    <w:p w14:paraId="44E68AD6" w14:textId="77777777" w:rsidR="00606C12" w:rsidRPr="00606C12" w:rsidRDefault="00606C12" w:rsidP="00606C12">
      <w:pPr>
        <w:spacing w:after="0" w:line="240" w:lineRule="auto"/>
        <w:ind w:left="360"/>
      </w:pPr>
      <w:r>
        <w:t>Issued: 10/20/2008</w:t>
      </w:r>
    </w:p>
    <w:p w14:paraId="5B691599" w14:textId="77777777" w:rsidR="00606C12" w:rsidRPr="00606C12" w:rsidRDefault="00606C12" w:rsidP="00606C12">
      <w:pPr>
        <w:spacing w:after="0" w:line="240" w:lineRule="auto"/>
        <w:ind w:left="360"/>
      </w:pPr>
      <w:r>
        <w:t>Revised: 06/08/2009, 06/04/2012, 11/21/2016</w:t>
      </w:r>
    </w:p>
    <w:p w14:paraId="696E70F6" w14:textId="77777777" w:rsidR="00606C12" w:rsidRPr="00606C12" w:rsidRDefault="00606C12" w:rsidP="00606C12">
      <w:pPr>
        <w:spacing w:after="0" w:line="240" w:lineRule="auto"/>
        <w:ind w:left="360"/>
      </w:pPr>
      <w:r>
        <w:t>Edited:11/15/2021, 04/20/2022</w:t>
      </w:r>
    </w:p>
    <w:p w14:paraId="4CF07A2A" w14:textId="77777777" w:rsidR="00606C12" w:rsidRPr="00606C12" w:rsidRDefault="00606C12" w:rsidP="00606C12">
      <w:pPr>
        <w:spacing w:after="0" w:line="240" w:lineRule="auto"/>
      </w:pPr>
    </w:p>
    <w:p w14:paraId="408B6D35" w14:textId="77777777" w:rsidR="00471B9E" w:rsidRDefault="00471B9E">
      <w:r>
        <w:br w:type="page"/>
      </w:r>
    </w:p>
    <w:p w14:paraId="3FE95CD3" w14:textId="77777777" w:rsidR="00982ABF" w:rsidRPr="00E16D96" w:rsidRDefault="46F6EC47" w:rsidP="00471B9E">
      <w:pPr>
        <w:pStyle w:val="Heading2"/>
      </w:pPr>
      <w:bookmarkStart w:id="369" w:name="B28"/>
      <w:bookmarkStart w:id="370" w:name="_Toc212142225"/>
      <w:bookmarkStart w:id="371" w:name="_Toc225507765"/>
      <w:r>
        <w:lastRenderedPageBreak/>
        <w:t xml:space="preserve">Appendix B-28  </w:t>
      </w:r>
      <w:bookmarkEnd w:id="369"/>
      <w:r>
        <w:tab/>
        <w:t>Emergency Use of Investigational Drugs, Biologics, or Devices</w:t>
      </w:r>
      <w:bookmarkEnd w:id="370"/>
      <w:bookmarkEnd w:id="371"/>
    </w:p>
    <w:p w14:paraId="769AEAEF" w14:textId="77777777" w:rsidR="00982ABF" w:rsidRPr="00E16D96" w:rsidRDefault="00982ABF" w:rsidP="00982ABF">
      <w:pPr>
        <w:rPr>
          <w:b/>
          <w:smallCaps/>
        </w:rPr>
      </w:pPr>
    </w:p>
    <w:p w14:paraId="3033BC53" w14:textId="77777777" w:rsidR="00982ABF" w:rsidRPr="00E16D96" w:rsidRDefault="00982ABF" w:rsidP="00A07209">
      <w:pPr>
        <w:numPr>
          <w:ilvl w:val="0"/>
          <w:numId w:val="392"/>
        </w:numPr>
        <w:spacing w:after="0" w:line="240" w:lineRule="auto"/>
        <w:rPr>
          <w:b/>
          <w:smallCaps/>
        </w:rPr>
      </w:pPr>
      <w:r>
        <w:rPr>
          <w:b/>
        </w:rPr>
        <w:t>Overview</w:t>
      </w:r>
    </w:p>
    <w:p w14:paraId="4BCC8C66" w14:textId="77777777" w:rsidR="00982ABF" w:rsidRPr="00E16D96" w:rsidRDefault="00982ABF" w:rsidP="00982ABF">
      <w:pPr>
        <w:rPr>
          <w:smallCaps/>
        </w:rPr>
      </w:pPr>
    </w:p>
    <w:p w14:paraId="01331381" w14:textId="77777777" w:rsidR="00982ABF" w:rsidRPr="00E16D96" w:rsidRDefault="00982ABF" w:rsidP="00CF1647">
      <w:pPr>
        <w:ind w:left="360"/>
      </w:pPr>
      <w:r>
        <w:t>The emergency use provision in FDA regulations is an exemption from the requirements for prior review and approval of research by the IRB. The exemption, which must meet the specific conditions described in the regulations, allows for one emergency use of an investigational drug or biologic or unapproved medical device in a life-threatening situation for which no standard acceptable treatment is available and when there is not sufficient time to obtain IRB approval. In general, subsequent use of the investigational product must undergo prospective IRB review and approval.</w:t>
      </w:r>
    </w:p>
    <w:p w14:paraId="1F7FE54D" w14:textId="77777777" w:rsidR="00982ABF" w:rsidRPr="00E16D96" w:rsidRDefault="00982ABF" w:rsidP="00982ABF">
      <w:pPr>
        <w:ind w:left="360"/>
      </w:pPr>
      <w:r>
        <w:t>This policy outlines the requirements for emergency uses of investigational drugs or biologics, emergency uses of unapproved medical devices, and exceptions to the requirements for informed consent in emergency situations.</w:t>
      </w:r>
    </w:p>
    <w:p w14:paraId="088C7F9D" w14:textId="77777777" w:rsidR="00982ABF" w:rsidRPr="00E16D96" w:rsidRDefault="00982ABF" w:rsidP="00982ABF">
      <w:pPr>
        <w:rPr>
          <w:b/>
          <w:smallCaps/>
        </w:rPr>
      </w:pPr>
    </w:p>
    <w:p w14:paraId="11085157" w14:textId="77777777" w:rsidR="00982ABF" w:rsidRPr="00E16D96" w:rsidRDefault="00982ABF" w:rsidP="00A07209">
      <w:pPr>
        <w:numPr>
          <w:ilvl w:val="0"/>
          <w:numId w:val="392"/>
        </w:numPr>
        <w:spacing w:after="0" w:line="240" w:lineRule="auto"/>
        <w:ind w:left="360" w:hanging="360"/>
        <w:rPr>
          <w:b/>
          <w:smallCaps/>
        </w:rPr>
      </w:pPr>
      <w:r>
        <w:rPr>
          <w:b/>
        </w:rPr>
        <w:t>Definitions</w:t>
      </w:r>
    </w:p>
    <w:p w14:paraId="07252148" w14:textId="77777777" w:rsidR="00982ABF" w:rsidRPr="00E16D96" w:rsidRDefault="00982ABF" w:rsidP="00982ABF">
      <w:pPr>
        <w:rPr>
          <w:smallCaps/>
        </w:rPr>
      </w:pPr>
    </w:p>
    <w:p w14:paraId="367A787F" w14:textId="77777777" w:rsidR="00982ABF" w:rsidRPr="00CF1647" w:rsidRDefault="00982ABF" w:rsidP="00CF1647">
      <w:pPr>
        <w:ind w:left="360"/>
      </w:pPr>
      <w:r>
        <w:rPr>
          <w:b/>
        </w:rPr>
        <w:t xml:space="preserve">Compassionate Use: </w:t>
      </w:r>
      <w:r>
        <w:rPr>
          <w:bCs/>
        </w:rPr>
        <w:t xml:space="preserve">Also: </w:t>
      </w:r>
      <w:r>
        <w:rPr>
          <w:b/>
        </w:rPr>
        <w:t>expanded access</w:t>
      </w:r>
      <w:r>
        <w:rPr>
          <w:bCs/>
        </w:rPr>
        <w:t>.</w:t>
      </w:r>
      <w:r>
        <w:rPr>
          <w:b/>
        </w:rPr>
        <w:t xml:space="preserve"> </w:t>
      </w:r>
      <w:r>
        <w:t xml:space="preserve">Use of an investigational drug or biologic or unapproved medical device for a single subject (or small group of subjects) with a serious disease or condition, who does not meet the requirements for inclusion in a clinical investigation, and for whom no standard acceptable treatment is available. Prior FDA and IRB approval are required for compassionate use. </w:t>
      </w:r>
      <w:r>
        <w:rPr>
          <w:i/>
        </w:rPr>
        <w:t>Note: The terms compassionate use and emergency use are not synonymous.</w:t>
      </w:r>
    </w:p>
    <w:p w14:paraId="136D7E36" w14:textId="77777777" w:rsidR="00982ABF" w:rsidRPr="00E16D96" w:rsidRDefault="00982ABF" w:rsidP="00CF1647">
      <w:pPr>
        <w:ind w:left="360"/>
      </w:pPr>
      <w:r>
        <w:rPr>
          <w:b/>
        </w:rPr>
        <w:t>Emergency Use:</w:t>
      </w:r>
      <w:r>
        <w:t xml:space="preserve"> Use of an investigational drug or biologic or unapproved medical device for a human subject in a life-threatening situation for which no standard acceptable treatment is available and when there is not sufficient time to obtain IRB approval. </w:t>
      </w:r>
      <w:r>
        <w:rPr>
          <w:i/>
        </w:rPr>
        <w:t>Note: Under FDA regulations, emergency use is a category of research (i.e., clinical investigation) that is exempt from the requirements for IRB review.</w:t>
      </w:r>
    </w:p>
    <w:p w14:paraId="6A8FA625" w14:textId="77777777" w:rsidR="00982ABF" w:rsidRPr="00E16D96" w:rsidRDefault="00982ABF" w:rsidP="00CF1647">
      <w:pPr>
        <w:ind w:left="360"/>
      </w:pPr>
      <w:r>
        <w:rPr>
          <w:b/>
        </w:rPr>
        <w:t>Investigational Device Exemption (IDE):</w:t>
      </w:r>
      <w:r>
        <w:t xml:space="preserve"> An application that permits a medical device that would otherwise be required to comply with an existing performance standard (e.g., 510(k) submission) or to have premarket approval by FDA to be legally shipped for a clinical investigation.</w:t>
      </w:r>
    </w:p>
    <w:p w14:paraId="23E5D30D" w14:textId="77777777" w:rsidR="00982ABF" w:rsidRPr="00CF1647" w:rsidRDefault="00982ABF" w:rsidP="00CF1647">
      <w:pPr>
        <w:ind w:left="360"/>
        <w:rPr>
          <w:b/>
        </w:rPr>
      </w:pPr>
      <w:r>
        <w:rPr>
          <w:b/>
        </w:rPr>
        <w:t xml:space="preserve">Investigational New Drug Application (IND): </w:t>
      </w:r>
      <w:r>
        <w:t>A request from a clinical study sponsor to obtain authorization from the FDA to administer an investigational drug or biological product to humans. An FDA-approved IND permits a drug that would otherwise require premarket approval by FDA to be legally shipped for a clinical investigation.</w:t>
      </w:r>
    </w:p>
    <w:p w14:paraId="42DE6BFE" w14:textId="77777777" w:rsidR="00982ABF" w:rsidRPr="00E16D96" w:rsidRDefault="00982ABF" w:rsidP="00CF1647">
      <w:pPr>
        <w:ind w:left="360"/>
      </w:pPr>
      <w:r>
        <w:rPr>
          <w:b/>
        </w:rPr>
        <w:t>Life-threatening:</w:t>
      </w:r>
      <w:r>
        <w:t xml:space="preserve"> Refers to diseases or conditions where the likelihood of death is high unless the course of the disease is interrupted; also, diseases or conditions with potentially fatal outcomes.</w:t>
      </w:r>
    </w:p>
    <w:p w14:paraId="69E1DA0B" w14:textId="77777777" w:rsidR="00982ABF" w:rsidRDefault="00982ABF" w:rsidP="00386F9D">
      <w:pPr>
        <w:ind w:left="360"/>
      </w:pPr>
      <w:r>
        <w:rPr>
          <w:b/>
        </w:rPr>
        <w:t>Severely Debilitating:</w:t>
      </w:r>
      <w:r>
        <w:t xml:space="preserve"> Refers to diseases or conditions that cause major irreversible morbidity (e.g., blindness, loss of limb, loss of hearing, paralysis, or stroke).</w:t>
      </w:r>
    </w:p>
    <w:p w14:paraId="1876D1FB" w14:textId="77777777" w:rsidR="00982ABF" w:rsidRDefault="00982ABF" w:rsidP="00982ABF">
      <w:pPr>
        <w:ind w:left="360"/>
      </w:pPr>
      <w:r>
        <w:rPr>
          <w:b/>
          <w:bCs/>
        </w:rPr>
        <w:t>Test Article</w:t>
      </w:r>
      <w:r>
        <w:t>: A test article is any drug, biologic, or medical device for human use, or human food additive, color additive, electronic product, or any other article subject to FDA regulations</w:t>
      </w:r>
    </w:p>
    <w:p w14:paraId="216258EF" w14:textId="77777777" w:rsidR="00982ABF" w:rsidRPr="00876211" w:rsidRDefault="00982ABF" w:rsidP="00982ABF">
      <w:pPr>
        <w:ind w:left="360"/>
      </w:pPr>
    </w:p>
    <w:p w14:paraId="54FA9EFE" w14:textId="77777777" w:rsidR="00982ABF" w:rsidRDefault="00982ABF" w:rsidP="00386F9D">
      <w:pPr>
        <w:widowControl w:val="0"/>
        <w:autoSpaceDE w:val="0"/>
        <w:autoSpaceDN w:val="0"/>
        <w:adjustRightInd w:val="0"/>
        <w:ind w:left="360"/>
      </w:pPr>
      <w:r>
        <w:rPr>
          <w:b/>
        </w:rPr>
        <w:t>Unapproved Medical Device:</w:t>
      </w:r>
      <w:r>
        <w:t xml:space="preserve"> A device used for a purpose or condition for which the device would require but does not have premarket approval, premarket notification (510(k)), or an approved investigational device exemption (IDE) </w:t>
      </w:r>
      <w:r>
        <w:lastRenderedPageBreak/>
        <w:t>from FDA.</w:t>
      </w:r>
    </w:p>
    <w:p w14:paraId="2DB24BC5" w14:textId="77777777" w:rsidR="00386F9D" w:rsidRPr="00E16D96" w:rsidRDefault="00386F9D" w:rsidP="00386F9D">
      <w:pPr>
        <w:widowControl w:val="0"/>
        <w:autoSpaceDE w:val="0"/>
        <w:autoSpaceDN w:val="0"/>
        <w:adjustRightInd w:val="0"/>
      </w:pPr>
    </w:p>
    <w:p w14:paraId="2C1181B6" w14:textId="77777777" w:rsidR="00982ABF" w:rsidRDefault="00982ABF" w:rsidP="00A07209">
      <w:pPr>
        <w:numPr>
          <w:ilvl w:val="0"/>
          <w:numId w:val="392"/>
        </w:numPr>
        <w:spacing w:after="0" w:line="240" w:lineRule="auto"/>
        <w:rPr>
          <w:b/>
        </w:rPr>
      </w:pPr>
      <w:r>
        <w:rPr>
          <w:b/>
        </w:rPr>
        <w:t>General Information</w:t>
      </w:r>
    </w:p>
    <w:p w14:paraId="36A9DEFC" w14:textId="77777777" w:rsidR="00386F9D" w:rsidRPr="00386F9D" w:rsidRDefault="00386F9D" w:rsidP="00386F9D">
      <w:pPr>
        <w:spacing w:after="0" w:line="240" w:lineRule="auto"/>
        <w:ind w:left="1224"/>
        <w:rPr>
          <w:b/>
        </w:rPr>
      </w:pPr>
    </w:p>
    <w:p w14:paraId="2DDC4868" w14:textId="77777777" w:rsidR="00982ABF" w:rsidRDefault="00982ABF" w:rsidP="00A07209">
      <w:pPr>
        <w:numPr>
          <w:ilvl w:val="1"/>
          <w:numId w:val="392"/>
        </w:numPr>
        <w:spacing w:after="0" w:line="240" w:lineRule="auto"/>
        <w:ind w:left="1080" w:hanging="360"/>
      </w:pPr>
      <w:r>
        <w:t xml:space="preserve">The emergency use of an investigational drug or biologic or unapproved medical device is research involving human subjects as defined by FDA regulations. All emergency uses are subject to the requirements of The Ohio State University Human Research Protection Program (HRPP), except as described by this policy. </w:t>
      </w:r>
      <w:r>
        <w:rPr>
          <w:i/>
          <w:iCs/>
        </w:rPr>
        <w:t>Note: The emergency use of a drug, biologic, or device does not meet the DHHS definition of research involving human subjects. For more information on activities that are defined by FDA and DHHS regulations as “research involving human subjects,” see HRPP policy [</w:t>
      </w:r>
      <w:hyperlink r:id="rId396" w:history="1">
        <w:r>
          <w:rPr>
            <w:rStyle w:val="Hyperlink"/>
            <w:i/>
            <w:iCs/>
          </w:rPr>
          <w:t>Research Involving Human Subjects</w:t>
        </w:r>
      </w:hyperlink>
      <w:r>
        <w:rPr>
          <w:i/>
          <w:iCs/>
        </w:rPr>
        <w:t>].</w:t>
      </w:r>
    </w:p>
    <w:p w14:paraId="76D295F8" w14:textId="77777777" w:rsidR="00386F9D" w:rsidRPr="00386F9D" w:rsidRDefault="00386F9D" w:rsidP="00386F9D">
      <w:pPr>
        <w:spacing w:after="0" w:line="240" w:lineRule="auto"/>
        <w:ind w:left="720"/>
      </w:pPr>
    </w:p>
    <w:p w14:paraId="07D04348" w14:textId="77777777" w:rsidR="00386F9D" w:rsidRDefault="00982ABF" w:rsidP="00A07209">
      <w:pPr>
        <w:numPr>
          <w:ilvl w:val="1"/>
          <w:numId w:val="392"/>
        </w:numPr>
        <w:spacing w:after="0" w:line="240" w:lineRule="auto"/>
        <w:ind w:left="1080" w:hanging="360"/>
      </w:pPr>
      <w:r>
        <w:t>The use of a marketed drug, biologic, or medical device for an indication that is not listed in the FDA-approved product labeling (i.e., “off label” use) for an individual in a life-threatening situation does not constitute an emergency use as defined by FDA regulations and HRPP policy. Regulations and university policy do not limit the authority of physicians to provide such emergency “medical care” to patients in life-threatening situations; however, physicians and other healthcare providers are responsible for complying with applicable state laws and other institutional requirements (e.g., The Ohio State University Wexner Medical Center policies) regarding all uses of drugs, biologics, and medical devices.</w:t>
      </w:r>
    </w:p>
    <w:p w14:paraId="5BB1E21E" w14:textId="77777777" w:rsidR="00386F9D" w:rsidRPr="00386F9D" w:rsidRDefault="00386F9D" w:rsidP="00386F9D">
      <w:pPr>
        <w:spacing w:after="0" w:line="240" w:lineRule="auto"/>
      </w:pPr>
    </w:p>
    <w:p w14:paraId="523C853E" w14:textId="77777777" w:rsidR="00982ABF" w:rsidRDefault="00982ABF" w:rsidP="00A07209">
      <w:pPr>
        <w:numPr>
          <w:ilvl w:val="1"/>
          <w:numId w:val="392"/>
        </w:numPr>
        <w:spacing w:after="0" w:line="240" w:lineRule="auto"/>
        <w:ind w:left="1152"/>
      </w:pPr>
      <w:r>
        <w:t>FDA requirements for emergency uses of investigational drugs and biologics differ slightly from the requirements for emergency uses of unapproved medical devices, as described below. For more information on research involving investigational drugs and medical devices, see HRPP policies [</w:t>
      </w:r>
      <w:hyperlink r:id="rId397" w:history="1">
        <w:r>
          <w:rPr>
            <w:rStyle w:val="Hyperlink"/>
          </w:rPr>
          <w:t>Research Involving Investigational Drugs</w:t>
        </w:r>
      </w:hyperlink>
      <w:r>
        <w:t>] and [</w:t>
      </w:r>
      <w:hyperlink r:id="rId398" w:history="1">
        <w:r>
          <w:rPr>
            <w:rStyle w:val="Hyperlink"/>
          </w:rPr>
          <w:t>Research Involving Medical Devices</w:t>
        </w:r>
      </w:hyperlink>
      <w:r>
        <w:t>].</w:t>
      </w:r>
    </w:p>
    <w:p w14:paraId="76D08E63" w14:textId="77777777" w:rsidR="00386F9D" w:rsidRPr="00386F9D" w:rsidRDefault="00386F9D" w:rsidP="00386F9D">
      <w:pPr>
        <w:spacing w:after="0" w:line="240" w:lineRule="auto"/>
      </w:pPr>
    </w:p>
    <w:p w14:paraId="39F35743" w14:textId="77777777" w:rsidR="00982ABF" w:rsidRDefault="00982ABF" w:rsidP="00A07209">
      <w:pPr>
        <w:numPr>
          <w:ilvl w:val="1"/>
          <w:numId w:val="392"/>
        </w:numPr>
        <w:spacing w:after="0" w:line="240" w:lineRule="auto"/>
        <w:ind w:left="1152"/>
      </w:pPr>
      <w:r>
        <w:t>While DHHS regulations do not permit data obtained from patients under emergency use to be classified as human subjects research, nor permit the outcome of such care to be included in any report of a research activity subject to DHHS regulations, FDA regulations allow the emergency use of a test article (other than a medical device) to constitute a clinical investigation involving human subjects. Data from the investigation may be reported to FDA in support of a marketing application.</w:t>
      </w:r>
    </w:p>
    <w:p w14:paraId="47678360" w14:textId="77777777" w:rsidR="00982ABF" w:rsidRPr="001A6038" w:rsidRDefault="00982ABF" w:rsidP="00982ABF">
      <w:pPr>
        <w:rPr>
          <w:iCs/>
        </w:rPr>
      </w:pPr>
    </w:p>
    <w:p w14:paraId="6927D223" w14:textId="77777777" w:rsidR="00982ABF" w:rsidRDefault="00982ABF" w:rsidP="00A07209">
      <w:pPr>
        <w:numPr>
          <w:ilvl w:val="0"/>
          <w:numId w:val="392"/>
        </w:numPr>
        <w:spacing w:after="0" w:line="240" w:lineRule="auto"/>
      </w:pPr>
      <w:r>
        <w:rPr>
          <w:b/>
        </w:rPr>
        <w:t>Criteria for Emergency Use</w:t>
      </w:r>
    </w:p>
    <w:p w14:paraId="37B587DE" w14:textId="77777777" w:rsidR="00386F9D" w:rsidRPr="00386F9D" w:rsidRDefault="00386F9D" w:rsidP="00386F9D">
      <w:pPr>
        <w:spacing w:after="0" w:line="240" w:lineRule="auto"/>
        <w:ind w:left="1224"/>
      </w:pPr>
    </w:p>
    <w:p w14:paraId="4A2A32DA" w14:textId="77777777" w:rsidR="00982ABF" w:rsidRPr="00E16D96" w:rsidRDefault="00982ABF" w:rsidP="00982ABF">
      <w:pPr>
        <w:spacing w:after="60"/>
        <w:ind w:left="360"/>
      </w:pPr>
      <w:r>
        <w:t>According to FDA regulations, the emergency use exemption may be used if all of the following conditions are met:</w:t>
      </w:r>
    </w:p>
    <w:p w14:paraId="4FEDC1EA" w14:textId="77777777" w:rsidR="00982ABF" w:rsidRPr="00386F9D" w:rsidRDefault="00982ABF" w:rsidP="00A07209">
      <w:pPr>
        <w:pStyle w:val="ListParagraph"/>
        <w:widowControl w:val="0"/>
        <w:numPr>
          <w:ilvl w:val="1"/>
          <w:numId w:val="462"/>
        </w:numPr>
        <w:tabs>
          <w:tab w:val="num" w:pos="1080"/>
        </w:tabs>
        <w:autoSpaceDE w:val="0"/>
        <w:autoSpaceDN w:val="0"/>
        <w:adjustRightInd w:val="0"/>
        <w:spacing w:after="60" w:line="240" w:lineRule="auto"/>
        <w:ind w:right="302"/>
      </w:pPr>
      <w:r>
        <w:t>The use involves an investigational drug or biologic, unapproved medical device, or other “test article” as defined by FDA.</w:t>
      </w:r>
    </w:p>
    <w:p w14:paraId="6F351D59" w14:textId="77777777" w:rsidR="00982ABF" w:rsidRPr="00386F9D" w:rsidRDefault="00982ABF" w:rsidP="00A07209">
      <w:pPr>
        <w:pStyle w:val="ListParagraph"/>
        <w:widowControl w:val="0"/>
        <w:numPr>
          <w:ilvl w:val="1"/>
          <w:numId w:val="462"/>
        </w:numPr>
        <w:tabs>
          <w:tab w:val="num" w:pos="1080"/>
        </w:tabs>
        <w:autoSpaceDE w:val="0"/>
        <w:autoSpaceDN w:val="0"/>
        <w:adjustRightInd w:val="0"/>
        <w:spacing w:after="60" w:line="240" w:lineRule="auto"/>
        <w:ind w:right="302"/>
      </w:pPr>
      <w:r>
        <w:rPr>
          <w:bCs/>
        </w:rPr>
        <w:t>The individual for whom the test article is intended is in a life-threatening situation.</w:t>
      </w:r>
    </w:p>
    <w:p w14:paraId="63B3DC63"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t xml:space="preserve">To meet the criteria for life-threatening a condition does not have to be </w:t>
      </w:r>
      <w:r>
        <w:rPr>
          <w:i/>
        </w:rPr>
        <w:t>immediately</w:t>
      </w:r>
      <w:r>
        <w:t xml:space="preserve"> life-threatening or </w:t>
      </w:r>
      <w:r>
        <w:rPr>
          <w:i/>
        </w:rPr>
        <w:t>immediately</w:t>
      </w:r>
      <w:r>
        <w:t xml:space="preserve"> resulting in death.</w:t>
      </w:r>
    </w:p>
    <w:p w14:paraId="061AA1F4"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rPr>
          <w:bCs/>
        </w:rPr>
        <w:t>Life-threatening also includes “severely debilitating.”</w:t>
      </w:r>
    </w:p>
    <w:p w14:paraId="46C3B4E7" w14:textId="77777777" w:rsidR="00982ABF" w:rsidRPr="00386F9D" w:rsidRDefault="00982ABF" w:rsidP="00A07209">
      <w:pPr>
        <w:pStyle w:val="ListParagraph"/>
        <w:widowControl w:val="0"/>
        <w:numPr>
          <w:ilvl w:val="2"/>
          <w:numId w:val="462"/>
        </w:numPr>
        <w:tabs>
          <w:tab w:val="num" w:pos="1800"/>
        </w:tabs>
        <w:autoSpaceDE w:val="0"/>
        <w:autoSpaceDN w:val="0"/>
        <w:adjustRightInd w:val="0"/>
        <w:spacing w:after="60" w:line="240" w:lineRule="auto"/>
        <w:ind w:right="302"/>
      </w:pPr>
      <w:r>
        <w:rPr>
          <w:bCs/>
        </w:rPr>
        <w:t>Severely debilitating</w:t>
      </w:r>
      <w:r>
        <w:t xml:space="preserve"> does not include “pre-existing” (e.g., chronic) diseases or conditions with major morbidity.</w:t>
      </w:r>
    </w:p>
    <w:p w14:paraId="5CFFE2A6" w14:textId="77777777" w:rsidR="00982ABF" w:rsidRPr="00386F9D" w:rsidRDefault="00982ABF" w:rsidP="00A07209">
      <w:pPr>
        <w:pStyle w:val="ListParagraph"/>
        <w:widowControl w:val="0"/>
        <w:numPr>
          <w:ilvl w:val="1"/>
          <w:numId w:val="462"/>
        </w:numPr>
        <w:tabs>
          <w:tab w:val="num" w:pos="1080"/>
          <w:tab w:val="num" w:pos="1440"/>
        </w:tabs>
        <w:autoSpaceDE w:val="0"/>
        <w:autoSpaceDN w:val="0"/>
        <w:adjustRightInd w:val="0"/>
        <w:spacing w:after="60" w:line="240" w:lineRule="auto"/>
        <w:ind w:right="302"/>
      </w:pPr>
      <w:r>
        <w:t>No standard acceptable treatment is available, and the individual for whom the test article is intended does not meet the enrollment criteria for an existing IRB-approved study or an approved study does not exist.</w:t>
      </w:r>
    </w:p>
    <w:p w14:paraId="5FA6E740" w14:textId="77777777" w:rsidR="00982ABF" w:rsidRPr="00386F9D" w:rsidRDefault="00982ABF" w:rsidP="00A07209">
      <w:pPr>
        <w:pStyle w:val="ListParagraph"/>
        <w:widowControl w:val="0"/>
        <w:numPr>
          <w:ilvl w:val="1"/>
          <w:numId w:val="462"/>
        </w:numPr>
        <w:tabs>
          <w:tab w:val="num" w:pos="1080"/>
          <w:tab w:val="num" w:pos="1620"/>
        </w:tabs>
        <w:autoSpaceDE w:val="0"/>
        <w:autoSpaceDN w:val="0"/>
        <w:adjustRightInd w:val="0"/>
        <w:spacing w:after="0" w:line="240" w:lineRule="auto"/>
        <w:ind w:right="302"/>
      </w:pPr>
      <w:r>
        <w:t>There is not sufficient time to obtain IRB approval: an intervention is needed before review at a convened meeting of the IRB is feasible.</w:t>
      </w:r>
    </w:p>
    <w:p w14:paraId="21026023" w14:textId="77777777" w:rsidR="00982ABF" w:rsidRPr="00E16D96" w:rsidRDefault="00982ABF" w:rsidP="00982ABF">
      <w:pPr>
        <w:widowControl w:val="0"/>
        <w:autoSpaceDE w:val="0"/>
        <w:autoSpaceDN w:val="0"/>
        <w:adjustRightInd w:val="0"/>
        <w:ind w:right="302"/>
      </w:pPr>
    </w:p>
    <w:p w14:paraId="732EE90A" w14:textId="77777777" w:rsidR="00982ABF" w:rsidRPr="00E16D96" w:rsidRDefault="00982ABF" w:rsidP="00A07209">
      <w:pPr>
        <w:numPr>
          <w:ilvl w:val="0"/>
          <w:numId w:val="392"/>
        </w:numPr>
        <w:spacing w:after="0" w:line="240" w:lineRule="auto"/>
        <w:rPr>
          <w:b/>
        </w:rPr>
      </w:pPr>
      <w:bookmarkStart w:id="372" w:name="section5"/>
      <w:bookmarkEnd w:id="372"/>
      <w:r>
        <w:rPr>
          <w:b/>
        </w:rPr>
        <w:t>Prior Notification of Emergency Use</w:t>
      </w:r>
    </w:p>
    <w:p w14:paraId="69AF2C07" w14:textId="77777777" w:rsidR="00982ABF" w:rsidRPr="00E16D96" w:rsidRDefault="00982ABF" w:rsidP="00982ABF">
      <w:pPr>
        <w:ind w:left="1224"/>
        <w:rPr>
          <w:b/>
        </w:rPr>
      </w:pPr>
    </w:p>
    <w:p w14:paraId="0038EB14" w14:textId="77777777" w:rsidR="00982ABF" w:rsidRPr="00E16D96" w:rsidRDefault="00982ABF" w:rsidP="00A07209">
      <w:pPr>
        <w:numPr>
          <w:ilvl w:val="0"/>
          <w:numId w:val="386"/>
        </w:numPr>
        <w:spacing w:after="60" w:line="240" w:lineRule="auto"/>
        <w:ind w:left="1080"/>
      </w:pPr>
      <w:r>
        <w:t>The IRB chair (or physician designee) of the appropriate IRB will be notified of an investigator’s intent to use an investigational drug or biologic or unapproved medical device for emergency use. Notification may be made in person, electronically (e.g., by telephone or email), or in writing. Investigators will provide the following information to allow the IRB chair to determine that FDA requirements for emergency use are met:</w:t>
      </w:r>
    </w:p>
    <w:p w14:paraId="229F0C46" w14:textId="77777777" w:rsidR="00982ABF" w:rsidRPr="00E16D96" w:rsidRDefault="00982ABF" w:rsidP="00A07209">
      <w:pPr>
        <w:numPr>
          <w:ilvl w:val="0"/>
          <w:numId w:val="387"/>
        </w:numPr>
        <w:tabs>
          <w:tab w:val="clear" w:pos="1368"/>
          <w:tab w:val="num" w:pos="1440"/>
        </w:tabs>
        <w:spacing w:after="60" w:line="240" w:lineRule="auto"/>
        <w:ind w:left="1800"/>
      </w:pPr>
      <w:r>
        <w:t>Explanation of the life-threatening situation necessitating the emergency use</w:t>
      </w:r>
    </w:p>
    <w:p w14:paraId="4AA6A123" w14:textId="77777777" w:rsidR="00982ABF" w:rsidRPr="00E16D96" w:rsidRDefault="00982ABF" w:rsidP="00A07209">
      <w:pPr>
        <w:numPr>
          <w:ilvl w:val="0"/>
          <w:numId w:val="387"/>
        </w:numPr>
        <w:tabs>
          <w:tab w:val="clear" w:pos="1368"/>
          <w:tab w:val="num" w:pos="1440"/>
        </w:tabs>
        <w:spacing w:after="60" w:line="240" w:lineRule="auto"/>
        <w:ind w:left="1800"/>
      </w:pPr>
      <w:r>
        <w:t>Description of standard treatment(s) previously used and/or why available options are not acceptable</w:t>
      </w:r>
    </w:p>
    <w:p w14:paraId="75809D6B" w14:textId="77777777" w:rsidR="00982ABF" w:rsidRPr="00E16D96" w:rsidRDefault="00982ABF" w:rsidP="00A07209">
      <w:pPr>
        <w:numPr>
          <w:ilvl w:val="0"/>
          <w:numId w:val="387"/>
        </w:numPr>
        <w:tabs>
          <w:tab w:val="clear" w:pos="1368"/>
          <w:tab w:val="num" w:pos="1440"/>
        </w:tabs>
        <w:spacing w:after="60" w:line="240" w:lineRule="auto"/>
        <w:ind w:left="1800"/>
      </w:pPr>
      <w:r>
        <w:t>Investigational drug or biologic or unapproved medical device to be used</w:t>
      </w:r>
    </w:p>
    <w:p w14:paraId="62240CAD" w14:textId="77777777" w:rsidR="00982ABF" w:rsidRDefault="00982ABF" w:rsidP="00A07209">
      <w:pPr>
        <w:numPr>
          <w:ilvl w:val="0"/>
          <w:numId w:val="387"/>
        </w:numPr>
        <w:tabs>
          <w:tab w:val="clear" w:pos="1368"/>
          <w:tab w:val="num" w:pos="1440"/>
        </w:tabs>
        <w:spacing w:after="0" w:line="240" w:lineRule="auto"/>
        <w:ind w:left="1800"/>
      </w:pPr>
      <w:r>
        <w:t xml:space="preserve">If available, IND or IDE number of the drug, biologic, or device </w:t>
      </w:r>
      <w:r>
        <w:br/>
      </w:r>
      <w:r>
        <w:rPr>
          <w:i/>
        </w:rPr>
        <w:t xml:space="preserve">Note: It is important to distinguish between emergency use INDs or IDEs and other types of expanded access that do require prospective IRB review and approval (e.g., single-patient access, humanitarian use devices). </w:t>
      </w:r>
    </w:p>
    <w:p w14:paraId="1C073DF7" w14:textId="77777777" w:rsidR="00386F9D" w:rsidRPr="00386F9D" w:rsidRDefault="00386F9D" w:rsidP="00386F9D">
      <w:pPr>
        <w:spacing w:after="0" w:line="240" w:lineRule="auto"/>
        <w:ind w:left="1440"/>
      </w:pPr>
    </w:p>
    <w:p w14:paraId="5CE0DC89" w14:textId="77777777" w:rsidR="00982ABF" w:rsidRDefault="00982ABF" w:rsidP="00A07209">
      <w:pPr>
        <w:numPr>
          <w:ilvl w:val="0"/>
          <w:numId w:val="386"/>
        </w:numPr>
        <w:spacing w:after="0" w:line="240" w:lineRule="auto"/>
        <w:ind w:left="1080"/>
      </w:pPr>
      <w:r>
        <w:t>An IRB chair’s acknowledgment of the emergency use does not constitute an IRB approval of the clinical investigation. The investigator’s notification is used by the IRB and the Office of Responsible Research Practices (ORRP) to confirm that the proposed use meets FDA requirements.</w:t>
      </w:r>
    </w:p>
    <w:p w14:paraId="39794943" w14:textId="77777777" w:rsidR="00386F9D" w:rsidRPr="00386F9D" w:rsidRDefault="00386F9D" w:rsidP="00386F9D">
      <w:pPr>
        <w:spacing w:after="0" w:line="240" w:lineRule="auto"/>
        <w:ind w:left="720"/>
      </w:pPr>
    </w:p>
    <w:p w14:paraId="7CFC72D7" w14:textId="77777777" w:rsidR="00982ABF" w:rsidRPr="00E16D96" w:rsidRDefault="00982ABF" w:rsidP="00A07209">
      <w:pPr>
        <w:numPr>
          <w:ilvl w:val="0"/>
          <w:numId w:val="386"/>
        </w:numPr>
        <w:spacing w:after="0" w:line="240" w:lineRule="auto"/>
        <w:ind w:left="1080"/>
      </w:pPr>
      <w:r>
        <w:t>Emergency uses of investigational drugs and biologics and unapproved medical devices in The Ohio State University Wexner Medical Center must comply with applicable policies (e.g., The Department of Pharmacy Investigational Drug Service policies and procedures). Investigators will notify the Investigational Drug Service (as applicable) of the intended emergency use of an investigational drug or biologic to arrange for the product’s shipment and proper storage, dispensing, and accountability.</w:t>
      </w:r>
    </w:p>
    <w:p w14:paraId="7BCEAAB2" w14:textId="77777777" w:rsidR="00982ABF" w:rsidRPr="00E16D96" w:rsidRDefault="00982ABF" w:rsidP="00982ABF"/>
    <w:p w14:paraId="427773F6" w14:textId="77777777" w:rsidR="00982ABF" w:rsidRDefault="00982ABF" w:rsidP="00A07209">
      <w:pPr>
        <w:numPr>
          <w:ilvl w:val="0"/>
          <w:numId w:val="392"/>
        </w:numPr>
        <w:spacing w:after="0" w:line="240" w:lineRule="auto"/>
      </w:pPr>
      <w:r>
        <w:rPr>
          <w:b/>
        </w:rPr>
        <w:t>Informed Consent Requirements</w:t>
      </w:r>
    </w:p>
    <w:p w14:paraId="7BA88399" w14:textId="77777777" w:rsidR="00386F9D" w:rsidRPr="00386F9D" w:rsidRDefault="00386F9D" w:rsidP="00386F9D">
      <w:pPr>
        <w:spacing w:after="0" w:line="240" w:lineRule="auto"/>
        <w:ind w:left="1224"/>
      </w:pPr>
    </w:p>
    <w:p w14:paraId="0ACD7F9E" w14:textId="77777777" w:rsidR="00982ABF" w:rsidRPr="00E16D96" w:rsidRDefault="00982ABF" w:rsidP="00982ABF">
      <w:pPr>
        <w:ind w:left="360"/>
      </w:pPr>
      <w:r>
        <w:t>Investigators are required to obtain the informed consent of the subject or the subject's legally authorized representative in an emergency use situation. Consent form templates containing the basic elements of informed consent are available on the ORRP website. Alternatively, the product manufacturer or sponsor may provide a consent form for emergency use. All of the basic elements of informed consent (and any applicable additional elements) are to be provided, unless the situation meets the conditions for exception described below.</w:t>
      </w:r>
    </w:p>
    <w:p w14:paraId="08A58DC5" w14:textId="77777777" w:rsidR="00982ABF" w:rsidRPr="00E16D96" w:rsidRDefault="00982ABF" w:rsidP="00982ABF">
      <w:pPr>
        <w:ind w:left="1224"/>
        <w:rPr>
          <w:b/>
        </w:rPr>
      </w:pPr>
    </w:p>
    <w:p w14:paraId="523C68FA" w14:textId="77777777" w:rsidR="00982ABF" w:rsidRDefault="00982ABF" w:rsidP="00A07209">
      <w:pPr>
        <w:numPr>
          <w:ilvl w:val="0"/>
          <w:numId w:val="392"/>
        </w:numPr>
        <w:spacing w:after="0" w:line="240" w:lineRule="auto"/>
        <w:rPr>
          <w:b/>
        </w:rPr>
      </w:pPr>
      <w:bookmarkStart w:id="373" w:name="section7"/>
      <w:bookmarkEnd w:id="373"/>
      <w:r>
        <w:rPr>
          <w:b/>
        </w:rPr>
        <w:t>Exception to the Requirements for Informed Consent</w:t>
      </w:r>
    </w:p>
    <w:p w14:paraId="72941150" w14:textId="77777777" w:rsidR="00386F9D" w:rsidRPr="00386F9D" w:rsidRDefault="00386F9D" w:rsidP="00386F9D">
      <w:pPr>
        <w:spacing w:after="0" w:line="240" w:lineRule="auto"/>
        <w:ind w:left="1224"/>
        <w:rPr>
          <w:b/>
        </w:rPr>
      </w:pPr>
    </w:p>
    <w:p w14:paraId="356929BE" w14:textId="77777777" w:rsidR="00982ABF" w:rsidRPr="00E16D96" w:rsidRDefault="00982ABF" w:rsidP="00A07209">
      <w:pPr>
        <w:numPr>
          <w:ilvl w:val="0"/>
          <w:numId w:val="383"/>
        </w:numPr>
        <w:spacing w:after="60" w:line="240" w:lineRule="auto"/>
        <w:ind w:left="1080"/>
      </w:pPr>
      <w:r>
        <w:t>When informed consent cannot be obtained, both the investigator and a physician who is not otherwise involved in the emergency use must confirm in writing that all the following conditions apply:</w:t>
      </w:r>
    </w:p>
    <w:p w14:paraId="1E732548" w14:textId="77777777" w:rsidR="00982ABF" w:rsidRPr="00E16D96" w:rsidRDefault="00982ABF" w:rsidP="00A07209">
      <w:pPr>
        <w:numPr>
          <w:ilvl w:val="0"/>
          <w:numId w:val="382"/>
        </w:numPr>
        <w:tabs>
          <w:tab w:val="clear" w:pos="2376"/>
          <w:tab w:val="num" w:pos="1440"/>
        </w:tabs>
        <w:spacing w:after="60" w:line="240" w:lineRule="auto"/>
        <w:ind w:left="1800"/>
      </w:pPr>
      <w:r>
        <w:t>The subject is confronted by a life-threatening situation necessitating the use of the investigational drug or biologic or unapproved medical device.</w:t>
      </w:r>
    </w:p>
    <w:p w14:paraId="426A0B08" w14:textId="77777777" w:rsidR="00982ABF" w:rsidRPr="00E16D96" w:rsidRDefault="00982ABF" w:rsidP="00A07209">
      <w:pPr>
        <w:numPr>
          <w:ilvl w:val="0"/>
          <w:numId w:val="382"/>
        </w:numPr>
        <w:tabs>
          <w:tab w:val="clear" w:pos="2376"/>
          <w:tab w:val="num" w:pos="1440"/>
        </w:tabs>
        <w:spacing w:after="60" w:line="240" w:lineRule="auto"/>
        <w:ind w:left="1800"/>
      </w:pPr>
      <w:r>
        <w:t>Informed consent cannot be obtained because of an inability to communicate with or obtain informed consent from the subject.</w:t>
      </w:r>
    </w:p>
    <w:p w14:paraId="7935FD81" w14:textId="77777777" w:rsidR="00982ABF" w:rsidRPr="00E16D96" w:rsidRDefault="00982ABF" w:rsidP="00A07209">
      <w:pPr>
        <w:numPr>
          <w:ilvl w:val="0"/>
          <w:numId w:val="382"/>
        </w:numPr>
        <w:tabs>
          <w:tab w:val="clear" w:pos="2376"/>
          <w:tab w:val="num" w:pos="1440"/>
        </w:tabs>
        <w:spacing w:after="60" w:line="240" w:lineRule="auto"/>
        <w:ind w:left="1800"/>
      </w:pPr>
      <w:r>
        <w:t>Time is not sufficient to obtain informed consent from the subject’s legally authorized representative.</w:t>
      </w:r>
    </w:p>
    <w:p w14:paraId="274B48A2" w14:textId="77777777" w:rsidR="00982ABF" w:rsidRDefault="00982ABF" w:rsidP="00A07209">
      <w:pPr>
        <w:numPr>
          <w:ilvl w:val="0"/>
          <w:numId w:val="382"/>
        </w:numPr>
        <w:tabs>
          <w:tab w:val="clear" w:pos="2376"/>
          <w:tab w:val="num" w:pos="1440"/>
        </w:tabs>
        <w:spacing w:after="0" w:line="240" w:lineRule="auto"/>
        <w:ind w:left="1800"/>
      </w:pPr>
      <w:r>
        <w:t>No alternative method of approved or “generally recognized therapy” is available that provides an equal or greater likelihood of saving the subject’s life.</w:t>
      </w:r>
    </w:p>
    <w:p w14:paraId="0E2E319E" w14:textId="77777777" w:rsidR="00386F9D" w:rsidRPr="00386F9D" w:rsidRDefault="00386F9D" w:rsidP="00386F9D">
      <w:pPr>
        <w:spacing w:after="0" w:line="240" w:lineRule="auto"/>
        <w:ind w:left="1440"/>
      </w:pPr>
    </w:p>
    <w:p w14:paraId="1D3227CF" w14:textId="77777777" w:rsidR="00982ABF" w:rsidRPr="00E16D96" w:rsidRDefault="00982ABF" w:rsidP="00A07209">
      <w:pPr>
        <w:numPr>
          <w:ilvl w:val="0"/>
          <w:numId w:val="383"/>
        </w:numPr>
        <w:spacing w:after="60" w:line="240" w:lineRule="auto"/>
        <w:ind w:left="1080"/>
      </w:pPr>
      <w:r>
        <w:lastRenderedPageBreak/>
        <w:t xml:space="preserve">If time is not sufficient to obtain an independent physician's determination that the criteria for an exception to the requirements for informed consent (described above) are met, and in the investigator’s opinion the </w:t>
      </w:r>
      <w:r>
        <w:rPr>
          <w:i/>
        </w:rPr>
        <w:t>immediate</w:t>
      </w:r>
      <w:r>
        <w:t xml:space="preserve"> use of the investigational product is required to preserve the subject's life, the investigator must do both of the following:</w:t>
      </w:r>
    </w:p>
    <w:p w14:paraId="282DE686" w14:textId="77777777" w:rsidR="00982ABF" w:rsidRPr="00E16D96" w:rsidRDefault="00982ABF" w:rsidP="00A07209">
      <w:pPr>
        <w:numPr>
          <w:ilvl w:val="0"/>
          <w:numId w:val="388"/>
        </w:numPr>
        <w:spacing w:after="60" w:line="240" w:lineRule="auto"/>
        <w:ind w:left="1800"/>
      </w:pPr>
      <w:r>
        <w:t>Verify in writing that the four conditions for an exception to the requirements for informed consent apply</w:t>
      </w:r>
    </w:p>
    <w:p w14:paraId="03F1709C" w14:textId="77777777" w:rsidR="00982ABF" w:rsidRDefault="00982ABF" w:rsidP="00A07209">
      <w:pPr>
        <w:numPr>
          <w:ilvl w:val="0"/>
          <w:numId w:val="388"/>
        </w:numPr>
        <w:spacing w:after="0" w:line="240" w:lineRule="auto"/>
        <w:ind w:left="1800"/>
      </w:pPr>
      <w:r>
        <w:t>Obtain an independent review and evaluation of the investigator’s determination in writing within five working days by a physician who is not otherwise involved in the emergency use</w:t>
      </w:r>
    </w:p>
    <w:p w14:paraId="6079C08D" w14:textId="77777777" w:rsidR="00386F9D" w:rsidRPr="00386F9D" w:rsidRDefault="00386F9D" w:rsidP="00386F9D">
      <w:pPr>
        <w:spacing w:after="0" w:line="240" w:lineRule="auto"/>
        <w:ind w:left="1368"/>
      </w:pPr>
    </w:p>
    <w:p w14:paraId="39DCBDAF" w14:textId="77777777" w:rsidR="00982ABF" w:rsidRPr="00E16D96" w:rsidRDefault="00982ABF" w:rsidP="00A07209">
      <w:pPr>
        <w:numPr>
          <w:ilvl w:val="0"/>
          <w:numId w:val="383"/>
        </w:numPr>
        <w:spacing w:after="0" w:line="240" w:lineRule="auto"/>
        <w:ind w:left="1080"/>
      </w:pPr>
      <w:r>
        <w:t xml:space="preserve">The IRB must be notified of the exception within five working days after the emergency use, as </w:t>
      </w:r>
      <w:hyperlink w:anchor="section10" w:history="1">
        <w:r>
          <w:rPr>
            <w:rStyle w:val="Hyperlink"/>
          </w:rPr>
          <w:t>described below</w:t>
        </w:r>
      </w:hyperlink>
      <w:r>
        <w:t>.</w:t>
      </w:r>
    </w:p>
    <w:p w14:paraId="6465C1F5" w14:textId="77777777" w:rsidR="00982ABF" w:rsidRPr="00E16D96" w:rsidRDefault="00982ABF" w:rsidP="00982ABF">
      <w:pPr>
        <w:ind w:left="504"/>
        <w:rPr>
          <w:b/>
        </w:rPr>
      </w:pPr>
    </w:p>
    <w:p w14:paraId="2ECEB69C" w14:textId="77777777" w:rsidR="00982ABF" w:rsidRDefault="00982ABF" w:rsidP="00A07209">
      <w:pPr>
        <w:numPr>
          <w:ilvl w:val="0"/>
          <w:numId w:val="392"/>
        </w:numPr>
        <w:spacing w:after="0" w:line="240" w:lineRule="auto"/>
        <w:rPr>
          <w:b/>
        </w:rPr>
      </w:pPr>
      <w:r>
        <w:rPr>
          <w:b/>
        </w:rPr>
        <w:t>IND Requirements for Emergency Uses of Drugs and Biologics</w:t>
      </w:r>
    </w:p>
    <w:p w14:paraId="4B405A02" w14:textId="77777777" w:rsidR="00386F9D" w:rsidRPr="00386F9D" w:rsidRDefault="00386F9D" w:rsidP="00386F9D">
      <w:pPr>
        <w:spacing w:after="0" w:line="240" w:lineRule="auto"/>
        <w:ind w:left="1224"/>
        <w:rPr>
          <w:b/>
        </w:rPr>
      </w:pPr>
    </w:p>
    <w:p w14:paraId="7EC9E8AC" w14:textId="77777777" w:rsidR="00982ABF" w:rsidRDefault="00982ABF" w:rsidP="00A07209">
      <w:pPr>
        <w:numPr>
          <w:ilvl w:val="0"/>
          <w:numId w:val="389"/>
        </w:numPr>
        <w:spacing w:after="0" w:line="240" w:lineRule="auto"/>
        <w:ind w:left="1080"/>
      </w:pPr>
      <w:r>
        <w:t>The emergency use of an investigational drug or biologic requires an IND. To obtain an emergency use IND, an investigator should contact the product manufacturer or sponsor to determine if the investigational drug or biologic can be made available for the emergency use under the company’s IND.</w:t>
      </w:r>
    </w:p>
    <w:p w14:paraId="22F0088B" w14:textId="77777777" w:rsidR="00386F9D" w:rsidRPr="00386F9D" w:rsidRDefault="00386F9D" w:rsidP="00386F9D">
      <w:pPr>
        <w:spacing w:after="0" w:line="240" w:lineRule="auto"/>
        <w:ind w:left="720"/>
      </w:pPr>
    </w:p>
    <w:p w14:paraId="6D849249" w14:textId="77777777" w:rsidR="00982ABF" w:rsidRPr="00386F9D" w:rsidRDefault="00982ABF" w:rsidP="00A07209">
      <w:pPr>
        <w:numPr>
          <w:ilvl w:val="0"/>
          <w:numId w:val="389"/>
        </w:numPr>
        <w:spacing w:after="0" w:line="240" w:lineRule="auto"/>
        <w:ind w:left="1080"/>
      </w:pPr>
      <w:r>
        <w:t>Alternatively, if the manufacturer/sponsor will not provide the investigational product under its IND, an investigator may contact FDA directly to obtain authorization for the company to ship the drug or biologic for the specific emergency situation in advance of an IND submission. For more information, see “</w:t>
      </w:r>
      <w:hyperlink r:id="rId399" w:history="1">
        <w:r>
          <w:rPr>
            <w:rStyle w:val="Hyperlink"/>
            <w:bCs/>
          </w:rPr>
          <w:t>FDA Contacts for Obtaining an Emergency IND</w:t>
        </w:r>
      </w:hyperlink>
      <w:r>
        <w:rPr>
          <w:bCs/>
        </w:rPr>
        <w:t>.</w:t>
      </w:r>
    </w:p>
    <w:p w14:paraId="11ECF9E7" w14:textId="77777777" w:rsidR="00386F9D" w:rsidRPr="00386F9D" w:rsidRDefault="00386F9D" w:rsidP="00386F9D">
      <w:pPr>
        <w:spacing w:after="0" w:line="240" w:lineRule="auto"/>
      </w:pPr>
    </w:p>
    <w:p w14:paraId="4B3BBE4D" w14:textId="77777777" w:rsidR="00982ABF" w:rsidRPr="00E16D96" w:rsidRDefault="00982ABF" w:rsidP="00A07209">
      <w:pPr>
        <w:numPr>
          <w:ilvl w:val="0"/>
          <w:numId w:val="389"/>
        </w:numPr>
        <w:spacing w:after="0" w:line="240" w:lineRule="auto"/>
        <w:ind w:left="1080"/>
      </w:pPr>
      <w:r>
        <w:t>Some manufacturers or sponsors will agree to the emergency use of an investigational drug or biologic but require an “IRB approval letter" before shipping the product. When necessary, following the IRB chair’s review of the emergency use as described above (“</w:t>
      </w:r>
      <w:hyperlink w:anchor="section5" w:history="1">
        <w:r>
          <w:rPr>
            <w:rStyle w:val="Hyperlink"/>
          </w:rPr>
          <w:t>Prior Notification of Emergency Use</w:t>
        </w:r>
      </w:hyperlink>
      <w:r>
        <w:t>”) ORRP staff will provide the investigator with documentation acknowledging that the IRB is aware of the intended emergency use and considers the use to meet FDA requirements.</w:t>
      </w:r>
    </w:p>
    <w:p w14:paraId="4E007054" w14:textId="77777777" w:rsidR="00982ABF" w:rsidRPr="00E16D96" w:rsidRDefault="00982ABF" w:rsidP="00982ABF">
      <w:pPr>
        <w:rPr>
          <w:rStyle w:val="Strong"/>
          <w:b w:val="0"/>
          <w:bCs/>
          <w:color w:val="000000"/>
        </w:rPr>
      </w:pPr>
    </w:p>
    <w:p w14:paraId="01E236FD" w14:textId="77777777" w:rsidR="00982ABF" w:rsidRDefault="00982ABF" w:rsidP="00A07209">
      <w:pPr>
        <w:numPr>
          <w:ilvl w:val="0"/>
          <w:numId w:val="392"/>
        </w:numPr>
        <w:spacing w:after="0" w:line="240" w:lineRule="auto"/>
        <w:ind w:left="360" w:hanging="360"/>
        <w:rPr>
          <w:b/>
        </w:rPr>
      </w:pPr>
      <w:r>
        <w:rPr>
          <w:b/>
        </w:rPr>
        <w:t>Additional Requirements for Emergency Uses of Unapproved Medical Devices</w:t>
      </w:r>
    </w:p>
    <w:p w14:paraId="5E642DAC" w14:textId="77777777" w:rsidR="00386F9D" w:rsidRPr="00386F9D" w:rsidRDefault="00386F9D" w:rsidP="00386F9D">
      <w:pPr>
        <w:spacing w:after="0" w:line="240" w:lineRule="auto"/>
        <w:ind w:left="360"/>
        <w:rPr>
          <w:b/>
        </w:rPr>
      </w:pPr>
    </w:p>
    <w:p w14:paraId="44390E4E" w14:textId="77777777" w:rsidR="00982ABF" w:rsidRDefault="00982ABF" w:rsidP="00A07209">
      <w:pPr>
        <w:widowControl w:val="0"/>
        <w:numPr>
          <w:ilvl w:val="0"/>
          <w:numId w:val="390"/>
        </w:numPr>
        <w:autoSpaceDE w:val="0"/>
        <w:autoSpaceDN w:val="0"/>
        <w:adjustRightInd w:val="0"/>
        <w:spacing w:after="0" w:line="240" w:lineRule="auto"/>
        <w:ind w:left="1080"/>
      </w:pPr>
      <w:r>
        <w:t>FDA approval prior to emergency use or shipment of an unapproved medical device is not required. The emergency use may involve a device that does not have an existing IDE, a device used in a way that is not approved under an existing IDE, or a physician who is not named as an investigator on the IDE. Whenever possible, authorization should be obtained from the sponsor (if an IDE exists for the device) before the emergency use.</w:t>
      </w:r>
    </w:p>
    <w:p w14:paraId="5BE6A99D" w14:textId="77777777" w:rsidR="00386F9D" w:rsidRPr="00386F9D" w:rsidRDefault="00386F9D" w:rsidP="00386F9D">
      <w:pPr>
        <w:widowControl w:val="0"/>
        <w:autoSpaceDE w:val="0"/>
        <w:autoSpaceDN w:val="0"/>
        <w:adjustRightInd w:val="0"/>
        <w:spacing w:after="0" w:line="240" w:lineRule="auto"/>
        <w:ind w:left="720"/>
      </w:pPr>
    </w:p>
    <w:p w14:paraId="3B05DFBA" w14:textId="77777777" w:rsidR="00982ABF" w:rsidRDefault="00982ABF" w:rsidP="00A07209">
      <w:pPr>
        <w:widowControl w:val="0"/>
        <w:numPr>
          <w:ilvl w:val="0"/>
          <w:numId w:val="390"/>
        </w:numPr>
        <w:autoSpaceDE w:val="0"/>
        <w:autoSpaceDN w:val="0"/>
        <w:adjustRightInd w:val="0"/>
        <w:spacing w:after="0" w:line="240" w:lineRule="auto"/>
        <w:ind w:left="1080"/>
      </w:pPr>
      <w:r>
        <w:rPr>
          <w:color w:val="000000"/>
        </w:rPr>
        <w:t>In addition to determining that the criteria for emergency use are met, investigators are required by FDA to assess the potential for benefit from the use of an unapproved device and to have “substantial reason” to believe that benefits will occur. Whenever possible, an independent assessment of the circumstances prior to the emergency use should also be obtained from a physician who is not otherwise involved in the emergency use.</w:t>
      </w:r>
    </w:p>
    <w:p w14:paraId="6B64A76D" w14:textId="77777777" w:rsidR="00386F9D" w:rsidRPr="00386F9D" w:rsidRDefault="00386F9D" w:rsidP="00386F9D">
      <w:pPr>
        <w:widowControl w:val="0"/>
        <w:autoSpaceDE w:val="0"/>
        <w:autoSpaceDN w:val="0"/>
        <w:adjustRightInd w:val="0"/>
        <w:spacing w:after="0" w:line="240" w:lineRule="auto"/>
      </w:pPr>
    </w:p>
    <w:p w14:paraId="0F77FE08" w14:textId="77777777" w:rsidR="00982ABF" w:rsidRPr="00E16D96" w:rsidRDefault="00982ABF" w:rsidP="00A07209">
      <w:pPr>
        <w:widowControl w:val="0"/>
        <w:numPr>
          <w:ilvl w:val="0"/>
          <w:numId w:val="390"/>
        </w:numPr>
        <w:autoSpaceDE w:val="0"/>
        <w:autoSpaceDN w:val="0"/>
        <w:adjustRightInd w:val="0"/>
        <w:spacing w:after="0" w:line="240" w:lineRule="auto"/>
        <w:ind w:left="1080"/>
      </w:pPr>
      <w:r>
        <w:t>If the device has an existing IDE and the investigator could not obtain authorization from the sponsor prior to the emergency use, the investigator is responsible for reporting to the sponsor within five working days. The emergency use of an unapproved device must be reported to FDA by the sponsor (if an IDE exists for the device) within five working days of the time the sponsor learns of the use. If no IDE exists, the investigator is responsible for reporting the emergency use directly to FDA. The investigator’s follow-up report should contain the information described below.</w:t>
      </w:r>
    </w:p>
    <w:p w14:paraId="09592F15" w14:textId="77777777" w:rsidR="00982ABF" w:rsidRPr="00E16D96" w:rsidRDefault="00982ABF" w:rsidP="00982ABF">
      <w:pPr>
        <w:widowControl w:val="0"/>
        <w:autoSpaceDE w:val="0"/>
        <w:autoSpaceDN w:val="0"/>
        <w:adjustRightInd w:val="0"/>
      </w:pPr>
    </w:p>
    <w:p w14:paraId="3D6FF89E" w14:textId="77777777" w:rsidR="00982ABF" w:rsidRDefault="00982ABF" w:rsidP="00A07209">
      <w:pPr>
        <w:numPr>
          <w:ilvl w:val="0"/>
          <w:numId w:val="392"/>
        </w:numPr>
        <w:spacing w:after="0" w:line="240" w:lineRule="auto"/>
        <w:ind w:left="360" w:hanging="540"/>
        <w:rPr>
          <w:b/>
        </w:rPr>
      </w:pPr>
      <w:r>
        <w:rPr>
          <w:b/>
        </w:rPr>
        <w:t>Reporting Requirements</w:t>
      </w:r>
    </w:p>
    <w:p w14:paraId="0BA1A3E3" w14:textId="77777777" w:rsidR="00386F9D" w:rsidRPr="00386F9D" w:rsidRDefault="00386F9D" w:rsidP="00386F9D">
      <w:pPr>
        <w:spacing w:after="0" w:line="240" w:lineRule="auto"/>
        <w:ind w:left="360"/>
        <w:rPr>
          <w:b/>
        </w:rPr>
      </w:pPr>
    </w:p>
    <w:p w14:paraId="5318F0D0" w14:textId="77777777" w:rsidR="00982ABF" w:rsidRPr="00E16D96" w:rsidRDefault="00982ABF" w:rsidP="00A07209">
      <w:pPr>
        <w:numPr>
          <w:ilvl w:val="0"/>
          <w:numId w:val="384"/>
        </w:numPr>
        <w:spacing w:after="60" w:line="240" w:lineRule="auto"/>
        <w:ind w:left="1080"/>
      </w:pPr>
      <w:r>
        <w:t>Investigators are responsible for notifying the IRB in writing before or within five working days after the emergency use of an investigational drug or biologic or unapproved medical device. Investigators should provide the Office of Responsible Research Practices the following information:</w:t>
      </w:r>
    </w:p>
    <w:p w14:paraId="7EDB41FC" w14:textId="77777777" w:rsidR="00982ABF" w:rsidRPr="00E16D96" w:rsidRDefault="00982ABF" w:rsidP="00A07209">
      <w:pPr>
        <w:numPr>
          <w:ilvl w:val="0"/>
          <w:numId w:val="387"/>
        </w:numPr>
        <w:tabs>
          <w:tab w:val="clear" w:pos="1368"/>
          <w:tab w:val="num" w:pos="1440"/>
        </w:tabs>
        <w:spacing w:after="60" w:line="240" w:lineRule="auto"/>
        <w:ind w:left="1800"/>
      </w:pPr>
      <w:r>
        <w:t>Investigational drug or biologic or unapproved medical device used</w:t>
      </w:r>
    </w:p>
    <w:p w14:paraId="3C7F6C5D" w14:textId="77777777" w:rsidR="00982ABF" w:rsidRPr="00E16D96" w:rsidRDefault="00982ABF" w:rsidP="00A07209">
      <w:pPr>
        <w:numPr>
          <w:ilvl w:val="0"/>
          <w:numId w:val="385"/>
        </w:numPr>
        <w:tabs>
          <w:tab w:val="clear" w:pos="3168"/>
          <w:tab w:val="num" w:pos="1440"/>
        </w:tabs>
        <w:spacing w:after="60" w:line="240" w:lineRule="auto"/>
        <w:ind w:left="1800"/>
      </w:pPr>
      <w:r>
        <w:t>IND number of the drug or biologic or IDE number (if one exists) of the device</w:t>
      </w:r>
    </w:p>
    <w:p w14:paraId="7F6D0386" w14:textId="77777777" w:rsidR="00982ABF" w:rsidRPr="00E16D96" w:rsidRDefault="00982ABF" w:rsidP="00A07209">
      <w:pPr>
        <w:numPr>
          <w:ilvl w:val="0"/>
          <w:numId w:val="385"/>
        </w:numPr>
        <w:tabs>
          <w:tab w:val="clear" w:pos="3168"/>
          <w:tab w:val="num" w:pos="1440"/>
        </w:tabs>
        <w:spacing w:after="60" w:line="240" w:lineRule="auto"/>
        <w:ind w:left="1800"/>
      </w:pPr>
      <w:r>
        <w:t>Date(s) of administration of the investigational product</w:t>
      </w:r>
    </w:p>
    <w:p w14:paraId="142D206C" w14:textId="77777777" w:rsidR="00982ABF" w:rsidRPr="00E16D96" w:rsidRDefault="00982ABF" w:rsidP="00A07209">
      <w:pPr>
        <w:numPr>
          <w:ilvl w:val="0"/>
          <w:numId w:val="387"/>
        </w:numPr>
        <w:tabs>
          <w:tab w:val="clear" w:pos="1368"/>
          <w:tab w:val="num" w:pos="1440"/>
        </w:tabs>
        <w:spacing w:after="60" w:line="240" w:lineRule="auto"/>
        <w:ind w:left="1800"/>
      </w:pPr>
      <w:r>
        <w:t>Explanation of the life-threatening situation necessitating the emergency use</w:t>
      </w:r>
    </w:p>
    <w:p w14:paraId="224182B6" w14:textId="77777777" w:rsidR="00982ABF" w:rsidRPr="00E16D96" w:rsidRDefault="00982ABF" w:rsidP="00A07209">
      <w:pPr>
        <w:numPr>
          <w:ilvl w:val="0"/>
          <w:numId w:val="385"/>
        </w:numPr>
        <w:tabs>
          <w:tab w:val="clear" w:pos="3168"/>
          <w:tab w:val="num" w:pos="1440"/>
        </w:tabs>
        <w:spacing w:after="60" w:line="240" w:lineRule="auto"/>
        <w:ind w:left="1800"/>
      </w:pPr>
      <w:r>
        <w:t>Demographic information of the subject (e.g., age, gender), without personally identifiable information</w:t>
      </w:r>
    </w:p>
    <w:p w14:paraId="464051CA" w14:textId="77777777" w:rsidR="00982ABF" w:rsidRPr="00E16D96" w:rsidRDefault="00982ABF" w:rsidP="00A07209">
      <w:pPr>
        <w:numPr>
          <w:ilvl w:val="0"/>
          <w:numId w:val="385"/>
        </w:numPr>
        <w:tabs>
          <w:tab w:val="clear" w:pos="3168"/>
          <w:tab w:val="num" w:pos="1440"/>
        </w:tabs>
        <w:spacing w:after="60" w:line="240" w:lineRule="auto"/>
        <w:ind w:left="1800"/>
      </w:pPr>
      <w:r>
        <w:t>An unsigned copy of the consent form that was used</w:t>
      </w:r>
    </w:p>
    <w:p w14:paraId="2C8E8BC6" w14:textId="77777777" w:rsidR="00982ABF" w:rsidRPr="00E16D96" w:rsidRDefault="00982ABF" w:rsidP="00A07209">
      <w:pPr>
        <w:numPr>
          <w:ilvl w:val="0"/>
          <w:numId w:val="385"/>
        </w:numPr>
        <w:tabs>
          <w:tab w:val="clear" w:pos="3168"/>
          <w:tab w:val="num" w:pos="2160"/>
        </w:tabs>
        <w:spacing w:after="60" w:line="240" w:lineRule="auto"/>
        <w:ind w:left="2160"/>
      </w:pPr>
      <w:r>
        <w:t>Alternatively, if consent was not obtained, either of the following as described above (“</w:t>
      </w:r>
      <w:hyperlink w:anchor="section7" w:history="1">
        <w:r>
          <w:rPr>
            <w:rStyle w:val="Hyperlink"/>
          </w:rPr>
          <w:t>Exception to the Requirements for Informed Consent</w:t>
        </w:r>
      </w:hyperlink>
      <w:r>
        <w:t>”):</w:t>
      </w:r>
    </w:p>
    <w:p w14:paraId="7394F927" w14:textId="77777777" w:rsidR="00982ABF" w:rsidRPr="00E16D96" w:rsidRDefault="00982ABF" w:rsidP="00A07209">
      <w:pPr>
        <w:numPr>
          <w:ilvl w:val="0"/>
          <w:numId w:val="385"/>
        </w:numPr>
        <w:tabs>
          <w:tab w:val="clear" w:pos="3168"/>
          <w:tab w:val="num" w:pos="2880"/>
        </w:tabs>
        <w:spacing w:after="60" w:line="240" w:lineRule="auto"/>
        <w:ind w:left="2880"/>
      </w:pPr>
      <w:r>
        <w:t xml:space="preserve">The investigator and independent physician’s verification prior to the emergency use that the conditions were met for the exception to the requirements for informed consent </w:t>
      </w:r>
    </w:p>
    <w:p w14:paraId="35273F49" w14:textId="77777777" w:rsidR="00982ABF" w:rsidRDefault="00982ABF" w:rsidP="00A07209">
      <w:pPr>
        <w:numPr>
          <w:ilvl w:val="0"/>
          <w:numId w:val="385"/>
        </w:numPr>
        <w:tabs>
          <w:tab w:val="clear" w:pos="3168"/>
          <w:tab w:val="num" w:pos="2880"/>
        </w:tabs>
        <w:spacing w:after="60" w:line="240" w:lineRule="auto"/>
        <w:ind w:left="2880"/>
      </w:pPr>
      <w:r>
        <w:t>The investigator’s verification that the conditions for exception were met and independent physician’s review and evaluation (within 5 working days of the emergency use) of the investigator’s determination</w:t>
      </w:r>
    </w:p>
    <w:p w14:paraId="3DB39F92" w14:textId="77777777" w:rsidR="00386F9D" w:rsidRDefault="00982ABF" w:rsidP="00A07209">
      <w:pPr>
        <w:numPr>
          <w:ilvl w:val="0"/>
          <w:numId w:val="385"/>
        </w:numPr>
        <w:tabs>
          <w:tab w:val="clear" w:pos="3168"/>
          <w:tab w:val="num" w:pos="1440"/>
        </w:tabs>
        <w:spacing w:after="60" w:line="240" w:lineRule="auto"/>
        <w:ind w:left="1800"/>
      </w:pPr>
      <w:r>
        <w:t>Outcome(s) of the emergency use (may be provided after prospective acknowledgement has occurred)</w:t>
      </w:r>
    </w:p>
    <w:p w14:paraId="2EFD8BE4" w14:textId="77777777" w:rsidR="006B4A8C" w:rsidRPr="006B4A8C" w:rsidRDefault="006B4A8C" w:rsidP="006B4A8C">
      <w:pPr>
        <w:spacing w:after="60" w:line="240" w:lineRule="auto"/>
        <w:ind w:left="1800"/>
      </w:pPr>
    </w:p>
    <w:p w14:paraId="4FEC7A3A" w14:textId="77777777" w:rsidR="00982ABF" w:rsidRPr="00E16D96" w:rsidRDefault="00982ABF" w:rsidP="00A07209">
      <w:pPr>
        <w:numPr>
          <w:ilvl w:val="0"/>
          <w:numId w:val="384"/>
        </w:numPr>
        <w:spacing w:after="60" w:line="240" w:lineRule="auto"/>
        <w:ind w:left="1080"/>
      </w:pPr>
      <w:r>
        <w:t>Investigators are also responsible for reporting the circumstances of the emergency use to the product manufacturer or sponsor of the investigational drug or biologic or unapproved medical device when the emergency use was performed under the manufacturer’s/sponsor’s IND or IDE. Otherwise, the emergency use is reported directly to FDA. The follow-up report should contain the following information:</w:t>
      </w:r>
    </w:p>
    <w:p w14:paraId="3E19D917" w14:textId="77777777" w:rsidR="00982ABF" w:rsidRPr="00E16D96" w:rsidRDefault="00982ABF" w:rsidP="00A07209">
      <w:pPr>
        <w:numPr>
          <w:ilvl w:val="0"/>
          <w:numId w:val="391"/>
        </w:numPr>
        <w:tabs>
          <w:tab w:val="num" w:pos="1440"/>
        </w:tabs>
        <w:spacing w:after="60" w:line="240" w:lineRule="auto"/>
        <w:ind w:left="1800"/>
        <w:rPr>
          <w:b/>
        </w:rPr>
      </w:pPr>
      <w:r>
        <w:t>Summary of the conditions constituting the emergency</w:t>
      </w:r>
    </w:p>
    <w:p w14:paraId="00AA0EEB" w14:textId="77777777" w:rsidR="00982ABF" w:rsidRPr="00E16D96" w:rsidRDefault="00982ABF" w:rsidP="00A07209">
      <w:pPr>
        <w:numPr>
          <w:ilvl w:val="0"/>
          <w:numId w:val="391"/>
        </w:numPr>
        <w:tabs>
          <w:tab w:val="num" w:pos="1440"/>
        </w:tabs>
        <w:spacing w:after="60" w:line="240" w:lineRule="auto"/>
        <w:ind w:left="1800"/>
        <w:rPr>
          <w:b/>
        </w:rPr>
      </w:pPr>
      <w:r>
        <w:t>Acknowledgment by the IRB chair of notification of the emergency use (either prior to or within five days of administration, as described above)</w:t>
      </w:r>
    </w:p>
    <w:p w14:paraId="170AEC65" w14:textId="77777777" w:rsidR="00982ABF" w:rsidRPr="00E16D96" w:rsidRDefault="00982ABF" w:rsidP="00A07209">
      <w:pPr>
        <w:numPr>
          <w:ilvl w:val="0"/>
          <w:numId w:val="391"/>
        </w:numPr>
        <w:tabs>
          <w:tab w:val="num" w:pos="1440"/>
        </w:tabs>
        <w:spacing w:after="60" w:line="240" w:lineRule="auto"/>
        <w:ind w:left="1800"/>
        <w:rPr>
          <w:b/>
        </w:rPr>
      </w:pPr>
      <w:r>
        <w:t>Whether informed consent was obtained, or the conditions were met for the exception to the requirements for informed consent</w:t>
      </w:r>
    </w:p>
    <w:p w14:paraId="191B99D0" w14:textId="77777777" w:rsidR="00982ABF" w:rsidRPr="00E16D96" w:rsidRDefault="00982ABF" w:rsidP="00A07209">
      <w:pPr>
        <w:numPr>
          <w:ilvl w:val="0"/>
          <w:numId w:val="391"/>
        </w:numPr>
        <w:tabs>
          <w:tab w:val="num" w:pos="1440"/>
        </w:tabs>
        <w:spacing w:after="60" w:line="240" w:lineRule="auto"/>
        <w:ind w:left="1800"/>
        <w:rPr>
          <w:b/>
        </w:rPr>
      </w:pPr>
      <w:r>
        <w:t>Independent assessment by a physician not otherwise involved in the emergency use (when applicable)</w:t>
      </w:r>
    </w:p>
    <w:p w14:paraId="52E88B9A" w14:textId="77777777" w:rsidR="00982ABF" w:rsidRPr="00E16D96" w:rsidRDefault="00982ABF" w:rsidP="00A07209">
      <w:pPr>
        <w:numPr>
          <w:ilvl w:val="0"/>
          <w:numId w:val="391"/>
        </w:numPr>
        <w:tabs>
          <w:tab w:val="num" w:pos="1440"/>
        </w:tabs>
        <w:spacing w:after="60" w:line="240" w:lineRule="auto"/>
        <w:ind w:left="1800"/>
        <w:rPr>
          <w:b/>
        </w:rPr>
      </w:pPr>
      <w:r>
        <w:t>Outcome(s) of the emergency use</w:t>
      </w:r>
    </w:p>
    <w:p w14:paraId="3E407CA2" w14:textId="77777777" w:rsidR="00982ABF" w:rsidRDefault="00982ABF" w:rsidP="00A07209">
      <w:pPr>
        <w:numPr>
          <w:ilvl w:val="0"/>
          <w:numId w:val="391"/>
        </w:numPr>
        <w:tabs>
          <w:tab w:val="num" w:pos="1440"/>
        </w:tabs>
        <w:spacing w:after="0" w:line="240" w:lineRule="auto"/>
        <w:ind w:left="1800"/>
        <w:rPr>
          <w:b/>
        </w:rPr>
      </w:pPr>
      <w:r>
        <w:t>Other information as required by the product manufacturer or sponsor</w:t>
      </w:r>
    </w:p>
    <w:p w14:paraId="4AFA2160" w14:textId="77777777" w:rsidR="00386F9D" w:rsidRPr="00386F9D" w:rsidRDefault="00386F9D" w:rsidP="006B4A8C">
      <w:pPr>
        <w:spacing w:after="0" w:line="240" w:lineRule="auto"/>
        <w:ind w:left="1440"/>
        <w:rPr>
          <w:b/>
        </w:rPr>
      </w:pPr>
    </w:p>
    <w:p w14:paraId="78DF477F" w14:textId="77777777" w:rsidR="00982ABF" w:rsidRDefault="00982ABF" w:rsidP="00A07209">
      <w:pPr>
        <w:numPr>
          <w:ilvl w:val="0"/>
          <w:numId w:val="384"/>
        </w:numPr>
        <w:spacing w:after="0" w:line="240" w:lineRule="auto"/>
        <w:ind w:left="1080"/>
      </w:pPr>
      <w:r>
        <w:t>Investigators and IRBs are responsible for reporting and review of any adverse events, unanticipated problems involving risks to subjects or others, or other events associated with the emergency use, as described by HRPP policies [</w:t>
      </w:r>
      <w:hyperlink r:id="rId400" w:history="1">
        <w:r>
          <w:rPr>
            <w:rStyle w:val="Hyperlink"/>
            <w:bCs/>
          </w:rPr>
          <w:t>Event Reporting – Unanticipated Problems Involving Risks to</w:t>
        </w:r>
        <w:r>
          <w:rPr>
            <w:rStyle w:val="Hyperlink"/>
          </w:rPr>
          <w:t xml:space="preserve"> </w:t>
        </w:r>
        <w:r>
          <w:rPr>
            <w:rStyle w:val="Hyperlink"/>
            <w:bCs/>
          </w:rPr>
          <w:t>Subjects or Others, Adverse Events, and Other Problems</w:t>
        </w:r>
      </w:hyperlink>
      <w:r>
        <w:rPr>
          <w:bCs/>
        </w:rPr>
        <w:t>] and [</w:t>
      </w:r>
      <w:hyperlink r:id="rId401" w:history="1">
        <w:r>
          <w:rPr>
            <w:rStyle w:val="Hyperlink"/>
            <w:bCs/>
          </w:rPr>
          <w:t>IRB Reporting – Unanticipated Problems, Noncompliance,</w:t>
        </w:r>
        <w:r>
          <w:rPr>
            <w:rStyle w:val="Hyperlink"/>
          </w:rPr>
          <w:t xml:space="preserve"> </w:t>
        </w:r>
        <w:r>
          <w:rPr>
            <w:rStyle w:val="Hyperlink"/>
            <w:bCs/>
          </w:rPr>
          <w:t>Suspensions, and Terminations</w:t>
        </w:r>
      </w:hyperlink>
      <w:r>
        <w:rPr>
          <w:bCs/>
        </w:rPr>
        <w:t>].</w:t>
      </w:r>
    </w:p>
    <w:p w14:paraId="28C6DB5C" w14:textId="77777777" w:rsidR="00386F9D" w:rsidRPr="00386F9D" w:rsidRDefault="00386F9D" w:rsidP="00386F9D">
      <w:pPr>
        <w:spacing w:after="0" w:line="240" w:lineRule="auto"/>
        <w:ind w:left="720"/>
      </w:pPr>
    </w:p>
    <w:p w14:paraId="6FDA1496" w14:textId="77777777" w:rsidR="00982ABF" w:rsidRPr="006B4A8C" w:rsidRDefault="00982ABF" w:rsidP="00A07209">
      <w:pPr>
        <w:numPr>
          <w:ilvl w:val="0"/>
          <w:numId w:val="384"/>
        </w:numPr>
        <w:spacing w:after="0" w:line="240" w:lineRule="auto"/>
        <w:ind w:left="1080"/>
      </w:pPr>
      <w:r>
        <w:t xml:space="preserve">Investigators who obtain an IND or IDE for the emergency use or subsequent use of the investigational drug or biologic or unapproved medical device are responsible for complying with FDA requirements for the use </w:t>
      </w:r>
      <w:r>
        <w:lastRenderedPageBreak/>
        <w:t xml:space="preserve">of investigational drugs and devices, including providing progress and/or final reports. For more information, see FDA regulations at </w:t>
      </w:r>
      <w:hyperlink r:id="rId402" w:history="1">
        <w:r>
          <w:rPr>
            <w:rStyle w:val="Hyperlink"/>
          </w:rPr>
          <w:t>Investigational New Drug Application: 21 CFR Part 312</w:t>
        </w:r>
      </w:hyperlink>
      <w:r>
        <w:t xml:space="preserve"> and </w:t>
      </w:r>
      <w:hyperlink r:id="rId403" w:history="1">
        <w:r>
          <w:rPr>
            <w:rStyle w:val="Hyperlink"/>
          </w:rPr>
          <w:t>Investigational Device Exemptions: 21 CFR Part 812</w:t>
        </w:r>
      </w:hyperlink>
      <w:r>
        <w:t>.</w:t>
      </w:r>
    </w:p>
    <w:p w14:paraId="1C54B93A" w14:textId="77777777" w:rsidR="00982ABF" w:rsidRPr="00E16D96" w:rsidRDefault="00982ABF" w:rsidP="00982ABF"/>
    <w:p w14:paraId="7952ADEC" w14:textId="77777777" w:rsidR="00982ABF" w:rsidRDefault="00982ABF" w:rsidP="00A07209">
      <w:pPr>
        <w:numPr>
          <w:ilvl w:val="0"/>
          <w:numId w:val="392"/>
        </w:numPr>
        <w:spacing w:after="0" w:line="240" w:lineRule="auto"/>
        <w:ind w:left="360" w:hanging="540"/>
        <w:rPr>
          <w:b/>
        </w:rPr>
      </w:pPr>
      <w:r>
        <w:rPr>
          <w:b/>
        </w:rPr>
        <w:t>Limitations of Emergency Use</w:t>
      </w:r>
    </w:p>
    <w:p w14:paraId="73E73E5A" w14:textId="77777777" w:rsidR="006B4A8C" w:rsidRPr="006B4A8C" w:rsidRDefault="006B4A8C" w:rsidP="006B4A8C">
      <w:pPr>
        <w:spacing w:after="0" w:line="240" w:lineRule="auto"/>
        <w:ind w:left="360"/>
        <w:rPr>
          <w:b/>
        </w:rPr>
      </w:pPr>
    </w:p>
    <w:p w14:paraId="094FFA36" w14:textId="77777777" w:rsidR="00982ABF" w:rsidRDefault="00982ABF" w:rsidP="00A07209">
      <w:pPr>
        <w:numPr>
          <w:ilvl w:val="0"/>
          <w:numId w:val="381"/>
        </w:numPr>
        <w:tabs>
          <w:tab w:val="left" w:pos="720"/>
        </w:tabs>
        <w:spacing w:after="0" w:line="240" w:lineRule="auto"/>
        <w:ind w:left="1080"/>
      </w:pPr>
      <w:r>
        <w:t xml:space="preserve">The emergency use exemption allows for a single use or single “course of treatment” (e.g., multiple doses of an antibiotic) of an investigational drug or biologic or unapproved medical device without prior IRB review. FDA regulations require that any subsequent use of the investigational product at the same institution receive IRB review and approval before the product is used again. </w:t>
      </w:r>
    </w:p>
    <w:p w14:paraId="5C3E924D" w14:textId="77777777" w:rsidR="006B4A8C" w:rsidRPr="006B4A8C" w:rsidRDefault="006B4A8C" w:rsidP="006B4A8C">
      <w:pPr>
        <w:tabs>
          <w:tab w:val="left" w:pos="720"/>
        </w:tabs>
        <w:spacing w:after="0" w:line="240" w:lineRule="auto"/>
        <w:ind w:left="720"/>
      </w:pPr>
    </w:p>
    <w:p w14:paraId="677F8603" w14:textId="77777777" w:rsidR="00982ABF" w:rsidRDefault="00982ABF" w:rsidP="00A07209">
      <w:pPr>
        <w:numPr>
          <w:ilvl w:val="0"/>
          <w:numId w:val="381"/>
        </w:numPr>
        <w:tabs>
          <w:tab w:val="left" w:pos="720"/>
        </w:tabs>
        <w:spacing w:after="0" w:line="240" w:lineRule="auto"/>
        <w:ind w:left="1080"/>
      </w:pPr>
      <w:r>
        <w:t>FDA guidance acknowledges that it would be inappropriate to deny emergency treatment to a second individual “if the only obstacle is that the IRB has not had sufficient time to convene a meeting” to review the request. Investigators are encouraged to evaluate the likelihood of a similar need occurring again, and if future use is likely, immediately initiate efforts to obtain IRB review and approval of a protocol to permit further use of the investigational drug, biologic, or device.</w:t>
      </w:r>
    </w:p>
    <w:p w14:paraId="22450C77" w14:textId="77777777" w:rsidR="006B4A8C" w:rsidRPr="006B4A8C" w:rsidRDefault="006B4A8C" w:rsidP="006B4A8C">
      <w:pPr>
        <w:tabs>
          <w:tab w:val="left" w:pos="720"/>
        </w:tabs>
        <w:spacing w:after="0" w:line="240" w:lineRule="auto"/>
      </w:pPr>
    </w:p>
    <w:p w14:paraId="4DFBEFDF" w14:textId="77777777" w:rsidR="00982ABF" w:rsidRPr="00E16D96" w:rsidRDefault="00982ABF" w:rsidP="00A07209">
      <w:pPr>
        <w:numPr>
          <w:ilvl w:val="0"/>
          <w:numId w:val="381"/>
        </w:numPr>
        <w:tabs>
          <w:tab w:val="left" w:pos="720"/>
        </w:tabs>
        <w:spacing w:after="0" w:line="240" w:lineRule="auto"/>
        <w:ind w:left="1080"/>
      </w:pPr>
      <w:r>
        <w:t xml:space="preserve">Emergency use of an investigational drug or biologic or unapproved medical device must be differentiated from “planned emergency research” in life-threatening situations. Planned emergency research is research conducted in emergency settings with participants who cannot provide informed consent because of their life-threatening medical conditions (e.g., comparison of methods for providing </w:t>
      </w:r>
      <w:r>
        <w:rPr>
          <w:rStyle w:val="Strong"/>
          <w:bCs/>
          <w:color w:val="000000"/>
        </w:rPr>
        <w:t>cardiopulmonary resuscitation</w:t>
      </w:r>
      <w:r>
        <w:t>) and who do not have an available legally authorized representative. Unlike emergency uses, planned emergency research must be approved in advance by FDA (or DHHS) and the IRB and publicly disclosed to the community in which the research will be conducted. For more information about the requirements for planned emergency research, see HRPP policy [</w:t>
      </w:r>
      <w:hyperlink r:id="rId404" w:history="1">
        <w:r>
          <w:rPr>
            <w:rStyle w:val="Hyperlink"/>
          </w:rPr>
          <w:t>Planned Emergency Research</w:t>
        </w:r>
      </w:hyperlink>
      <w:r>
        <w:t>].</w:t>
      </w:r>
    </w:p>
    <w:p w14:paraId="552E1228" w14:textId="77777777" w:rsidR="00982ABF" w:rsidRPr="00E16D96" w:rsidRDefault="00982ABF" w:rsidP="00982ABF"/>
    <w:p w14:paraId="637B61B2" w14:textId="77777777" w:rsidR="00982ABF" w:rsidRPr="006B4A8C" w:rsidRDefault="00982ABF" w:rsidP="00A07209">
      <w:pPr>
        <w:numPr>
          <w:ilvl w:val="0"/>
          <w:numId w:val="392"/>
        </w:numPr>
        <w:spacing w:after="0" w:line="240" w:lineRule="auto"/>
        <w:ind w:left="360" w:hanging="540"/>
        <w:rPr>
          <w:rStyle w:val="Strong"/>
          <w:b w:val="0"/>
        </w:rPr>
      </w:pPr>
      <w:r>
        <w:rPr>
          <w:rStyle w:val="Strong"/>
        </w:rPr>
        <w:t>Applicable Regulations/Guidance</w:t>
      </w:r>
    </w:p>
    <w:p w14:paraId="0F5FC95A" w14:textId="77777777" w:rsidR="006B4A8C" w:rsidRPr="00076836" w:rsidRDefault="006B4A8C" w:rsidP="006B4A8C">
      <w:pPr>
        <w:spacing w:after="0" w:line="240" w:lineRule="auto"/>
        <w:ind w:left="360"/>
        <w:rPr>
          <w:rStyle w:val="Strong"/>
          <w:b w:val="0"/>
        </w:rPr>
      </w:pPr>
    </w:p>
    <w:p w14:paraId="68BC3372" w14:textId="77777777" w:rsidR="00982ABF" w:rsidRDefault="00982ABF" w:rsidP="006B4A8C">
      <w:pPr>
        <w:ind w:left="360"/>
      </w:pPr>
      <w:r>
        <w:t>21 CFR 50.23, 21 CFR 56.102, 21 CFR 56.104, FDA Information Sheets: “Emergency Use of an Investigational Drug or Biologic” (01/98), “Frequently Asked Questions About Medical Devices” (01/06), and Frequently Asked Questions: “IRB Procedures” (01/98)</w:t>
      </w:r>
    </w:p>
    <w:p w14:paraId="170E8DA2" w14:textId="77777777" w:rsidR="00982ABF" w:rsidRDefault="00982ABF" w:rsidP="00A07209">
      <w:pPr>
        <w:numPr>
          <w:ilvl w:val="0"/>
          <w:numId w:val="392"/>
        </w:numPr>
        <w:spacing w:after="0" w:line="240" w:lineRule="auto"/>
        <w:ind w:left="360" w:hanging="540"/>
        <w:rPr>
          <w:b/>
        </w:rPr>
      </w:pPr>
      <w:r>
        <w:rPr>
          <w:b/>
        </w:rPr>
        <w:t>History</w:t>
      </w:r>
    </w:p>
    <w:p w14:paraId="245C44F0" w14:textId="77777777" w:rsidR="006B4A8C" w:rsidRPr="00076836" w:rsidRDefault="006B4A8C" w:rsidP="006B4A8C">
      <w:pPr>
        <w:spacing w:after="0" w:line="240" w:lineRule="auto"/>
        <w:ind w:left="360"/>
        <w:rPr>
          <w:b/>
        </w:rPr>
      </w:pPr>
    </w:p>
    <w:p w14:paraId="02CD70CD" w14:textId="77777777" w:rsidR="00982ABF" w:rsidRPr="00E16D96" w:rsidRDefault="00982ABF" w:rsidP="006B4A8C">
      <w:pPr>
        <w:spacing w:after="0"/>
        <w:ind w:left="360"/>
      </w:pPr>
      <w:r>
        <w:t>Issued: 10/20/2008</w:t>
      </w:r>
    </w:p>
    <w:p w14:paraId="1E6D1223" w14:textId="77777777" w:rsidR="00982ABF" w:rsidRPr="00E16D96" w:rsidRDefault="00982ABF" w:rsidP="006B4A8C">
      <w:pPr>
        <w:spacing w:after="0"/>
        <w:ind w:left="360"/>
      </w:pPr>
      <w:r>
        <w:t>Revised: 04/28/2009, 06/04/2012, 01/24/2022</w:t>
      </w:r>
    </w:p>
    <w:p w14:paraId="595D7BE4" w14:textId="77777777" w:rsidR="00982ABF" w:rsidRDefault="00982ABF" w:rsidP="006B4A8C">
      <w:pPr>
        <w:spacing w:after="0"/>
        <w:ind w:left="360"/>
      </w:pPr>
      <w:r>
        <w:t>Edited: 08/08/2014, 04/20/2022</w:t>
      </w:r>
    </w:p>
    <w:p w14:paraId="7266CCFD" w14:textId="77777777" w:rsidR="00471B9E" w:rsidRDefault="00471B9E">
      <w:pPr>
        <w:rPr>
          <w:b/>
          <w:bCs/>
          <w:i/>
          <w:iCs/>
          <w:sz w:val="28"/>
          <w:szCs w:val="28"/>
        </w:rPr>
      </w:pPr>
      <w:r>
        <w:br w:type="page"/>
      </w:r>
    </w:p>
    <w:p w14:paraId="6CD30D14" w14:textId="77777777" w:rsidR="00982ABF" w:rsidRPr="00EF7DEF" w:rsidRDefault="00471B9E" w:rsidP="00471B9E">
      <w:pPr>
        <w:pStyle w:val="Heading2"/>
      </w:pPr>
      <w:bookmarkStart w:id="374" w:name="B29"/>
      <w:bookmarkStart w:id="375" w:name="_Toc212142226"/>
      <w:bookmarkStart w:id="376" w:name="_Toc225507766"/>
      <w:r>
        <w:lastRenderedPageBreak/>
        <w:t xml:space="preserve">Appendix B-29  </w:t>
      </w:r>
      <w:bookmarkEnd w:id="374"/>
      <w:r>
        <w:tab/>
      </w:r>
      <w:r>
        <w:rPr>
          <w:smallCaps/>
        </w:rPr>
        <w:t>IRB Composition and IRB Member Roles and Responsibilities</w:t>
      </w:r>
      <w:bookmarkEnd w:id="375"/>
      <w:bookmarkEnd w:id="376"/>
    </w:p>
    <w:p w14:paraId="77A9AC2D" w14:textId="77777777" w:rsidR="00982ABF" w:rsidRPr="00EF7DEF" w:rsidRDefault="00982ABF" w:rsidP="00982ABF">
      <w:pPr>
        <w:rPr>
          <w:b/>
          <w:smallCaps/>
        </w:rPr>
      </w:pPr>
    </w:p>
    <w:p w14:paraId="433F3A8D" w14:textId="77777777" w:rsidR="00982ABF" w:rsidRDefault="00982ABF" w:rsidP="00A07209">
      <w:pPr>
        <w:numPr>
          <w:ilvl w:val="0"/>
          <w:numId w:val="397"/>
        </w:numPr>
        <w:spacing w:after="0" w:line="240" w:lineRule="auto"/>
        <w:rPr>
          <w:b/>
          <w:smallCaps/>
        </w:rPr>
      </w:pPr>
      <w:r>
        <w:rPr>
          <w:b/>
        </w:rPr>
        <w:t>Overview</w:t>
      </w:r>
    </w:p>
    <w:p w14:paraId="6BB604F8" w14:textId="77777777" w:rsidR="006B4A8C" w:rsidRPr="006B4A8C" w:rsidRDefault="006B4A8C" w:rsidP="006B4A8C">
      <w:pPr>
        <w:spacing w:after="0" w:line="240" w:lineRule="auto"/>
        <w:ind w:left="1224"/>
        <w:rPr>
          <w:b/>
          <w:smallCaps/>
        </w:rPr>
      </w:pPr>
    </w:p>
    <w:p w14:paraId="40E97E74" w14:textId="77777777" w:rsidR="006B4A8C" w:rsidRPr="006B4A8C" w:rsidRDefault="00982ABF" w:rsidP="006B4A8C">
      <w:pPr>
        <w:ind w:left="360"/>
      </w:pPr>
      <w:r>
        <w:t>Each IRB must be appropriately constituted for the volume and types of human research to be reviewed, in accordance with federal regulations. The IRBs will include members with diverse experience and expertise to assure the professional competence necessary to review the university’s research, as well as knowledge of community attitudes and training in protecting the rights and welfare of human subjects. The purpose of this policy is to describe the membership and quorum requirements for The Ohio State University IRBs.</w:t>
      </w:r>
    </w:p>
    <w:p w14:paraId="58A4F265" w14:textId="77777777" w:rsidR="00982ABF" w:rsidRDefault="00982ABF" w:rsidP="00A07209">
      <w:pPr>
        <w:numPr>
          <w:ilvl w:val="0"/>
          <w:numId w:val="397"/>
        </w:numPr>
        <w:spacing w:after="0" w:line="240" w:lineRule="auto"/>
        <w:ind w:left="360" w:hanging="360"/>
        <w:rPr>
          <w:b/>
          <w:smallCaps/>
        </w:rPr>
      </w:pPr>
      <w:r>
        <w:rPr>
          <w:b/>
        </w:rPr>
        <w:t>Definitions</w:t>
      </w:r>
    </w:p>
    <w:p w14:paraId="4AF3E6C1" w14:textId="77777777" w:rsidR="006B4A8C" w:rsidRPr="006B4A8C" w:rsidRDefault="006B4A8C" w:rsidP="006B4A8C">
      <w:pPr>
        <w:spacing w:after="0" w:line="240" w:lineRule="auto"/>
        <w:ind w:left="360"/>
        <w:rPr>
          <w:b/>
          <w:smallCaps/>
        </w:rPr>
      </w:pPr>
    </w:p>
    <w:p w14:paraId="09E860B2" w14:textId="77777777" w:rsidR="00982ABF" w:rsidRPr="006B4A8C" w:rsidRDefault="00982ABF" w:rsidP="006B4A8C">
      <w:pPr>
        <w:ind w:left="360"/>
        <w:rPr>
          <w:i/>
        </w:rPr>
      </w:pPr>
      <w:r>
        <w:rPr>
          <w:b/>
        </w:rPr>
        <w:t xml:space="preserve">Affiliated: </w:t>
      </w:r>
      <w:r>
        <w:t xml:space="preserve">IRB membership status designating association with the university. </w:t>
      </w:r>
      <w:r>
        <w:rPr>
          <w:i/>
        </w:rPr>
        <w:t xml:space="preserve">Note: A member (or alternate) is considered to be affiliated if he/she or a member of his/her immediate family is a current or past </w:t>
      </w:r>
      <w:r>
        <w:rPr>
          <w:bCs/>
          <w:i/>
          <w:iCs/>
        </w:rPr>
        <w:t>(within the last 2 years)</w:t>
      </w:r>
      <w:r>
        <w:rPr>
          <w:i/>
        </w:rPr>
        <w:t>: employee (full or part-time); clinical, adjunct, or visiting faculty member or instructor; paid or unpaid member of a university governing panel or board (not including the IRBs); healthcare provider holding credentials to practice at Ohio State; volunteer working at the university (unrelated to IRB service); or university consultant or advisor (paid or unpaid). An emeritus faculty or retired staff member is also considered to be affiliated if he/she has been retired or involved in paid or unpaid university activities (including research or service) within the last 2 years. Current undergraduate, graduate, and postdoctoral students are also considered to be affiliated, as described by HRPP policy.</w:t>
      </w:r>
    </w:p>
    <w:p w14:paraId="32D23354" w14:textId="77777777" w:rsidR="00982ABF" w:rsidRPr="00EF7DEF" w:rsidRDefault="00982ABF" w:rsidP="006B4A8C">
      <w:pPr>
        <w:autoSpaceDE w:val="0"/>
        <w:autoSpaceDN w:val="0"/>
        <w:adjustRightInd w:val="0"/>
        <w:ind w:left="360"/>
      </w:pPr>
      <w:r>
        <w:rPr>
          <w:b/>
        </w:rPr>
        <w:t xml:space="preserve">Alternate: </w:t>
      </w:r>
      <w:r>
        <w:t xml:space="preserve">An individual appointed to the IRB to serve in the same capacity as the specific IRB member(s) for whom the alternate is named, who substitutes for the member at convened meetings when the member is not in attendance. </w:t>
      </w:r>
      <w:r>
        <w:rPr>
          <w:i/>
        </w:rPr>
        <w:t xml:space="preserve">Note: IRB members and alternates have equal responsibilities in terms of required education, service, and participation. </w:t>
      </w:r>
      <w:r>
        <w:t xml:space="preserve">(See below for </w:t>
      </w:r>
      <w:hyperlink w:anchor="alternates" w:history="1">
        <w:r>
          <w:rPr>
            <w:rStyle w:val="Hyperlink"/>
          </w:rPr>
          <w:t>additional information about alternates</w:t>
        </w:r>
      </w:hyperlink>
      <w:r>
        <w:t>.)</w:t>
      </w:r>
    </w:p>
    <w:p w14:paraId="4507ECDD" w14:textId="77777777" w:rsidR="00982ABF" w:rsidRPr="00EF7DEF" w:rsidRDefault="00982ABF" w:rsidP="00982ABF">
      <w:pPr>
        <w:autoSpaceDE w:val="0"/>
        <w:autoSpaceDN w:val="0"/>
        <w:adjustRightInd w:val="0"/>
        <w:ind w:left="360"/>
      </w:pPr>
      <w:r>
        <w:rPr>
          <w:b/>
          <w:bCs/>
        </w:rPr>
        <w:t xml:space="preserve">Non-Scientist: </w:t>
      </w:r>
      <w:r>
        <w:t>An individual appointed to the IRB who (due to training, background, and/or occupation) is inclined to view research activities from the standpoint of someone outside the scientific or scholarly discipline of the IRB on which he/she serves.</w:t>
      </w:r>
    </w:p>
    <w:p w14:paraId="5C16C1D6" w14:textId="77777777" w:rsidR="00982ABF" w:rsidRPr="00EF7DEF" w:rsidRDefault="00982ABF" w:rsidP="00982ABF">
      <w:pPr>
        <w:rPr>
          <w:b/>
        </w:rPr>
      </w:pPr>
    </w:p>
    <w:p w14:paraId="701709A1" w14:textId="77777777" w:rsidR="00982ABF" w:rsidRDefault="00982ABF" w:rsidP="00A07209">
      <w:pPr>
        <w:numPr>
          <w:ilvl w:val="0"/>
          <w:numId w:val="397"/>
        </w:numPr>
        <w:spacing w:after="0" w:line="240" w:lineRule="auto"/>
        <w:ind w:left="360" w:hanging="360"/>
        <w:rPr>
          <w:b/>
        </w:rPr>
      </w:pPr>
      <w:r>
        <w:rPr>
          <w:b/>
        </w:rPr>
        <w:t>IRB Composition</w:t>
      </w:r>
    </w:p>
    <w:p w14:paraId="3ED94BFE" w14:textId="77777777" w:rsidR="006B4A8C" w:rsidRPr="006B4A8C" w:rsidRDefault="006B4A8C" w:rsidP="006B4A8C">
      <w:pPr>
        <w:spacing w:after="0" w:line="240" w:lineRule="auto"/>
        <w:ind w:left="360"/>
        <w:rPr>
          <w:b/>
        </w:rPr>
      </w:pPr>
    </w:p>
    <w:p w14:paraId="31451555" w14:textId="77777777" w:rsidR="00982ABF" w:rsidRPr="00EF7DEF" w:rsidRDefault="00982ABF" w:rsidP="00A07209">
      <w:pPr>
        <w:numPr>
          <w:ilvl w:val="1"/>
          <w:numId w:val="397"/>
        </w:numPr>
        <w:spacing w:after="60" w:line="240" w:lineRule="auto"/>
        <w:ind w:left="1080" w:hanging="360"/>
      </w:pPr>
      <w:r>
        <w:t>In appointing IRB members, the institutional official (IO) and/or vice president for research will ensure that all of the following conditions are met for the university IRBs:</w:t>
      </w:r>
    </w:p>
    <w:p w14:paraId="42503159" w14:textId="77777777" w:rsidR="00982ABF" w:rsidRPr="00EF7DEF" w:rsidRDefault="00982ABF" w:rsidP="00A07209">
      <w:pPr>
        <w:numPr>
          <w:ilvl w:val="2"/>
          <w:numId w:val="393"/>
        </w:numPr>
        <w:tabs>
          <w:tab w:val="clear" w:pos="1080"/>
          <w:tab w:val="num" w:pos="1440"/>
        </w:tabs>
        <w:spacing w:after="60" w:line="240" w:lineRule="auto"/>
        <w:ind w:left="1800"/>
      </w:pPr>
      <w:r>
        <w:t>IRB members will have varying backgrounds, experience, expertise, and professional competence as necessary to promote complete and adequate review of research activities commonly conducted by Ohio State.</w:t>
      </w:r>
    </w:p>
    <w:p w14:paraId="19820A83" w14:textId="77777777" w:rsidR="00982ABF" w:rsidRPr="00EF7DEF" w:rsidRDefault="00982ABF" w:rsidP="00A07209">
      <w:pPr>
        <w:numPr>
          <w:ilvl w:val="2"/>
          <w:numId w:val="393"/>
        </w:numPr>
        <w:tabs>
          <w:tab w:val="clear" w:pos="1080"/>
          <w:tab w:val="num" w:pos="1440"/>
        </w:tabs>
        <w:spacing w:after="60" w:line="240" w:lineRule="auto"/>
        <w:ind w:left="1800"/>
      </w:pPr>
      <w:r>
        <w:t>Each IRB will be sufficiently qualified through the experience, expertise, and diversity of its members, including considerations of race, gender, cultural backgrounds, and sensitivity to issues such as community attitudes, to promote respect for its advice and counsel in safeguarding the rights and welfare of human subjects.</w:t>
      </w:r>
    </w:p>
    <w:p w14:paraId="2CD9FBA3" w14:textId="77777777" w:rsidR="00982ABF" w:rsidRPr="00EF7DEF" w:rsidRDefault="00982ABF" w:rsidP="00A07209">
      <w:pPr>
        <w:numPr>
          <w:ilvl w:val="2"/>
          <w:numId w:val="393"/>
        </w:numPr>
        <w:tabs>
          <w:tab w:val="clear" w:pos="1080"/>
          <w:tab w:val="num" w:pos="1440"/>
        </w:tabs>
        <w:spacing w:after="60" w:line="240" w:lineRule="auto"/>
        <w:ind w:left="1800"/>
      </w:pPr>
      <w:r>
        <w:t>Each IRB will include persons knowledgeable about institutional commitments and regulations, applicable laws, and standards of professional conduct and practices.</w:t>
      </w:r>
    </w:p>
    <w:p w14:paraId="419770F5" w14:textId="77777777" w:rsidR="00982ABF" w:rsidRPr="00EF7DEF" w:rsidRDefault="00982ABF" w:rsidP="00A07209">
      <w:pPr>
        <w:numPr>
          <w:ilvl w:val="2"/>
          <w:numId w:val="393"/>
        </w:numPr>
        <w:tabs>
          <w:tab w:val="clear" w:pos="1080"/>
          <w:tab w:val="num" w:pos="1440"/>
        </w:tabs>
        <w:spacing w:after="60" w:line="240" w:lineRule="auto"/>
        <w:ind w:left="1800"/>
      </w:pPr>
      <w:r>
        <w:t xml:space="preserve">If the IRB regularly reviews research that involves a category of participants that is vulnerable to coercion or undue influence, such as children, prisoners, individuals with impaired decision-making capacity, or economically or educationally disadvantaged persons, the IO will appoint one or more </w:t>
      </w:r>
      <w:r>
        <w:lastRenderedPageBreak/>
        <w:t>individuals who are knowledgeable about and experienced in working with these categories of participants.</w:t>
      </w:r>
    </w:p>
    <w:p w14:paraId="69D5518D" w14:textId="77777777" w:rsidR="00982ABF" w:rsidRPr="00EF7DEF" w:rsidRDefault="00982ABF" w:rsidP="00A07209">
      <w:pPr>
        <w:numPr>
          <w:ilvl w:val="2"/>
          <w:numId w:val="393"/>
        </w:numPr>
        <w:tabs>
          <w:tab w:val="clear" w:pos="1080"/>
          <w:tab w:val="num" w:pos="1440"/>
        </w:tabs>
        <w:spacing w:after="60" w:line="240" w:lineRule="auto"/>
        <w:ind w:left="1800"/>
      </w:pPr>
      <w:r>
        <w:t>Each IRB will consist of at least five members.</w:t>
      </w:r>
    </w:p>
    <w:p w14:paraId="37A6734D" w14:textId="77777777" w:rsidR="00982ABF" w:rsidRDefault="00982ABF" w:rsidP="00A07209">
      <w:pPr>
        <w:numPr>
          <w:ilvl w:val="2"/>
          <w:numId w:val="393"/>
        </w:numPr>
        <w:tabs>
          <w:tab w:val="clear" w:pos="1080"/>
          <w:tab w:val="num" w:pos="1440"/>
        </w:tabs>
        <w:spacing w:after="60" w:line="240" w:lineRule="auto"/>
        <w:ind w:left="1800"/>
      </w:pPr>
      <w:r>
        <w:t xml:space="preserve">Each IRB will include at least one member whose primary concerns are in scientific areas. </w:t>
      </w:r>
    </w:p>
    <w:p w14:paraId="07A22C17" w14:textId="77777777" w:rsidR="00982ABF" w:rsidRDefault="00982ABF" w:rsidP="00A07209">
      <w:pPr>
        <w:numPr>
          <w:ilvl w:val="2"/>
          <w:numId w:val="393"/>
        </w:numPr>
        <w:tabs>
          <w:tab w:val="clear" w:pos="1080"/>
          <w:tab w:val="num" w:pos="1440"/>
        </w:tabs>
        <w:spacing w:after="60" w:line="240" w:lineRule="auto"/>
        <w:ind w:left="1800"/>
      </w:pPr>
      <w:r>
        <w:t>Each IRB will include at least one member whose primary concerns are in nonscientific areas, at least one member who represents the perspective of research participants, and at least one member who is not otherwise affiliated with Ohio State and who is not part of the immediate family of a person affiliated with Ohio State.</w:t>
      </w:r>
    </w:p>
    <w:p w14:paraId="73821D08" w14:textId="77777777" w:rsidR="00982ABF" w:rsidRDefault="00982ABF" w:rsidP="006B4A8C">
      <w:pPr>
        <w:spacing w:after="60"/>
        <w:ind w:left="1440"/>
        <w:rPr>
          <w:i/>
        </w:rPr>
      </w:pPr>
      <w:r>
        <w:rPr>
          <w:i/>
        </w:rPr>
        <w:t xml:space="preserve">Note: In many cases, the same member will satisfy the three roles. The IRB may, on occasion, meet without representation of the unaffiliated member; however, this should be the exception. Attendance of the unaffiliated member and the member who represents the perspective of subjects at convened meetings will be monitored and assessed through documentation in the minutes (e.g. minutes indicate attendance at greater than 50% of meetings). </w:t>
      </w:r>
    </w:p>
    <w:p w14:paraId="61A0C253" w14:textId="77777777" w:rsidR="006B4A8C" w:rsidRPr="006B4A8C" w:rsidRDefault="006B4A8C" w:rsidP="006B4A8C">
      <w:pPr>
        <w:spacing w:after="60"/>
        <w:rPr>
          <w:i/>
        </w:rPr>
      </w:pPr>
    </w:p>
    <w:p w14:paraId="6F4BE542" w14:textId="77777777" w:rsidR="00982ABF" w:rsidRDefault="00982ABF" w:rsidP="00A07209">
      <w:pPr>
        <w:numPr>
          <w:ilvl w:val="1"/>
          <w:numId w:val="397"/>
        </w:numPr>
        <w:spacing w:after="0" w:line="240" w:lineRule="auto"/>
        <w:ind w:left="1080" w:hanging="360"/>
      </w:pPr>
      <w:r>
        <w:t>For additional requirements for review of research involving prisoners, see HRPP policy [</w:t>
      </w:r>
      <w:hyperlink r:id="rId405" w:history="1">
        <w:r>
          <w:rPr>
            <w:rStyle w:val="Hyperlink"/>
          </w:rPr>
          <w:t>Research Involving Prisoners</w:t>
        </w:r>
      </w:hyperlink>
      <w:r>
        <w:t>].</w:t>
      </w:r>
    </w:p>
    <w:p w14:paraId="4DA6FF86" w14:textId="77777777" w:rsidR="006B4A8C" w:rsidRPr="006B4A8C" w:rsidRDefault="006B4A8C" w:rsidP="006B4A8C">
      <w:pPr>
        <w:spacing w:after="0" w:line="240" w:lineRule="auto"/>
        <w:ind w:left="720"/>
      </w:pPr>
    </w:p>
    <w:p w14:paraId="1AA59CE9" w14:textId="77777777" w:rsidR="00982ABF" w:rsidRDefault="00982ABF" w:rsidP="00A07209">
      <w:pPr>
        <w:numPr>
          <w:ilvl w:val="1"/>
          <w:numId w:val="397"/>
        </w:numPr>
        <w:spacing w:after="0" w:line="240" w:lineRule="auto"/>
        <w:ind w:left="1080" w:hanging="360"/>
      </w:pPr>
      <w:r>
        <w:t>The IRB may invite individuals with competence in special areas to assist in the review of protocols that require expertise beyond or in addition to that available on the IRB. These individuals (consultants) may not vote with the IRB.</w:t>
      </w:r>
    </w:p>
    <w:p w14:paraId="5E815954" w14:textId="77777777" w:rsidR="006B4A8C" w:rsidRPr="006B4A8C" w:rsidRDefault="006B4A8C" w:rsidP="006B4A8C">
      <w:pPr>
        <w:spacing w:after="0" w:line="240" w:lineRule="auto"/>
      </w:pPr>
    </w:p>
    <w:p w14:paraId="234CDEAF" w14:textId="77777777" w:rsidR="00982ABF" w:rsidRDefault="00982ABF" w:rsidP="00A07209">
      <w:pPr>
        <w:numPr>
          <w:ilvl w:val="1"/>
          <w:numId w:val="397"/>
        </w:numPr>
        <w:spacing w:after="0" w:line="240" w:lineRule="auto"/>
        <w:ind w:left="1080" w:hanging="360"/>
        <w:rPr>
          <w:i/>
        </w:rPr>
      </w:pPr>
      <w:r>
        <w:t xml:space="preserve">Other individuals also attend convened meetings as necessary. These individuals advise the IRB on the acceptability of proposed research in terms of regulatory requirements, institutional commitments, applicable laws, and standards of professional practices and conduct. Examples include, but are not limited to, representatives from the Office of Responsible Research Practices, Office of Sponsored Programs, Office of Research Compliance, and Office of Legal Affairs. </w:t>
      </w:r>
      <w:r>
        <w:rPr>
          <w:i/>
        </w:rPr>
        <w:t>Note: Individuals responsible for business development or grants and contracts (e.g., Office</w:t>
      </w:r>
      <w:r>
        <w:rPr>
          <w:i/>
          <w:iCs/>
        </w:rPr>
        <w:t xml:space="preserve"> of Innovation and Economic Development</w:t>
      </w:r>
      <w:r>
        <w:rPr>
          <w:i/>
        </w:rPr>
        <w:t>, Office of Sponsored Programs) do not serve as IRB members or alternates.</w:t>
      </w:r>
    </w:p>
    <w:p w14:paraId="57079A04" w14:textId="77777777" w:rsidR="006B4A8C" w:rsidRPr="006B4A8C" w:rsidRDefault="006B4A8C" w:rsidP="006B4A8C">
      <w:pPr>
        <w:spacing w:after="0" w:line="240" w:lineRule="auto"/>
        <w:rPr>
          <w:i/>
        </w:rPr>
      </w:pPr>
    </w:p>
    <w:p w14:paraId="59AC7F5E" w14:textId="77777777" w:rsidR="00982ABF" w:rsidRDefault="00982ABF" w:rsidP="00A07209">
      <w:pPr>
        <w:numPr>
          <w:ilvl w:val="1"/>
          <w:numId w:val="397"/>
        </w:numPr>
        <w:spacing w:after="0" w:line="240" w:lineRule="auto"/>
        <w:ind w:left="1080" w:hanging="360"/>
      </w:pPr>
      <w:r>
        <w:t>All IRB members, alternates, and ORRP staff receive human subjects protections education related to federal regulations and guidance, HRPP policies and procedures, and IRB review processes. Minimally, initial training in human subjects protection, with continuing education every three years is required (e.g., completion of Collaborative Institutional Training Initiative modules). IRB members and ORRP staff also receive additional education/new information via newsletters, email announcements, website postings, webinars, and in-person training sessions.</w:t>
      </w:r>
    </w:p>
    <w:p w14:paraId="499F12EA" w14:textId="77777777" w:rsidR="00982ABF" w:rsidRDefault="00982ABF" w:rsidP="00982ABF"/>
    <w:p w14:paraId="76A565B5" w14:textId="77777777" w:rsidR="00982ABF" w:rsidRDefault="00982ABF" w:rsidP="00A07209">
      <w:pPr>
        <w:numPr>
          <w:ilvl w:val="0"/>
          <w:numId w:val="397"/>
        </w:numPr>
        <w:spacing w:after="0" w:line="240" w:lineRule="auto"/>
        <w:ind w:left="360" w:hanging="360"/>
        <w:rPr>
          <w:b/>
        </w:rPr>
      </w:pPr>
      <w:r>
        <w:rPr>
          <w:b/>
        </w:rPr>
        <w:t xml:space="preserve">Quorum </w:t>
      </w:r>
    </w:p>
    <w:p w14:paraId="423BD4A1" w14:textId="77777777" w:rsidR="006B4A8C" w:rsidRPr="006B4A8C" w:rsidRDefault="006B4A8C" w:rsidP="006B4A8C">
      <w:pPr>
        <w:spacing w:after="0" w:line="240" w:lineRule="auto"/>
        <w:ind w:left="360"/>
        <w:rPr>
          <w:b/>
        </w:rPr>
      </w:pPr>
    </w:p>
    <w:p w14:paraId="0C58F258" w14:textId="77777777" w:rsidR="00982ABF" w:rsidRPr="00EF7DEF" w:rsidRDefault="00982ABF" w:rsidP="00A07209">
      <w:pPr>
        <w:numPr>
          <w:ilvl w:val="1"/>
          <w:numId w:val="397"/>
        </w:numPr>
        <w:spacing w:after="0" w:line="240" w:lineRule="auto"/>
        <w:ind w:left="1080" w:hanging="360"/>
      </w:pPr>
      <w:r>
        <w:t>ORRP staff attending IRB meetings are responsible for determining that meetings are appropriately convened before the discussion and vote for each review. For convened IRB review, a quorum is defined as follows:</w:t>
      </w:r>
    </w:p>
    <w:p w14:paraId="4B55C2E1" w14:textId="77777777" w:rsidR="00982ABF" w:rsidRPr="00EF7DEF" w:rsidRDefault="00982ABF" w:rsidP="00A07209">
      <w:pPr>
        <w:numPr>
          <w:ilvl w:val="2"/>
          <w:numId w:val="394"/>
        </w:numPr>
        <w:tabs>
          <w:tab w:val="clear" w:pos="1080"/>
          <w:tab w:val="num" w:pos="1440"/>
        </w:tabs>
        <w:spacing w:after="60" w:line="240" w:lineRule="auto"/>
        <w:ind w:left="1800"/>
      </w:pPr>
      <w:r>
        <w:t>The necessary number (i.e., more than half) of the IRB members listed on the membership roster are present.</w:t>
      </w:r>
    </w:p>
    <w:p w14:paraId="34221252" w14:textId="77777777" w:rsidR="00982ABF" w:rsidRPr="00EF7DEF" w:rsidRDefault="00982ABF" w:rsidP="00A07209">
      <w:pPr>
        <w:numPr>
          <w:ilvl w:val="2"/>
          <w:numId w:val="394"/>
        </w:numPr>
        <w:tabs>
          <w:tab w:val="clear" w:pos="1080"/>
          <w:tab w:val="num" w:pos="1440"/>
        </w:tabs>
        <w:spacing w:after="60" w:line="240" w:lineRule="auto"/>
        <w:ind w:left="1800"/>
      </w:pPr>
      <w:r>
        <w:t xml:space="preserve">At least one member is present whose primary concerns are in nonscientific areas. </w:t>
      </w:r>
    </w:p>
    <w:p w14:paraId="1A25B2CD" w14:textId="77777777" w:rsidR="00982ABF" w:rsidRPr="00EF7DEF" w:rsidRDefault="00982ABF" w:rsidP="00A07209">
      <w:pPr>
        <w:numPr>
          <w:ilvl w:val="2"/>
          <w:numId w:val="394"/>
        </w:numPr>
        <w:tabs>
          <w:tab w:val="clear" w:pos="1080"/>
          <w:tab w:val="num" w:pos="1440"/>
        </w:tabs>
        <w:spacing w:after="60" w:line="240" w:lineRule="auto"/>
        <w:ind w:left="1800"/>
      </w:pPr>
      <w:r>
        <w:t>At least one member is present whose primary concerns are in scientific areas.</w:t>
      </w:r>
    </w:p>
    <w:p w14:paraId="3349223D" w14:textId="77777777" w:rsidR="00982ABF" w:rsidRPr="00EF7DEF" w:rsidRDefault="00982ABF" w:rsidP="00A07209">
      <w:pPr>
        <w:numPr>
          <w:ilvl w:val="2"/>
          <w:numId w:val="394"/>
        </w:numPr>
        <w:tabs>
          <w:tab w:val="clear" w:pos="1080"/>
          <w:tab w:val="num" w:pos="1440"/>
        </w:tabs>
        <w:spacing w:after="60" w:line="240" w:lineRule="auto"/>
        <w:ind w:left="1800"/>
      </w:pPr>
      <w:r>
        <w:t>For FDA-regulated research, a member is present who is a licensed physician.</w:t>
      </w:r>
    </w:p>
    <w:p w14:paraId="17B347BE" w14:textId="77777777" w:rsidR="00982ABF" w:rsidRPr="00EF7DEF" w:rsidRDefault="00982ABF" w:rsidP="00A07209">
      <w:pPr>
        <w:numPr>
          <w:ilvl w:val="2"/>
          <w:numId w:val="394"/>
        </w:numPr>
        <w:tabs>
          <w:tab w:val="clear" w:pos="1080"/>
          <w:tab w:val="num" w:pos="1440"/>
        </w:tabs>
        <w:spacing w:after="120" w:line="240" w:lineRule="auto"/>
        <w:ind w:left="1800"/>
      </w:pPr>
      <w:r>
        <w:t xml:space="preserve">For research involving a category of participants vulnerable to coercion or undue influence, such as children, prisoners, individuals with impaired decision-making capacity, or economically or </w:t>
      </w:r>
      <w:r>
        <w:lastRenderedPageBreak/>
        <w:t>educationally disadvantaged persons, a member is present representing the vulnerable population’s interests.</w:t>
      </w:r>
    </w:p>
    <w:p w14:paraId="53D405BC" w14:textId="77777777" w:rsidR="00982ABF" w:rsidRPr="00EF7DEF" w:rsidRDefault="00982ABF" w:rsidP="006B4A8C">
      <w:pPr>
        <w:autoSpaceDE w:val="0"/>
        <w:autoSpaceDN w:val="0"/>
        <w:adjustRightInd w:val="0"/>
        <w:ind w:left="1440"/>
      </w:pPr>
      <w:r>
        <w:rPr>
          <w:i/>
        </w:rPr>
        <w:t>Note: A member serving as a prisoner representative on the Cancer and Biomedical Sciences IRBs will only count toward quorum when he/she is in attendance and reviewing research involving prisoners</w:t>
      </w:r>
      <w:r>
        <w:t>.</w:t>
      </w:r>
    </w:p>
    <w:p w14:paraId="07ECE29B" w14:textId="77777777" w:rsidR="00982ABF" w:rsidRDefault="00982ABF" w:rsidP="00A07209">
      <w:pPr>
        <w:numPr>
          <w:ilvl w:val="1"/>
          <w:numId w:val="397"/>
        </w:numPr>
        <w:autoSpaceDE w:val="0"/>
        <w:autoSpaceDN w:val="0"/>
        <w:adjustRightInd w:val="0"/>
        <w:spacing w:after="0" w:line="240" w:lineRule="auto"/>
        <w:ind w:left="1080" w:hanging="360"/>
      </w:pPr>
      <w:r>
        <w:t>If both an IRB member and his/her respective alternate(s) are present, only one may vote and be counted toward quorum.</w:t>
      </w:r>
    </w:p>
    <w:p w14:paraId="25BDF79A" w14:textId="77777777" w:rsidR="006B4A8C" w:rsidRPr="006B4A8C" w:rsidRDefault="006B4A8C" w:rsidP="006B4A8C">
      <w:pPr>
        <w:autoSpaceDE w:val="0"/>
        <w:autoSpaceDN w:val="0"/>
        <w:adjustRightInd w:val="0"/>
        <w:spacing w:after="0" w:line="240" w:lineRule="auto"/>
        <w:ind w:left="720"/>
      </w:pPr>
    </w:p>
    <w:p w14:paraId="03D097A1" w14:textId="77777777" w:rsidR="00982ABF" w:rsidRDefault="00982ABF" w:rsidP="00A07209">
      <w:pPr>
        <w:numPr>
          <w:ilvl w:val="1"/>
          <w:numId w:val="397"/>
        </w:numPr>
        <w:autoSpaceDE w:val="0"/>
        <w:autoSpaceDN w:val="0"/>
        <w:adjustRightInd w:val="0"/>
        <w:spacing w:after="0" w:line="240" w:lineRule="auto"/>
        <w:ind w:left="1080" w:hanging="360"/>
      </w:pPr>
      <w:r>
        <w:t>Comments from members unable to attend a meeting that have been provided in advance (e.g., by fax or e-mail) may be considered by the attending IRB members but may not be counted as votes or toward the quorum for convened meetings.</w:t>
      </w:r>
    </w:p>
    <w:p w14:paraId="7455B64E" w14:textId="77777777" w:rsidR="006B4A8C" w:rsidRPr="006B4A8C" w:rsidRDefault="006B4A8C" w:rsidP="006B4A8C">
      <w:pPr>
        <w:autoSpaceDE w:val="0"/>
        <w:autoSpaceDN w:val="0"/>
        <w:adjustRightInd w:val="0"/>
        <w:spacing w:after="0" w:line="240" w:lineRule="auto"/>
      </w:pPr>
    </w:p>
    <w:p w14:paraId="173FBEBB" w14:textId="77777777" w:rsidR="00982ABF" w:rsidRDefault="00982ABF" w:rsidP="00A07209">
      <w:pPr>
        <w:numPr>
          <w:ilvl w:val="1"/>
          <w:numId w:val="397"/>
        </w:numPr>
        <w:autoSpaceDE w:val="0"/>
        <w:autoSpaceDN w:val="0"/>
        <w:adjustRightInd w:val="0"/>
        <w:spacing w:after="0" w:line="240" w:lineRule="auto"/>
        <w:ind w:left="1080" w:hanging="360"/>
        <w:rPr>
          <w:i/>
        </w:rPr>
      </w:pPr>
      <w:r>
        <w:t>Any member may participate by teleconference or videoconference, provided he/she has received all materials and can actively and equally participate in the discussion.</w:t>
      </w:r>
    </w:p>
    <w:p w14:paraId="0384D119" w14:textId="77777777" w:rsidR="006B4A8C" w:rsidRPr="006B4A8C" w:rsidRDefault="006B4A8C" w:rsidP="006B4A8C">
      <w:pPr>
        <w:autoSpaceDE w:val="0"/>
        <w:autoSpaceDN w:val="0"/>
        <w:adjustRightInd w:val="0"/>
        <w:spacing w:after="0" w:line="240" w:lineRule="auto"/>
        <w:rPr>
          <w:i/>
        </w:rPr>
      </w:pPr>
    </w:p>
    <w:p w14:paraId="1956524C" w14:textId="77777777" w:rsidR="00982ABF" w:rsidRPr="00EF7DEF" w:rsidRDefault="00982ABF" w:rsidP="00A07209">
      <w:pPr>
        <w:numPr>
          <w:ilvl w:val="1"/>
          <w:numId w:val="397"/>
        </w:numPr>
        <w:autoSpaceDE w:val="0"/>
        <w:autoSpaceDN w:val="0"/>
        <w:adjustRightInd w:val="0"/>
        <w:spacing w:after="60" w:line="240" w:lineRule="auto"/>
        <w:ind w:left="1080" w:hanging="360"/>
      </w:pPr>
      <w:r>
        <w:t>Assuming all applicable composition requirements are satisfied, the number of IRB members necessary for a quorum is calculated by dividing the number of members in half and “rounding up” when there is an odd number of members or “adding one” for an even number. For example:</w:t>
      </w:r>
    </w:p>
    <w:p w14:paraId="1F9FF984" w14:textId="77777777" w:rsidR="00982ABF" w:rsidRPr="00EF7DEF" w:rsidRDefault="00982ABF" w:rsidP="00A07209">
      <w:pPr>
        <w:numPr>
          <w:ilvl w:val="3"/>
          <w:numId w:val="463"/>
        </w:numPr>
        <w:autoSpaceDE w:val="0"/>
        <w:autoSpaceDN w:val="0"/>
        <w:adjustRightInd w:val="0"/>
        <w:spacing w:after="60" w:line="240" w:lineRule="auto"/>
        <w:ind w:left="1800"/>
      </w:pPr>
      <w:r>
        <w:t>If an IRB has 15 members, the quorum is 8.</w:t>
      </w:r>
    </w:p>
    <w:p w14:paraId="5733F081" w14:textId="77777777" w:rsidR="00982ABF" w:rsidRDefault="00982ABF" w:rsidP="00A07209">
      <w:pPr>
        <w:numPr>
          <w:ilvl w:val="3"/>
          <w:numId w:val="463"/>
        </w:numPr>
        <w:autoSpaceDE w:val="0"/>
        <w:autoSpaceDN w:val="0"/>
        <w:adjustRightInd w:val="0"/>
        <w:spacing w:after="0" w:line="240" w:lineRule="auto"/>
        <w:ind w:left="1800"/>
      </w:pPr>
      <w:r>
        <w:t>If an IRB has 20 members, the quorum is 11.</w:t>
      </w:r>
    </w:p>
    <w:p w14:paraId="7E9E5D80" w14:textId="77777777" w:rsidR="006B4A8C" w:rsidRPr="006B4A8C" w:rsidRDefault="006B4A8C" w:rsidP="006B4A8C">
      <w:pPr>
        <w:autoSpaceDE w:val="0"/>
        <w:autoSpaceDN w:val="0"/>
        <w:adjustRightInd w:val="0"/>
        <w:spacing w:after="0" w:line="240" w:lineRule="auto"/>
        <w:ind w:left="1440"/>
      </w:pPr>
    </w:p>
    <w:p w14:paraId="1C75F322" w14:textId="77777777" w:rsidR="00982ABF" w:rsidRDefault="00982ABF" w:rsidP="00A07209">
      <w:pPr>
        <w:numPr>
          <w:ilvl w:val="1"/>
          <w:numId w:val="397"/>
        </w:numPr>
        <w:autoSpaceDE w:val="0"/>
        <w:autoSpaceDN w:val="0"/>
        <w:adjustRightInd w:val="0"/>
        <w:spacing w:after="0" w:line="240" w:lineRule="auto"/>
        <w:ind w:left="1080" w:hanging="360"/>
      </w:pPr>
      <w:r>
        <w:t>If quorum is not met, then IRB voting cannot take place; and the items on the agenda will be tabled until the next convened IRB meeting.</w:t>
      </w:r>
    </w:p>
    <w:p w14:paraId="73FD2E19" w14:textId="77777777" w:rsidR="006B4A8C" w:rsidRPr="006B4A8C" w:rsidRDefault="006B4A8C" w:rsidP="006B4A8C">
      <w:pPr>
        <w:autoSpaceDE w:val="0"/>
        <w:autoSpaceDN w:val="0"/>
        <w:adjustRightInd w:val="0"/>
        <w:spacing w:after="0" w:line="240" w:lineRule="auto"/>
        <w:ind w:left="720"/>
      </w:pPr>
    </w:p>
    <w:p w14:paraId="52DE719D" w14:textId="77777777" w:rsidR="00982ABF" w:rsidRDefault="00982ABF" w:rsidP="00A07209">
      <w:pPr>
        <w:numPr>
          <w:ilvl w:val="1"/>
          <w:numId w:val="397"/>
        </w:numPr>
        <w:autoSpaceDE w:val="0"/>
        <w:autoSpaceDN w:val="0"/>
        <w:adjustRightInd w:val="0"/>
        <w:spacing w:after="0" w:line="240" w:lineRule="auto"/>
        <w:ind w:left="1080" w:hanging="360"/>
      </w:pPr>
      <w:r>
        <w:t>If quorum is lost during a convened meeting (e.g., due to a member leaving the meeting), then no further voting can take place; and the remaining items on the agenda will be tabled until quorum is restored or the next convened IRB meeting.</w:t>
      </w:r>
    </w:p>
    <w:p w14:paraId="3AB969AE" w14:textId="77777777" w:rsidR="006B4A8C" w:rsidRPr="006B4A8C" w:rsidRDefault="006B4A8C" w:rsidP="006B4A8C">
      <w:pPr>
        <w:autoSpaceDE w:val="0"/>
        <w:autoSpaceDN w:val="0"/>
        <w:adjustRightInd w:val="0"/>
        <w:spacing w:after="0" w:line="240" w:lineRule="auto"/>
      </w:pPr>
    </w:p>
    <w:p w14:paraId="76180349" w14:textId="77777777" w:rsidR="00982ABF" w:rsidRDefault="00982ABF" w:rsidP="00A07209">
      <w:pPr>
        <w:numPr>
          <w:ilvl w:val="1"/>
          <w:numId w:val="397"/>
        </w:numPr>
        <w:spacing w:after="0" w:line="240" w:lineRule="auto"/>
        <w:ind w:left="1080" w:hanging="360"/>
      </w:pPr>
      <w:r>
        <w:t>ORRP staff attending IRB meetings are responsible for recording the attendance of members as they enter and leave the room. If quorum is lost, ORRP staff will notify the IRB chair or vice chair that no further actions can be taken until/unless quorum is restored.</w:t>
      </w:r>
    </w:p>
    <w:p w14:paraId="124307E0" w14:textId="77777777" w:rsidR="006B4A8C" w:rsidRPr="006B4A8C" w:rsidRDefault="006B4A8C" w:rsidP="006B4A8C">
      <w:pPr>
        <w:spacing w:after="0" w:line="240" w:lineRule="auto"/>
      </w:pPr>
    </w:p>
    <w:p w14:paraId="3091D5B2" w14:textId="77777777" w:rsidR="00982ABF" w:rsidRDefault="00982ABF" w:rsidP="00A07209">
      <w:pPr>
        <w:numPr>
          <w:ilvl w:val="1"/>
          <w:numId w:val="397"/>
        </w:numPr>
        <w:spacing w:after="0" w:line="240" w:lineRule="auto"/>
        <w:ind w:left="1080" w:hanging="360"/>
      </w:pPr>
      <w:r>
        <w:t>IRB members with potential conflicts of interest must leave the room before discussion of the research, except to provide information requested by the IRB. Members with potential conflicts of interest may not be present for the vote and are not counted toward quorum for review of the research for which the potential conflict exists, in accordance with HRPP policy [</w:t>
      </w:r>
      <w:hyperlink r:id="rId406" w:history="1">
        <w:r>
          <w:rPr>
            <w:rStyle w:val="Hyperlink"/>
          </w:rPr>
          <w:t>IRB Member and Consultant Conflict of Interest</w:t>
        </w:r>
      </w:hyperlink>
      <w:r>
        <w:t xml:space="preserve">]. </w:t>
      </w:r>
    </w:p>
    <w:p w14:paraId="65BFE5C7" w14:textId="77777777" w:rsidR="00982ABF" w:rsidRPr="00EF7DEF" w:rsidRDefault="00982ABF" w:rsidP="00982ABF"/>
    <w:p w14:paraId="0DDEF483" w14:textId="77777777" w:rsidR="00982ABF" w:rsidRDefault="00982ABF" w:rsidP="00A07209">
      <w:pPr>
        <w:numPr>
          <w:ilvl w:val="0"/>
          <w:numId w:val="397"/>
        </w:numPr>
        <w:spacing w:after="0" w:line="240" w:lineRule="auto"/>
        <w:ind w:left="360" w:hanging="324"/>
        <w:rPr>
          <w:b/>
        </w:rPr>
      </w:pPr>
      <w:r>
        <w:rPr>
          <w:b/>
        </w:rPr>
        <w:t>IRB Membership Roles and Responsibilities</w:t>
      </w:r>
    </w:p>
    <w:p w14:paraId="3D570AAD" w14:textId="77777777" w:rsidR="006B4A8C" w:rsidRPr="006B4A8C" w:rsidRDefault="006B4A8C" w:rsidP="006B4A8C">
      <w:pPr>
        <w:spacing w:after="0" w:line="240" w:lineRule="auto"/>
        <w:ind w:left="360"/>
        <w:rPr>
          <w:b/>
        </w:rPr>
      </w:pPr>
    </w:p>
    <w:p w14:paraId="4F415475" w14:textId="77777777" w:rsidR="00982ABF" w:rsidRPr="00EF7DEF" w:rsidRDefault="00982ABF" w:rsidP="00A07209">
      <w:pPr>
        <w:numPr>
          <w:ilvl w:val="1"/>
          <w:numId w:val="397"/>
        </w:numPr>
        <w:spacing w:after="0" w:line="240" w:lineRule="auto"/>
        <w:ind w:left="1080" w:hanging="360"/>
        <w:rPr>
          <w:b/>
        </w:rPr>
      </w:pPr>
      <w:r>
        <w:rPr>
          <w:b/>
        </w:rPr>
        <w:t>IRB Chairs</w:t>
      </w:r>
    </w:p>
    <w:p w14:paraId="1851DC88" w14:textId="77777777" w:rsidR="00982ABF" w:rsidRPr="00EF7DEF" w:rsidRDefault="00982ABF" w:rsidP="00982ABF">
      <w:pPr>
        <w:ind w:left="360"/>
      </w:pPr>
    </w:p>
    <w:p w14:paraId="17860096" w14:textId="77777777" w:rsidR="00982ABF" w:rsidRPr="00EF7DEF" w:rsidRDefault="00982ABF" w:rsidP="006B4A8C">
      <w:pPr>
        <w:spacing w:after="60"/>
        <w:ind w:left="1080"/>
      </w:pPr>
      <w:r>
        <w:t>The chairs are appointed by the institutional official and/or vice president for research and selected based on experience and expertise from among current and former IRB members. Each IRB chair serves a three-year term of service (with renewable terms of one to three years). The IRB chairs have primary responsibility for the following:</w:t>
      </w:r>
    </w:p>
    <w:p w14:paraId="0AD1304B" w14:textId="77777777" w:rsidR="00982ABF" w:rsidRPr="006B4A8C" w:rsidRDefault="00982ABF" w:rsidP="00A07209">
      <w:pPr>
        <w:numPr>
          <w:ilvl w:val="3"/>
          <w:numId w:val="397"/>
        </w:numPr>
        <w:spacing w:after="60" w:line="240" w:lineRule="auto"/>
        <w:ind w:left="1800"/>
      </w:pPr>
      <w:r>
        <w:t>Providing leadership to the IRB to help ensure the rights and welfare of human subjects participating in research reviewed by the IRB</w:t>
      </w:r>
    </w:p>
    <w:p w14:paraId="163670C2" w14:textId="77777777" w:rsidR="00982ABF" w:rsidRPr="006B4A8C" w:rsidRDefault="00982ABF" w:rsidP="00A07209">
      <w:pPr>
        <w:numPr>
          <w:ilvl w:val="3"/>
          <w:numId w:val="397"/>
        </w:numPr>
        <w:tabs>
          <w:tab w:val="num" w:pos="1800"/>
        </w:tabs>
        <w:spacing w:after="60" w:line="240" w:lineRule="auto"/>
        <w:ind w:left="1800"/>
      </w:pPr>
      <w:r>
        <w:lastRenderedPageBreak/>
        <w:t>Conducting convened meetings and reviewing and approving the minutes documenting IRB discussions and findings</w:t>
      </w:r>
    </w:p>
    <w:p w14:paraId="41908F34" w14:textId="77777777" w:rsidR="00982ABF" w:rsidRPr="006B4A8C" w:rsidRDefault="00982ABF" w:rsidP="00A07209">
      <w:pPr>
        <w:numPr>
          <w:ilvl w:val="3"/>
          <w:numId w:val="397"/>
        </w:numPr>
        <w:tabs>
          <w:tab w:val="num" w:pos="1800"/>
        </w:tabs>
        <w:spacing w:after="60" w:line="240" w:lineRule="auto"/>
        <w:ind w:left="1800"/>
      </w:pPr>
      <w:r>
        <w:t>Leading discussions with investigators and/or administrators to resolve controversial and/or procedural matters relating to research approval and conduct</w:t>
      </w:r>
    </w:p>
    <w:p w14:paraId="61D297BA" w14:textId="77777777" w:rsidR="00982ABF" w:rsidRPr="006B4A8C" w:rsidRDefault="00982ABF" w:rsidP="00A07209">
      <w:pPr>
        <w:numPr>
          <w:ilvl w:val="3"/>
          <w:numId w:val="397"/>
        </w:numPr>
        <w:tabs>
          <w:tab w:val="num" w:pos="1800"/>
        </w:tabs>
        <w:spacing w:after="60" w:line="240" w:lineRule="auto"/>
        <w:ind w:left="1800"/>
      </w:pPr>
      <w:r>
        <w:t>Annually completing the electronic Financial Conflict of Interest Form and disclosing any potential conflicts prior to IRB review of the research for which a conflict may exist</w:t>
      </w:r>
    </w:p>
    <w:p w14:paraId="6713B29A" w14:textId="77777777" w:rsidR="00982ABF" w:rsidRPr="006B4A8C" w:rsidRDefault="00982ABF" w:rsidP="00A07209">
      <w:pPr>
        <w:numPr>
          <w:ilvl w:val="3"/>
          <w:numId w:val="397"/>
        </w:numPr>
        <w:tabs>
          <w:tab w:val="num" w:pos="1800"/>
        </w:tabs>
        <w:spacing w:after="60" w:line="240" w:lineRule="auto"/>
        <w:ind w:left="1800"/>
      </w:pPr>
      <w:r>
        <w:t>Managing conflicts of interest by ensuring that IRB members with conflicts are not present for review of research for which a conflict may exist</w:t>
      </w:r>
    </w:p>
    <w:p w14:paraId="79B7BDB2" w14:textId="77777777" w:rsidR="00982ABF" w:rsidRPr="006B4A8C" w:rsidRDefault="00982ABF" w:rsidP="00A07209">
      <w:pPr>
        <w:numPr>
          <w:ilvl w:val="3"/>
          <w:numId w:val="397"/>
        </w:numPr>
        <w:tabs>
          <w:tab w:val="num" w:pos="1800"/>
        </w:tabs>
        <w:spacing w:after="60" w:line="240" w:lineRule="auto"/>
        <w:ind w:left="1800"/>
      </w:pPr>
      <w:r>
        <w:t>Maintaining confidentiality of IRB-related information in accordance with the terms and conditions of the university's IRB Member Confidentiality Agreement</w:t>
      </w:r>
    </w:p>
    <w:p w14:paraId="18F54A41" w14:textId="77777777" w:rsidR="00982ABF" w:rsidRPr="00EF7DEF" w:rsidRDefault="00982ABF" w:rsidP="00A07209">
      <w:pPr>
        <w:numPr>
          <w:ilvl w:val="3"/>
          <w:numId w:val="397"/>
        </w:numPr>
        <w:tabs>
          <w:tab w:val="num" w:pos="1800"/>
        </w:tabs>
        <w:spacing w:after="60" w:line="240" w:lineRule="auto"/>
        <w:ind w:left="1800"/>
      </w:pPr>
      <w:r>
        <w:t>Administering Board decisions and maintaining the independence of the IRB</w:t>
      </w:r>
    </w:p>
    <w:p w14:paraId="152E6B5E" w14:textId="77777777" w:rsidR="00982ABF" w:rsidRPr="00EF7DEF" w:rsidRDefault="00982ABF" w:rsidP="00A07209">
      <w:pPr>
        <w:numPr>
          <w:ilvl w:val="3"/>
          <w:numId w:val="397"/>
        </w:numPr>
        <w:tabs>
          <w:tab w:val="num" w:pos="1800"/>
        </w:tabs>
        <w:spacing w:after="60" w:line="240" w:lineRule="auto"/>
        <w:ind w:left="1800"/>
      </w:pPr>
      <w:r>
        <w:t>Signing correspondence communicating and documenting IRB decisions</w:t>
      </w:r>
    </w:p>
    <w:p w14:paraId="30D9C121" w14:textId="77777777" w:rsidR="00982ABF" w:rsidRPr="00EF7DEF" w:rsidRDefault="00982ABF" w:rsidP="00A07209">
      <w:pPr>
        <w:numPr>
          <w:ilvl w:val="3"/>
          <w:numId w:val="397"/>
        </w:numPr>
        <w:tabs>
          <w:tab w:val="num" w:pos="1800"/>
        </w:tabs>
        <w:spacing w:after="60" w:line="240" w:lineRule="auto"/>
        <w:ind w:left="1800"/>
      </w:pPr>
      <w:r>
        <w:t>Reviewing and approving research by expedited procedures</w:t>
      </w:r>
    </w:p>
    <w:p w14:paraId="2CD2C982" w14:textId="77777777" w:rsidR="00982ABF" w:rsidRPr="00EF7DEF" w:rsidRDefault="00982ABF" w:rsidP="00A07209">
      <w:pPr>
        <w:numPr>
          <w:ilvl w:val="3"/>
          <w:numId w:val="397"/>
        </w:numPr>
        <w:tabs>
          <w:tab w:val="num" w:pos="1800"/>
        </w:tabs>
        <w:spacing w:after="60" w:line="240" w:lineRule="auto"/>
        <w:ind w:left="1800"/>
      </w:pPr>
      <w:r>
        <w:t>Participating in the development of meeting agendas, policies, procedures, and educational efforts to support the human research protection program</w:t>
      </w:r>
    </w:p>
    <w:p w14:paraId="2D8954BF" w14:textId="77777777" w:rsidR="00982ABF" w:rsidRPr="00EF7DEF" w:rsidRDefault="00982ABF" w:rsidP="00A07209">
      <w:pPr>
        <w:numPr>
          <w:ilvl w:val="3"/>
          <w:numId w:val="397"/>
        </w:numPr>
        <w:tabs>
          <w:tab w:val="num" w:pos="1800"/>
        </w:tabs>
        <w:spacing w:after="60" w:line="240" w:lineRule="auto"/>
        <w:ind w:left="1800"/>
      </w:pPr>
      <w:r>
        <w:t>Maintaining a current knowledge of and assuring compliance with relevant regulations, laws, and policies related to the protection of human subjects</w:t>
      </w:r>
    </w:p>
    <w:p w14:paraId="0884F909" w14:textId="77777777" w:rsidR="00982ABF" w:rsidRPr="00EF7DEF" w:rsidRDefault="00982ABF" w:rsidP="00A07209">
      <w:pPr>
        <w:numPr>
          <w:ilvl w:val="3"/>
          <w:numId w:val="397"/>
        </w:numPr>
        <w:tabs>
          <w:tab w:val="num" w:pos="1800"/>
        </w:tabs>
        <w:spacing w:after="60" w:line="240" w:lineRule="auto"/>
        <w:ind w:left="1800"/>
      </w:pPr>
      <w:r>
        <w:t>Regularly consulting with the Office of Responsible Research Practices director and staff regarding IRB issues</w:t>
      </w:r>
    </w:p>
    <w:p w14:paraId="705272FB" w14:textId="77777777" w:rsidR="00982ABF" w:rsidRPr="00EF7DEF" w:rsidRDefault="00982ABF" w:rsidP="00A07209">
      <w:pPr>
        <w:numPr>
          <w:ilvl w:val="3"/>
          <w:numId w:val="397"/>
        </w:numPr>
        <w:tabs>
          <w:tab w:val="num" w:pos="1800"/>
        </w:tabs>
        <w:spacing w:after="60" w:line="240" w:lineRule="auto"/>
        <w:ind w:left="1800"/>
      </w:pPr>
      <w:r>
        <w:t>Assisting with investigations and review of alleged noncompliance with human subjects protections requirements as specified by HRPP policy [</w:t>
      </w:r>
      <w:hyperlink r:id="rId407" w:history="1">
        <w:r>
          <w:rPr>
            <w:rStyle w:val="Hyperlink"/>
          </w:rPr>
          <w:t>Noncompliance</w:t>
        </w:r>
      </w:hyperlink>
      <w:r>
        <w:t>]</w:t>
      </w:r>
    </w:p>
    <w:p w14:paraId="2612078A" w14:textId="77777777" w:rsidR="00982ABF" w:rsidRPr="00EF7DEF" w:rsidRDefault="00982ABF" w:rsidP="00A07209">
      <w:pPr>
        <w:numPr>
          <w:ilvl w:val="3"/>
          <w:numId w:val="397"/>
        </w:numPr>
        <w:tabs>
          <w:tab w:val="num" w:pos="1800"/>
        </w:tabs>
        <w:spacing w:after="0" w:line="240" w:lineRule="auto"/>
        <w:ind w:left="1800"/>
      </w:pPr>
      <w:r>
        <w:t>Serving as a member of the IRB Policy Committee and participating in the development of policies, procedures, and institutional efforts to promote a culture of shared responsibility for the safety and welfare of research participants</w:t>
      </w:r>
    </w:p>
    <w:p w14:paraId="1CB7F275" w14:textId="77777777" w:rsidR="00982ABF" w:rsidRPr="00EF7DEF" w:rsidRDefault="00982ABF" w:rsidP="00982ABF"/>
    <w:p w14:paraId="57DD2441" w14:textId="77777777" w:rsidR="00982ABF" w:rsidRDefault="00982ABF" w:rsidP="00A07209">
      <w:pPr>
        <w:numPr>
          <w:ilvl w:val="1"/>
          <w:numId w:val="397"/>
        </w:numPr>
        <w:spacing w:after="0" w:line="240" w:lineRule="auto"/>
        <w:ind w:left="720" w:hanging="360"/>
        <w:rPr>
          <w:b/>
        </w:rPr>
      </w:pPr>
      <w:r>
        <w:rPr>
          <w:b/>
        </w:rPr>
        <w:t>Vice Chairs</w:t>
      </w:r>
    </w:p>
    <w:p w14:paraId="59C4C2D4" w14:textId="77777777" w:rsidR="006B4A8C" w:rsidRPr="006B4A8C" w:rsidRDefault="006B4A8C" w:rsidP="006B4A8C">
      <w:pPr>
        <w:spacing w:after="0" w:line="240" w:lineRule="auto"/>
        <w:ind w:left="720"/>
        <w:rPr>
          <w:b/>
        </w:rPr>
      </w:pPr>
    </w:p>
    <w:p w14:paraId="6C732A76" w14:textId="77777777" w:rsidR="00982ABF" w:rsidRDefault="00982ABF" w:rsidP="00A07209">
      <w:pPr>
        <w:numPr>
          <w:ilvl w:val="2"/>
          <w:numId w:val="397"/>
        </w:numPr>
        <w:spacing w:after="0" w:line="240" w:lineRule="auto"/>
        <w:ind w:left="1080" w:hanging="360"/>
      </w:pPr>
      <w:r>
        <w:t>the vice chair of each IRB is appointed by the institutional official and/or vice president for research and selected based on experience and expertise from among current and former IRB members. Each vice chair serves a three-year term of service (with renewable terms of one to three years).</w:t>
      </w:r>
    </w:p>
    <w:p w14:paraId="1930DCD7" w14:textId="77777777" w:rsidR="006B4A8C" w:rsidRPr="006B4A8C" w:rsidRDefault="006B4A8C" w:rsidP="006B4A8C">
      <w:pPr>
        <w:spacing w:after="0" w:line="240" w:lineRule="auto"/>
        <w:ind w:left="1080"/>
      </w:pPr>
    </w:p>
    <w:p w14:paraId="0294F435" w14:textId="77777777" w:rsidR="00982ABF" w:rsidRDefault="00982ABF" w:rsidP="00A07209">
      <w:pPr>
        <w:numPr>
          <w:ilvl w:val="2"/>
          <w:numId w:val="397"/>
        </w:numPr>
        <w:spacing w:after="0" w:line="240" w:lineRule="auto"/>
        <w:ind w:left="1080" w:hanging="360"/>
      </w:pPr>
      <w:r>
        <w:t xml:space="preserve">The vice chairs support the role and responsibilities of the IRB chair. The vice chairs attend IRB meetings and chair convened meetings when required. The vice chairs assume duties as delegated by the chairs. </w:t>
      </w:r>
    </w:p>
    <w:p w14:paraId="27694F66" w14:textId="77777777" w:rsidR="006B4A8C" w:rsidRPr="006B4A8C" w:rsidRDefault="006B4A8C" w:rsidP="006B4A8C">
      <w:pPr>
        <w:spacing w:after="0" w:line="240" w:lineRule="auto"/>
      </w:pPr>
    </w:p>
    <w:p w14:paraId="0E17D41A" w14:textId="77777777" w:rsidR="00982ABF" w:rsidRPr="00EF7DEF" w:rsidRDefault="00982ABF" w:rsidP="00A07209">
      <w:pPr>
        <w:numPr>
          <w:ilvl w:val="2"/>
          <w:numId w:val="397"/>
        </w:numPr>
        <w:spacing w:after="0" w:line="240" w:lineRule="auto"/>
        <w:ind w:left="1080" w:hanging="360"/>
      </w:pPr>
      <w:r>
        <w:t>Vice chairs are members of the IRB Policy Committee and work with chairs, IRB members, and ORRP staff to develop and implement policies and procedures to assure the efficiency and effectiveness of the human research protection program.</w:t>
      </w:r>
    </w:p>
    <w:p w14:paraId="43309DF8" w14:textId="77777777" w:rsidR="00982ABF" w:rsidRPr="00EF7DEF" w:rsidRDefault="00982ABF" w:rsidP="00982ABF">
      <w:pPr>
        <w:rPr>
          <w:b/>
        </w:rPr>
      </w:pPr>
    </w:p>
    <w:p w14:paraId="3B291999" w14:textId="77777777" w:rsidR="00982ABF" w:rsidRPr="00EF7DEF" w:rsidRDefault="00982ABF" w:rsidP="00A07209">
      <w:pPr>
        <w:numPr>
          <w:ilvl w:val="1"/>
          <w:numId w:val="397"/>
        </w:numPr>
        <w:spacing w:after="0" w:line="240" w:lineRule="auto"/>
        <w:ind w:left="720" w:hanging="360"/>
        <w:rPr>
          <w:b/>
        </w:rPr>
      </w:pPr>
      <w:r>
        <w:rPr>
          <w:b/>
        </w:rPr>
        <w:t>IRB Members</w:t>
      </w:r>
    </w:p>
    <w:p w14:paraId="32C7C8A4" w14:textId="77777777" w:rsidR="00982ABF" w:rsidRPr="00EF7DEF" w:rsidRDefault="00982ABF" w:rsidP="00982ABF"/>
    <w:p w14:paraId="35690F0D" w14:textId="77777777" w:rsidR="00982ABF" w:rsidRPr="00EF7DEF" w:rsidRDefault="00982ABF" w:rsidP="00982ABF">
      <w:pPr>
        <w:spacing w:after="60"/>
        <w:ind w:left="720"/>
      </w:pPr>
      <w:r>
        <w:t>Each IRB member is appointed by the institutional official and/or vice president for research and serves a three-year term of service (with renewable terms of one to three years). IRB member responsibilities include all of the following:</w:t>
      </w:r>
    </w:p>
    <w:p w14:paraId="1A73268A" w14:textId="77777777" w:rsidR="00982ABF" w:rsidRPr="00EF7DEF" w:rsidRDefault="00982ABF" w:rsidP="00A07209">
      <w:pPr>
        <w:numPr>
          <w:ilvl w:val="3"/>
          <w:numId w:val="397"/>
        </w:numPr>
        <w:spacing w:after="60" w:line="240" w:lineRule="auto"/>
        <w:ind w:left="1440"/>
      </w:pPr>
      <w:r>
        <w:t xml:space="preserve">Attending IRB meetings (see attendance requirements for the unaffiliated member and the member who represents the perspective of participants in </w:t>
      </w:r>
      <w:hyperlink w:anchor="section3" w:history="1">
        <w:r>
          <w:rPr>
            <w:rStyle w:val="Hyperlink"/>
          </w:rPr>
          <w:t>Section 3. A.</w:t>
        </w:r>
      </w:hyperlink>
      <w:r>
        <w:t xml:space="preserve"> above) and actively participating in the review of research, unless arrangements have been made for the alternate’s attendance</w:t>
      </w:r>
    </w:p>
    <w:p w14:paraId="4E9A342E" w14:textId="77777777" w:rsidR="00982ABF" w:rsidRPr="00EF7DEF" w:rsidRDefault="00982ABF" w:rsidP="00A07209">
      <w:pPr>
        <w:numPr>
          <w:ilvl w:val="3"/>
          <w:numId w:val="397"/>
        </w:numPr>
        <w:spacing w:after="60" w:line="240" w:lineRule="auto"/>
        <w:ind w:left="1440"/>
      </w:pPr>
      <w:r>
        <w:lastRenderedPageBreak/>
        <w:t>Completing initial training in human subjects protection for IRB members prior to voting on any research, with continuing education every three years and as provided</w:t>
      </w:r>
    </w:p>
    <w:p w14:paraId="0CD09D75" w14:textId="77777777" w:rsidR="00982ABF" w:rsidRPr="00EF7DEF" w:rsidRDefault="00982ABF" w:rsidP="00A07209">
      <w:pPr>
        <w:numPr>
          <w:ilvl w:val="3"/>
          <w:numId w:val="397"/>
        </w:numPr>
        <w:spacing w:after="60" w:line="240" w:lineRule="auto"/>
        <w:ind w:left="1440"/>
      </w:pPr>
      <w:r>
        <w:t>Understanding and applying the principles of the Belmont Report and the federal regulations related to the protection of human subjects</w:t>
      </w:r>
    </w:p>
    <w:p w14:paraId="3A3555B0" w14:textId="77777777" w:rsidR="00982ABF" w:rsidRPr="00EF7DEF" w:rsidRDefault="00982ABF" w:rsidP="00A07209">
      <w:pPr>
        <w:numPr>
          <w:ilvl w:val="3"/>
          <w:numId w:val="397"/>
        </w:numPr>
        <w:spacing w:after="60" w:line="240" w:lineRule="auto"/>
        <w:ind w:left="1440"/>
      </w:pPr>
      <w:r>
        <w:t>Providing timely written comments on research undergoing IRB review, when required</w:t>
      </w:r>
    </w:p>
    <w:p w14:paraId="2B252604" w14:textId="77777777" w:rsidR="00982ABF" w:rsidRPr="00EF7DEF" w:rsidRDefault="00982ABF" w:rsidP="00A07209">
      <w:pPr>
        <w:numPr>
          <w:ilvl w:val="3"/>
          <w:numId w:val="397"/>
        </w:numPr>
        <w:tabs>
          <w:tab w:val="num" w:pos="1800"/>
        </w:tabs>
        <w:spacing w:after="60" w:line="240" w:lineRule="auto"/>
        <w:ind w:left="1440"/>
        <w:rPr>
          <w:i/>
        </w:rPr>
      </w:pPr>
      <w:r>
        <w:t xml:space="preserve">Annually completing the electronic </w:t>
      </w:r>
      <w:r>
        <w:rPr>
          <w:i/>
        </w:rPr>
        <w:t xml:space="preserve">Financial Conflict of Interest Form </w:t>
      </w:r>
      <w:r>
        <w:t>and disclosing any potential conflicts prior to IRB review of the research for which a conflict may exist</w:t>
      </w:r>
    </w:p>
    <w:p w14:paraId="4B304291" w14:textId="77777777" w:rsidR="00982ABF" w:rsidRPr="00EF7DEF" w:rsidRDefault="00982ABF" w:rsidP="00A07209">
      <w:pPr>
        <w:numPr>
          <w:ilvl w:val="3"/>
          <w:numId w:val="397"/>
        </w:numPr>
        <w:tabs>
          <w:tab w:val="num" w:pos="1800"/>
        </w:tabs>
        <w:spacing w:after="60" w:line="240" w:lineRule="auto"/>
        <w:ind w:left="1440"/>
        <w:rPr>
          <w:i/>
        </w:rPr>
      </w:pPr>
      <w:r>
        <w:t xml:space="preserve">Maintaining confidentiality of IRB-related information in accordance with the terms and conditions of the university's </w:t>
      </w:r>
      <w:r>
        <w:rPr>
          <w:i/>
        </w:rPr>
        <w:t>IRB Member Confidentiality Agreement</w:t>
      </w:r>
    </w:p>
    <w:p w14:paraId="157689B9" w14:textId="77777777" w:rsidR="00982ABF" w:rsidRPr="00EF7DEF" w:rsidRDefault="00982ABF" w:rsidP="00A07209">
      <w:pPr>
        <w:numPr>
          <w:ilvl w:val="3"/>
          <w:numId w:val="397"/>
        </w:numPr>
        <w:tabs>
          <w:tab w:val="num" w:pos="1800"/>
        </w:tabs>
        <w:spacing w:after="60" w:line="240" w:lineRule="auto"/>
        <w:ind w:left="1440"/>
      </w:pPr>
      <w:r>
        <w:t>Maintaining a current knowledge of and assuring compliance with relevant regulations, laws, and policies related to the protection of human subjects</w:t>
      </w:r>
    </w:p>
    <w:p w14:paraId="7F8E37E6" w14:textId="77777777" w:rsidR="00982ABF" w:rsidRPr="00EF7DEF" w:rsidRDefault="00982ABF" w:rsidP="00A07209">
      <w:pPr>
        <w:numPr>
          <w:ilvl w:val="3"/>
          <w:numId w:val="397"/>
        </w:numPr>
        <w:tabs>
          <w:tab w:val="num" w:pos="1800"/>
        </w:tabs>
        <w:spacing w:after="60" w:line="240" w:lineRule="auto"/>
        <w:ind w:left="1440"/>
      </w:pPr>
      <w:r>
        <w:t>Working with investigators to resolve matters relating to research approval and participating in educational efforts for investigators, research staff, and new IRB members</w:t>
      </w:r>
    </w:p>
    <w:p w14:paraId="0E036D84" w14:textId="77777777" w:rsidR="00982ABF" w:rsidRPr="00EF7DEF" w:rsidRDefault="00982ABF" w:rsidP="00A07209">
      <w:pPr>
        <w:numPr>
          <w:ilvl w:val="3"/>
          <w:numId w:val="397"/>
        </w:numPr>
        <w:spacing w:after="60" w:line="240" w:lineRule="auto"/>
        <w:ind w:left="1440"/>
      </w:pPr>
      <w:r>
        <w:t>Participating in the discussion of issues affecting the human research protection program and contributing to policy development, as appropriate</w:t>
      </w:r>
    </w:p>
    <w:p w14:paraId="348D1747" w14:textId="77777777" w:rsidR="00982ABF" w:rsidRPr="00EF7DEF" w:rsidRDefault="00982ABF" w:rsidP="00A07209">
      <w:pPr>
        <w:numPr>
          <w:ilvl w:val="3"/>
          <w:numId w:val="397"/>
        </w:numPr>
        <w:tabs>
          <w:tab w:val="num" w:pos="1800"/>
        </w:tabs>
        <w:spacing w:after="0" w:line="240" w:lineRule="auto"/>
        <w:ind w:left="1440"/>
      </w:pPr>
      <w:r>
        <w:t>Reviewing and approving research by expedited procedures, when designated by the IRB chair to perform this review</w:t>
      </w:r>
    </w:p>
    <w:p w14:paraId="23C2CCB8" w14:textId="77777777" w:rsidR="00982ABF" w:rsidRPr="00EF7DEF" w:rsidRDefault="00982ABF" w:rsidP="00982ABF"/>
    <w:p w14:paraId="03348517" w14:textId="77777777" w:rsidR="00982ABF" w:rsidRDefault="00982ABF" w:rsidP="00A07209">
      <w:pPr>
        <w:numPr>
          <w:ilvl w:val="1"/>
          <w:numId w:val="397"/>
        </w:numPr>
        <w:spacing w:after="0" w:line="240" w:lineRule="auto"/>
        <w:ind w:left="720" w:hanging="360"/>
        <w:rPr>
          <w:b/>
        </w:rPr>
      </w:pPr>
      <w:bookmarkStart w:id="377" w:name="alternates"/>
      <w:bookmarkEnd w:id="377"/>
      <w:r>
        <w:rPr>
          <w:b/>
        </w:rPr>
        <w:t>Alternates</w:t>
      </w:r>
    </w:p>
    <w:p w14:paraId="10E27975" w14:textId="77777777" w:rsidR="006B4A8C" w:rsidRPr="006B4A8C" w:rsidRDefault="006B4A8C" w:rsidP="006B4A8C">
      <w:pPr>
        <w:spacing w:after="0" w:line="240" w:lineRule="auto"/>
        <w:rPr>
          <w:b/>
        </w:rPr>
      </w:pPr>
    </w:p>
    <w:p w14:paraId="5B5A3686" w14:textId="77777777" w:rsidR="00982ABF" w:rsidRPr="006B4A8C" w:rsidRDefault="00982ABF" w:rsidP="00A07209">
      <w:pPr>
        <w:pStyle w:val="ListParagraph"/>
        <w:numPr>
          <w:ilvl w:val="0"/>
          <w:numId w:val="464"/>
        </w:numPr>
        <w:spacing w:after="0" w:line="240" w:lineRule="auto"/>
      </w:pPr>
      <w:r>
        <w:t>Federal regulations allow organizations to appoint an alternate(s) to substitute for an IRB member(s) who is unable to attend so that IRB business may move forward in a timely manner. Alternates are appointed by the same process and for the same length of time as IRB members.</w:t>
      </w:r>
    </w:p>
    <w:p w14:paraId="2EEAAC4A" w14:textId="77777777" w:rsidR="006B4A8C" w:rsidRPr="006B4A8C" w:rsidRDefault="006B4A8C" w:rsidP="006B4A8C">
      <w:pPr>
        <w:spacing w:after="0" w:line="240" w:lineRule="auto"/>
        <w:ind w:left="360"/>
      </w:pPr>
    </w:p>
    <w:p w14:paraId="7BE06527" w14:textId="77777777" w:rsidR="00982ABF" w:rsidRDefault="00982ABF" w:rsidP="00A07209">
      <w:pPr>
        <w:numPr>
          <w:ilvl w:val="0"/>
          <w:numId w:val="464"/>
        </w:numPr>
        <w:spacing w:after="0" w:line="240" w:lineRule="auto"/>
      </w:pPr>
      <w:r>
        <w:t>IRB alternates function as regular board members when they are in attendance. An alternate may substitute for the primary IRB member for an entire meeting or at any time during a meeting. Alternates and IRB members have equal responsibilities (i.e., “job-share”) in terms of required education, service and time commitments, and participation.</w:t>
      </w:r>
    </w:p>
    <w:p w14:paraId="6A9573F0" w14:textId="77777777" w:rsidR="006B4A8C" w:rsidRPr="006B4A8C" w:rsidRDefault="006B4A8C" w:rsidP="006B4A8C">
      <w:pPr>
        <w:spacing w:after="0" w:line="240" w:lineRule="auto"/>
        <w:ind w:left="-720"/>
      </w:pPr>
    </w:p>
    <w:p w14:paraId="028DB840" w14:textId="77777777" w:rsidR="00982ABF" w:rsidRDefault="00982ABF" w:rsidP="00A07209">
      <w:pPr>
        <w:numPr>
          <w:ilvl w:val="0"/>
          <w:numId w:val="464"/>
        </w:numPr>
        <w:spacing w:after="0" w:line="240" w:lineRule="auto"/>
      </w:pPr>
      <w:r>
        <w:t>Each alternate member is paired with one or more regular members with comparable experience and expertise, as possible. The IRB roster identifies the primary member(s) for whom each alternate may substitute. Minimally, alternates and members are paired by scientific “class,” as physician scientists (when applicable), other scientists, and non-scientists. The IRB roster will identify the member(s) for whom each alternate can substitute.</w:t>
      </w:r>
    </w:p>
    <w:p w14:paraId="11E21E9C" w14:textId="77777777" w:rsidR="006B4A8C" w:rsidRPr="006B4A8C" w:rsidRDefault="006B4A8C" w:rsidP="006B4A8C">
      <w:pPr>
        <w:spacing w:after="0" w:line="240" w:lineRule="auto"/>
        <w:ind w:left="-720"/>
      </w:pPr>
    </w:p>
    <w:p w14:paraId="2ABCF25C" w14:textId="77777777" w:rsidR="00982ABF" w:rsidRPr="00EF7DEF" w:rsidRDefault="00982ABF" w:rsidP="00A07209">
      <w:pPr>
        <w:numPr>
          <w:ilvl w:val="0"/>
          <w:numId w:val="464"/>
        </w:numPr>
        <w:spacing w:after="0" w:line="240" w:lineRule="auto"/>
      </w:pPr>
      <w:r>
        <w:t>When an alternate substitutes for a regular IRB member, the alternate receives and reviews the same materials that the regular member received (or would have received), and IRB minutes document that an alternate replaced a primary member.</w:t>
      </w:r>
    </w:p>
    <w:p w14:paraId="2DAA79EE" w14:textId="77777777" w:rsidR="00982ABF" w:rsidRPr="00EF7DEF" w:rsidRDefault="00982ABF" w:rsidP="00982ABF">
      <w:pPr>
        <w:ind w:left="720"/>
      </w:pPr>
    </w:p>
    <w:p w14:paraId="00147662" w14:textId="77777777" w:rsidR="00982ABF" w:rsidRDefault="00982ABF" w:rsidP="00A07209">
      <w:pPr>
        <w:numPr>
          <w:ilvl w:val="0"/>
          <w:numId w:val="397"/>
        </w:numPr>
        <w:spacing w:after="0" w:line="240" w:lineRule="auto"/>
        <w:ind w:left="360" w:hanging="360"/>
        <w:rPr>
          <w:b/>
        </w:rPr>
      </w:pPr>
      <w:r>
        <w:rPr>
          <w:b/>
        </w:rPr>
        <w:t>Consultants</w:t>
      </w:r>
    </w:p>
    <w:p w14:paraId="2C0E35B1" w14:textId="77777777" w:rsidR="006B4A8C" w:rsidRPr="006B4A8C" w:rsidRDefault="006B4A8C" w:rsidP="006B4A8C">
      <w:pPr>
        <w:spacing w:after="0" w:line="240" w:lineRule="auto"/>
        <w:ind w:left="360"/>
        <w:rPr>
          <w:b/>
        </w:rPr>
      </w:pPr>
    </w:p>
    <w:p w14:paraId="382E8199" w14:textId="77777777" w:rsidR="00982ABF" w:rsidRPr="00EF7DEF" w:rsidRDefault="00982ABF" w:rsidP="00A07209">
      <w:pPr>
        <w:numPr>
          <w:ilvl w:val="1"/>
          <w:numId w:val="465"/>
        </w:numPr>
        <w:spacing w:after="60" w:line="240" w:lineRule="auto"/>
        <w:ind w:left="1080"/>
      </w:pPr>
      <w:r>
        <w:t>For research that requires expertise beyond or in addition to that available on the IRBs (including application of laws outside the state of Ohio), or involves a vulnerable population where no IRB member knowledgeable about or experienced in working with these participants will be present at the meeting, one of the following will occur:</w:t>
      </w:r>
    </w:p>
    <w:p w14:paraId="6B2E97D5" w14:textId="77777777" w:rsidR="00982ABF" w:rsidRPr="00EF7DEF" w:rsidRDefault="00982ABF" w:rsidP="00A07209">
      <w:pPr>
        <w:numPr>
          <w:ilvl w:val="3"/>
          <w:numId w:val="466"/>
        </w:numPr>
        <w:spacing w:after="60" w:line="240" w:lineRule="auto"/>
        <w:ind w:left="1800"/>
      </w:pPr>
      <w:r>
        <w:t>ORRP staff may identify the need for review by a consultant during the screening of a protocol submission. The ORRP staff member will invite an individual with the necessary expertise to serve as a consultant and assist the IRB in its review.</w:t>
      </w:r>
    </w:p>
    <w:p w14:paraId="7583AAA1" w14:textId="77777777" w:rsidR="00982ABF" w:rsidRDefault="00982ABF" w:rsidP="00A07209">
      <w:pPr>
        <w:numPr>
          <w:ilvl w:val="3"/>
          <w:numId w:val="466"/>
        </w:numPr>
        <w:spacing w:after="0" w:line="240" w:lineRule="auto"/>
        <w:ind w:left="1800"/>
      </w:pPr>
      <w:r>
        <w:lastRenderedPageBreak/>
        <w:t>The primary reviewers or IRB membership may identify the need for a consultant during their review. The primary reviewer(s) will work with an ORRP staff member and/or IRB chair to invite an individual with the necessary expertise to serve as a consultant and assist the IRB in its review.</w:t>
      </w:r>
    </w:p>
    <w:p w14:paraId="5735E430" w14:textId="77777777" w:rsidR="006B4A8C" w:rsidRPr="006B4A8C" w:rsidRDefault="006B4A8C" w:rsidP="006B4A8C">
      <w:pPr>
        <w:spacing w:after="0" w:line="240" w:lineRule="auto"/>
        <w:ind w:left="1800"/>
      </w:pPr>
    </w:p>
    <w:p w14:paraId="497FEF76" w14:textId="77777777" w:rsidR="00982ABF" w:rsidRDefault="00982ABF" w:rsidP="00A07209">
      <w:pPr>
        <w:pStyle w:val="ListParagraph"/>
        <w:numPr>
          <w:ilvl w:val="2"/>
          <w:numId w:val="466"/>
        </w:numPr>
        <w:spacing w:after="0" w:line="240" w:lineRule="auto"/>
      </w:pPr>
      <w:r>
        <w:t>Consultants with potential conflicts of interest may not provide information to the IRB. Conflicts will be identified as described by HRPP policy [</w:t>
      </w:r>
      <w:hyperlink r:id="rId408" w:history="1">
        <w:r>
          <w:rPr>
            <w:rStyle w:val="Hyperlink"/>
          </w:rPr>
          <w:t>IRB Member and Consultant Conflict of Interest</w:t>
        </w:r>
      </w:hyperlink>
      <w:r>
        <w:t>].</w:t>
      </w:r>
    </w:p>
    <w:p w14:paraId="4C125C88" w14:textId="77777777" w:rsidR="006B4A8C" w:rsidRPr="006B4A8C" w:rsidRDefault="006B4A8C" w:rsidP="006B4A8C">
      <w:pPr>
        <w:pStyle w:val="ListParagraph"/>
        <w:spacing w:after="0" w:line="240" w:lineRule="auto"/>
        <w:ind w:left="1008"/>
      </w:pPr>
    </w:p>
    <w:p w14:paraId="77749F00" w14:textId="77777777" w:rsidR="00982ABF" w:rsidRPr="006B4A8C" w:rsidRDefault="00982ABF" w:rsidP="00A07209">
      <w:pPr>
        <w:pStyle w:val="ListParagraph"/>
        <w:numPr>
          <w:ilvl w:val="2"/>
          <w:numId w:val="466"/>
        </w:numPr>
        <w:spacing w:after="60" w:line="240" w:lineRule="auto"/>
      </w:pPr>
      <w:r>
        <w:t>The use of a consultant and the result of the consultant’s review will be shared with the IRB by either having the consultant attend and present to the convened IRB or by having the consultant provide a written report to the IRB.</w:t>
      </w:r>
    </w:p>
    <w:p w14:paraId="5004BBC9" w14:textId="77777777" w:rsidR="00982ABF" w:rsidRPr="00EF7DEF" w:rsidRDefault="00982ABF" w:rsidP="00A07209">
      <w:pPr>
        <w:numPr>
          <w:ilvl w:val="3"/>
          <w:numId w:val="466"/>
        </w:numPr>
        <w:spacing w:after="60" w:line="240" w:lineRule="auto"/>
        <w:ind w:left="1800"/>
      </w:pPr>
      <w:r>
        <w:t>If the consultant presents at a convened meeting, the IRB minutes will document key information provided by the consultant. The consultant will not vote with the IRB.</w:t>
      </w:r>
    </w:p>
    <w:p w14:paraId="60A4E05D" w14:textId="77777777" w:rsidR="00982ABF" w:rsidRPr="00EF7DEF" w:rsidRDefault="00982ABF" w:rsidP="00A07209">
      <w:pPr>
        <w:numPr>
          <w:ilvl w:val="3"/>
          <w:numId w:val="466"/>
        </w:numPr>
        <w:spacing w:after="0" w:line="240" w:lineRule="auto"/>
        <w:ind w:left="1800"/>
      </w:pPr>
      <w:r>
        <w:t>If the consultant provides a written report, the report will be included in the protocol records.</w:t>
      </w:r>
    </w:p>
    <w:p w14:paraId="30404187" w14:textId="77777777" w:rsidR="00982ABF" w:rsidRPr="00EF7DEF" w:rsidRDefault="00982ABF" w:rsidP="00982ABF">
      <w:pPr>
        <w:rPr>
          <w:rStyle w:val="Strong"/>
          <w:b w:val="0"/>
          <w:bCs/>
          <w:color w:val="000000"/>
        </w:rPr>
      </w:pPr>
    </w:p>
    <w:p w14:paraId="2C1EA78B" w14:textId="77777777" w:rsidR="00982ABF" w:rsidRDefault="00982ABF" w:rsidP="00A07209">
      <w:pPr>
        <w:numPr>
          <w:ilvl w:val="0"/>
          <w:numId w:val="466"/>
        </w:numPr>
        <w:spacing w:after="0" w:line="240" w:lineRule="auto"/>
        <w:rPr>
          <w:b/>
        </w:rPr>
      </w:pPr>
      <w:r>
        <w:rPr>
          <w:b/>
        </w:rPr>
        <w:t>Membership Rosters</w:t>
      </w:r>
    </w:p>
    <w:p w14:paraId="2F0E4E9F" w14:textId="77777777" w:rsidR="006B4A8C" w:rsidRPr="006B4A8C" w:rsidRDefault="006B4A8C" w:rsidP="006B4A8C">
      <w:pPr>
        <w:spacing w:after="0" w:line="240" w:lineRule="auto"/>
        <w:ind w:left="1224"/>
        <w:rPr>
          <w:b/>
        </w:rPr>
      </w:pPr>
    </w:p>
    <w:p w14:paraId="52EAFC68" w14:textId="77777777" w:rsidR="00982ABF" w:rsidRPr="00EF7DEF" w:rsidRDefault="00982ABF" w:rsidP="00A07209">
      <w:pPr>
        <w:numPr>
          <w:ilvl w:val="1"/>
          <w:numId w:val="396"/>
        </w:numPr>
        <w:spacing w:after="60" w:line="240" w:lineRule="auto"/>
        <w:ind w:left="1080" w:hanging="360"/>
      </w:pPr>
      <w:r>
        <w:t>Rosters for each IRB contain the following information for each member and alternate:</w:t>
      </w:r>
    </w:p>
    <w:p w14:paraId="1BE20909" w14:textId="77777777" w:rsidR="00982ABF" w:rsidRPr="00EF7DEF" w:rsidRDefault="00982ABF" w:rsidP="00A07209">
      <w:pPr>
        <w:numPr>
          <w:ilvl w:val="0"/>
          <w:numId w:val="395"/>
        </w:numPr>
        <w:spacing w:after="60" w:line="240" w:lineRule="auto"/>
      </w:pPr>
      <w:r>
        <w:t>Name</w:t>
      </w:r>
    </w:p>
    <w:p w14:paraId="49815D49" w14:textId="77777777" w:rsidR="00982ABF" w:rsidRPr="00EF7DEF" w:rsidRDefault="00982ABF" w:rsidP="00A07209">
      <w:pPr>
        <w:numPr>
          <w:ilvl w:val="0"/>
          <w:numId w:val="395"/>
        </w:numPr>
        <w:spacing w:after="60" w:line="240" w:lineRule="auto"/>
      </w:pPr>
      <w:r>
        <w:t>Earned degree(s)</w:t>
      </w:r>
    </w:p>
    <w:p w14:paraId="02E48A25" w14:textId="77777777" w:rsidR="00982ABF" w:rsidRPr="00EF7DEF" w:rsidRDefault="00982ABF" w:rsidP="00A07209">
      <w:pPr>
        <w:numPr>
          <w:ilvl w:val="0"/>
          <w:numId w:val="395"/>
        </w:numPr>
        <w:spacing w:after="60" w:line="240" w:lineRule="auto"/>
      </w:pPr>
      <w:r>
        <w:t>Chief anticipated contribution (board certifications, licenses, etc.)</w:t>
      </w:r>
    </w:p>
    <w:p w14:paraId="14947201" w14:textId="77777777" w:rsidR="00982ABF" w:rsidRPr="00EF7DEF" w:rsidRDefault="00982ABF" w:rsidP="00A07209">
      <w:pPr>
        <w:numPr>
          <w:ilvl w:val="0"/>
          <w:numId w:val="395"/>
        </w:numPr>
        <w:spacing w:after="60" w:line="240" w:lineRule="auto"/>
      </w:pPr>
      <w:r>
        <w:t>Special representation</w:t>
      </w:r>
    </w:p>
    <w:p w14:paraId="1DE64B90" w14:textId="77777777" w:rsidR="00982ABF" w:rsidRPr="00EF7DEF" w:rsidRDefault="00982ABF" w:rsidP="00A07209">
      <w:pPr>
        <w:numPr>
          <w:ilvl w:val="0"/>
          <w:numId w:val="395"/>
        </w:numPr>
        <w:spacing w:after="60" w:line="240" w:lineRule="auto"/>
      </w:pPr>
      <w:r>
        <w:t>Scientist status (physician, other, or non-scientist)</w:t>
      </w:r>
    </w:p>
    <w:p w14:paraId="26ED8A76" w14:textId="77777777" w:rsidR="00982ABF" w:rsidRPr="00EF7DEF" w:rsidRDefault="00982ABF" w:rsidP="00A07209">
      <w:pPr>
        <w:numPr>
          <w:ilvl w:val="0"/>
          <w:numId w:val="395"/>
        </w:numPr>
        <w:spacing w:after="60" w:line="240" w:lineRule="auto"/>
      </w:pPr>
      <w:r>
        <w:t>Affiliation (yes or no)</w:t>
      </w:r>
    </w:p>
    <w:p w14:paraId="01E59EB9" w14:textId="77777777" w:rsidR="00982ABF" w:rsidRDefault="00982ABF" w:rsidP="00A07209">
      <w:pPr>
        <w:numPr>
          <w:ilvl w:val="0"/>
          <w:numId w:val="395"/>
        </w:numPr>
        <w:spacing w:after="0" w:line="240" w:lineRule="auto"/>
      </w:pPr>
      <w:r>
        <w:t>Employment or other relationship with the university (e.g., paid or unpaid member of a university governing panel or board member (not including the IRBs), consultant, hospital volunteer, etc.)</w:t>
      </w:r>
    </w:p>
    <w:p w14:paraId="6106C81E" w14:textId="77777777" w:rsidR="006B4A8C" w:rsidRPr="006B4A8C" w:rsidRDefault="006B4A8C" w:rsidP="006B4A8C">
      <w:pPr>
        <w:spacing w:after="0" w:line="240" w:lineRule="auto"/>
        <w:ind w:left="1440"/>
      </w:pPr>
    </w:p>
    <w:p w14:paraId="5C38077B" w14:textId="77777777" w:rsidR="00982ABF" w:rsidRPr="00EF7DEF" w:rsidRDefault="00982ABF" w:rsidP="00A07209">
      <w:pPr>
        <w:numPr>
          <w:ilvl w:val="1"/>
          <w:numId w:val="396"/>
        </w:numPr>
        <w:spacing w:after="0" w:line="240" w:lineRule="auto"/>
        <w:ind w:left="1080" w:hanging="360"/>
      </w:pPr>
      <w:r>
        <w:t>Information for alternates includes also the member(s) for whom the alternate may substitute. Prisoner representatives are listed as “ad hoc” members on the Cancer and Biomedical Sciences IRB rosters and will only count toward quorum when he/she is in attendance and reviewing studies involving prisoners.</w:t>
      </w:r>
    </w:p>
    <w:p w14:paraId="6C83EFB1" w14:textId="77777777" w:rsidR="00982ABF" w:rsidRPr="00EF7DEF" w:rsidRDefault="00982ABF" w:rsidP="00982ABF"/>
    <w:p w14:paraId="1C8F5CBA" w14:textId="77777777" w:rsidR="00982ABF" w:rsidRDefault="00982ABF" w:rsidP="00A07209">
      <w:pPr>
        <w:numPr>
          <w:ilvl w:val="0"/>
          <w:numId w:val="466"/>
        </w:numPr>
        <w:spacing w:after="0" w:line="240" w:lineRule="auto"/>
        <w:rPr>
          <w:b/>
        </w:rPr>
      </w:pPr>
      <w:r>
        <w:rPr>
          <w:b/>
        </w:rPr>
        <w:t>Review of IRB Composition and Performance</w:t>
      </w:r>
    </w:p>
    <w:p w14:paraId="42E51620" w14:textId="77777777" w:rsidR="006B4A8C" w:rsidRPr="006B4A8C" w:rsidRDefault="006B4A8C" w:rsidP="006B4A8C">
      <w:pPr>
        <w:spacing w:after="0" w:line="240" w:lineRule="auto"/>
        <w:ind w:left="1224"/>
        <w:rPr>
          <w:b/>
        </w:rPr>
      </w:pPr>
    </w:p>
    <w:p w14:paraId="698E9932" w14:textId="77777777" w:rsidR="00982ABF" w:rsidRDefault="00982ABF" w:rsidP="00A07209">
      <w:pPr>
        <w:numPr>
          <w:ilvl w:val="1"/>
          <w:numId w:val="466"/>
        </w:numPr>
        <w:tabs>
          <w:tab w:val="left" w:pos="720"/>
        </w:tabs>
        <w:spacing w:after="0" w:line="240" w:lineRule="auto"/>
        <w:ind w:left="1152"/>
      </w:pPr>
      <w:r>
        <w:t>The composition of the IRBs is reviewed at least annually by the IRB chairs and ORRP staff to determine if adjustment of the membership or composition is necessary to meet regulatory and organizational requirements. IRB members are notified in writing by the institutional official when their services are requested or if they are no longer needed to serve.</w:t>
      </w:r>
    </w:p>
    <w:p w14:paraId="1E980F9F" w14:textId="77777777" w:rsidR="006B4A8C" w:rsidRPr="006B4A8C" w:rsidRDefault="006B4A8C" w:rsidP="006B4A8C">
      <w:pPr>
        <w:tabs>
          <w:tab w:val="left" w:pos="720"/>
          <w:tab w:val="left" w:pos="810"/>
        </w:tabs>
        <w:spacing w:after="0" w:line="240" w:lineRule="auto"/>
        <w:ind w:left="720"/>
      </w:pPr>
    </w:p>
    <w:p w14:paraId="4A9C1549" w14:textId="77777777" w:rsidR="00982ABF" w:rsidRPr="00EF7DEF" w:rsidRDefault="00982ABF" w:rsidP="00A07209">
      <w:pPr>
        <w:numPr>
          <w:ilvl w:val="1"/>
          <w:numId w:val="466"/>
        </w:numPr>
        <w:tabs>
          <w:tab w:val="left" w:pos="720"/>
        </w:tabs>
        <w:spacing w:after="0" w:line="240" w:lineRule="auto"/>
        <w:ind w:left="1080" w:hanging="360"/>
      </w:pPr>
      <w:r>
        <w:t xml:space="preserve">On an annual basis the IRB chairs, with input from ORRP staff, evaluate individual IRB member performance in terms of attendance, timeliness, and overall review quality. Feedback is provided to IRB members by the chair or designee. Recognition letters based on length/quality of service are also provided to members’ department chairs (or signatory officials), as applicable. </w:t>
      </w:r>
    </w:p>
    <w:p w14:paraId="60E97925" w14:textId="77777777" w:rsidR="00982ABF" w:rsidRPr="00EF7DEF" w:rsidRDefault="00982ABF" w:rsidP="00982ABF">
      <w:pPr>
        <w:tabs>
          <w:tab w:val="left" w:pos="720"/>
          <w:tab w:val="left" w:pos="810"/>
        </w:tabs>
      </w:pPr>
    </w:p>
    <w:p w14:paraId="77D9624B" w14:textId="77777777" w:rsidR="006B4A8C" w:rsidRDefault="00982ABF" w:rsidP="00A07209">
      <w:pPr>
        <w:numPr>
          <w:ilvl w:val="1"/>
          <w:numId w:val="466"/>
        </w:numPr>
        <w:tabs>
          <w:tab w:val="left" w:pos="720"/>
        </w:tabs>
        <w:spacing w:after="0" w:line="240" w:lineRule="auto"/>
        <w:ind w:left="1080" w:hanging="360"/>
      </w:pPr>
      <w:r>
        <w:t xml:space="preserve">The institutional official, ORRP director, or designee, with input from IRB members and ORRP staff, evaluates IRB chairs’ and vice chairs’ performance and provides feedback on an annual basis. The institutional official and/or vice president for research are responsible for addressing performance issues with the IRB chairs/vice chairs and for selecting new chairs and vice chairs when necessary. Recognition letters based on </w:t>
      </w:r>
      <w:r>
        <w:lastRenderedPageBreak/>
        <w:t>length/quality of service are also provided to IRB chairs’ and vice chairs’ department chairs (or signatory officials), as applicable.</w:t>
      </w:r>
    </w:p>
    <w:p w14:paraId="699CDFFD" w14:textId="77777777" w:rsidR="006B4A8C" w:rsidRPr="006B4A8C" w:rsidRDefault="006B4A8C" w:rsidP="006B4A8C">
      <w:pPr>
        <w:tabs>
          <w:tab w:val="left" w:pos="720"/>
          <w:tab w:val="left" w:pos="810"/>
        </w:tabs>
        <w:spacing w:after="0" w:line="240" w:lineRule="auto"/>
      </w:pPr>
    </w:p>
    <w:p w14:paraId="4249D9C8" w14:textId="77777777" w:rsidR="00982ABF" w:rsidRPr="00EF7DEF" w:rsidRDefault="00982ABF" w:rsidP="00A07209">
      <w:pPr>
        <w:numPr>
          <w:ilvl w:val="1"/>
          <w:numId w:val="466"/>
        </w:numPr>
        <w:tabs>
          <w:tab w:val="left" w:pos="720"/>
        </w:tabs>
        <w:spacing w:after="0" w:line="240" w:lineRule="auto"/>
        <w:ind w:left="1080" w:hanging="360"/>
      </w:pPr>
      <w:r>
        <w:t>ORRP staff will promptly update the roster when changes in IRB membership are made. Updated rosters are posted on the ORRP website.</w:t>
      </w:r>
    </w:p>
    <w:p w14:paraId="2634A493" w14:textId="77777777" w:rsidR="00982ABF" w:rsidRPr="00EF7DEF" w:rsidRDefault="00982ABF" w:rsidP="00982ABF">
      <w:pPr>
        <w:rPr>
          <w:rStyle w:val="Strong"/>
          <w:b w:val="0"/>
          <w:bCs/>
          <w:color w:val="000000"/>
        </w:rPr>
      </w:pPr>
    </w:p>
    <w:p w14:paraId="4C9A69DA" w14:textId="77777777" w:rsidR="00982ABF" w:rsidRDefault="00982ABF" w:rsidP="00A07209">
      <w:pPr>
        <w:numPr>
          <w:ilvl w:val="0"/>
          <w:numId w:val="466"/>
        </w:numPr>
        <w:spacing w:after="0" w:line="240" w:lineRule="auto"/>
        <w:ind w:left="360" w:hanging="360"/>
        <w:rPr>
          <w:rStyle w:val="Strong"/>
          <w:b w:val="0"/>
        </w:rPr>
      </w:pPr>
      <w:r>
        <w:rPr>
          <w:rStyle w:val="Strong"/>
        </w:rPr>
        <w:t>Applicable Regulations/Guidance</w:t>
      </w:r>
    </w:p>
    <w:p w14:paraId="5ADBB0DA" w14:textId="77777777" w:rsidR="006B4A8C" w:rsidRPr="006B4A8C" w:rsidRDefault="006B4A8C" w:rsidP="006B4A8C">
      <w:pPr>
        <w:spacing w:after="0" w:line="240" w:lineRule="auto"/>
        <w:ind w:left="360"/>
        <w:rPr>
          <w:rStyle w:val="Strong"/>
          <w:b w:val="0"/>
        </w:rPr>
      </w:pPr>
    </w:p>
    <w:p w14:paraId="391C812C" w14:textId="77777777" w:rsidR="00982ABF" w:rsidRDefault="00982ABF" w:rsidP="006B4A8C">
      <w:pPr>
        <w:ind w:left="360"/>
        <w:rPr>
          <w:rStyle w:val="Strong"/>
        </w:rPr>
      </w:pPr>
      <w:r>
        <w:rPr>
          <w:rStyle w:val="Strong"/>
        </w:rPr>
        <w:t xml:space="preserve">21 CFR 56.107, 21 CFR 56.108, 21 CFR 56.115, 45 CFR 46.103, 45 CFR 46.107, </w:t>
      </w:r>
      <w:r>
        <w:t xml:space="preserve">45 CFR 46.108, FDA Information Sheets: “A Self-Evaluation Checklist for IRBs,” FDA Information Sheets: Frequently Asked Questions: “IRB Membership,” </w:t>
      </w:r>
      <w:r>
        <w:rPr>
          <w:rStyle w:val="Strong"/>
        </w:rPr>
        <w:t>and “Written IRB Procedures: OHRP Guidance” (07/01/2011)</w:t>
      </w:r>
    </w:p>
    <w:p w14:paraId="159456FE" w14:textId="77777777" w:rsidR="006B4A8C" w:rsidRPr="006B4A8C" w:rsidRDefault="006B4A8C" w:rsidP="006B4A8C">
      <w:pPr>
        <w:rPr>
          <w:rStyle w:val="Strong"/>
        </w:rPr>
      </w:pPr>
    </w:p>
    <w:p w14:paraId="76DA183A" w14:textId="77777777" w:rsidR="00982ABF" w:rsidRPr="006B4A8C" w:rsidRDefault="00982ABF" w:rsidP="00A07209">
      <w:pPr>
        <w:numPr>
          <w:ilvl w:val="0"/>
          <w:numId w:val="466"/>
        </w:numPr>
        <w:spacing w:after="0" w:line="240" w:lineRule="auto"/>
        <w:ind w:left="360" w:hanging="360"/>
        <w:rPr>
          <w:rStyle w:val="Strong"/>
          <w:i/>
        </w:rPr>
      </w:pPr>
      <w:r>
        <w:rPr>
          <w:rStyle w:val="Strong"/>
        </w:rPr>
        <w:t>History</w:t>
      </w:r>
    </w:p>
    <w:p w14:paraId="27E04DA0" w14:textId="77777777" w:rsidR="006B4A8C" w:rsidRPr="006B4A8C" w:rsidRDefault="006B4A8C" w:rsidP="006B4A8C">
      <w:pPr>
        <w:spacing w:after="0" w:line="240" w:lineRule="auto"/>
        <w:ind w:left="360"/>
        <w:rPr>
          <w:rStyle w:val="Strong"/>
          <w:i/>
        </w:rPr>
      </w:pPr>
    </w:p>
    <w:p w14:paraId="630EC3F9" w14:textId="77777777" w:rsidR="00982ABF" w:rsidRPr="00076836" w:rsidRDefault="00982ABF" w:rsidP="006B4A8C">
      <w:pPr>
        <w:spacing w:after="0"/>
        <w:ind w:left="360"/>
        <w:rPr>
          <w:rStyle w:val="Strong"/>
          <w:b w:val="0"/>
          <w:bCs/>
        </w:rPr>
      </w:pPr>
      <w:r>
        <w:rPr>
          <w:rStyle w:val="Strong"/>
          <w:b w:val="0"/>
          <w:bCs/>
        </w:rPr>
        <w:t>Issued: 07/21/2008</w:t>
      </w:r>
    </w:p>
    <w:p w14:paraId="488100EC" w14:textId="77777777" w:rsidR="00982ABF" w:rsidRPr="00076836" w:rsidRDefault="00982ABF" w:rsidP="006B4A8C">
      <w:pPr>
        <w:spacing w:after="0"/>
        <w:ind w:left="360"/>
        <w:rPr>
          <w:rStyle w:val="Strong"/>
          <w:b w:val="0"/>
          <w:bCs/>
        </w:rPr>
      </w:pPr>
      <w:r>
        <w:rPr>
          <w:rStyle w:val="Strong"/>
          <w:b w:val="0"/>
          <w:bCs/>
        </w:rPr>
        <w:t>Revised: 06/07/2009, 05/20/2010, 08/07/2012, 05/19/2016, 05/23/2017, 04/15/2019</w:t>
      </w:r>
    </w:p>
    <w:p w14:paraId="180D32EE" w14:textId="77777777" w:rsidR="00982ABF" w:rsidRPr="00076836" w:rsidRDefault="00982ABF" w:rsidP="006B4A8C">
      <w:pPr>
        <w:spacing w:after="0"/>
        <w:ind w:left="360"/>
        <w:rPr>
          <w:rStyle w:val="Strong"/>
          <w:b w:val="0"/>
          <w:bCs/>
        </w:rPr>
      </w:pPr>
      <w:r>
        <w:rPr>
          <w:rStyle w:val="Strong"/>
          <w:b w:val="0"/>
          <w:bCs/>
        </w:rPr>
        <w:t>Edited: 04/28/2009, 09/18/2009, 04/20/2022</w:t>
      </w:r>
    </w:p>
    <w:p w14:paraId="4D679C18" w14:textId="77777777" w:rsidR="00982ABF" w:rsidRPr="00EF7DEF" w:rsidRDefault="00982ABF" w:rsidP="00982ABF">
      <w:pPr>
        <w:rPr>
          <w:i/>
        </w:rPr>
      </w:pPr>
    </w:p>
    <w:p w14:paraId="1ADC1113" w14:textId="77777777" w:rsidR="00331664" w:rsidRDefault="00331664" w:rsidP="00982ABF">
      <w:pPr>
        <w:spacing w:after="0"/>
        <w:rPr>
          <w:i/>
          <w:iCs/>
        </w:rPr>
      </w:pPr>
      <w:r>
        <w:rPr>
          <w:i/>
          <w:iCs/>
        </w:rPr>
        <w:br w:type="page"/>
      </w:r>
    </w:p>
    <w:p w14:paraId="0787BCE7" w14:textId="77777777" w:rsidR="0067674D" w:rsidRPr="00336E62" w:rsidRDefault="19BCF017" w:rsidP="00471B9E">
      <w:pPr>
        <w:pStyle w:val="Heading2"/>
      </w:pPr>
      <w:bookmarkStart w:id="378" w:name="B30"/>
      <w:bookmarkStart w:id="379" w:name="_Toc212142227"/>
      <w:bookmarkStart w:id="380" w:name="_Toc225507767"/>
      <w:r>
        <w:lastRenderedPageBreak/>
        <w:t xml:space="preserve">Appendix B-30  </w:t>
      </w:r>
      <w:bookmarkEnd w:id="378"/>
      <w:r>
        <w:tab/>
        <w:t>IRB Member and Consultant Conflict of Interest</w:t>
      </w:r>
      <w:bookmarkEnd w:id="379"/>
      <w:bookmarkEnd w:id="380"/>
    </w:p>
    <w:p w14:paraId="7D66A9D4" w14:textId="77777777" w:rsidR="0067674D" w:rsidRPr="00336E62" w:rsidRDefault="0067674D" w:rsidP="0067674D">
      <w:pPr>
        <w:rPr>
          <w:b/>
          <w:smallCaps/>
        </w:rPr>
      </w:pPr>
    </w:p>
    <w:p w14:paraId="668E27E5" w14:textId="77777777" w:rsidR="0067674D" w:rsidRPr="00DC369A" w:rsidRDefault="0067674D" w:rsidP="00A07209">
      <w:pPr>
        <w:numPr>
          <w:ilvl w:val="0"/>
          <w:numId w:val="398"/>
        </w:numPr>
        <w:tabs>
          <w:tab w:val="clear" w:pos="288"/>
          <w:tab w:val="num" w:pos="360"/>
        </w:tabs>
        <w:spacing w:after="0" w:line="240" w:lineRule="auto"/>
        <w:ind w:left="360" w:hanging="360"/>
        <w:rPr>
          <w:b/>
          <w:smallCaps/>
        </w:rPr>
      </w:pPr>
      <w:r>
        <w:rPr>
          <w:b/>
        </w:rPr>
        <w:t>Overview</w:t>
      </w:r>
    </w:p>
    <w:p w14:paraId="769D5C06" w14:textId="77777777" w:rsidR="00DC369A" w:rsidRPr="00076836" w:rsidRDefault="00DC369A" w:rsidP="00DC369A">
      <w:pPr>
        <w:spacing w:after="0" w:line="240" w:lineRule="auto"/>
        <w:ind w:left="360"/>
        <w:rPr>
          <w:b/>
          <w:smallCaps/>
        </w:rPr>
      </w:pPr>
    </w:p>
    <w:p w14:paraId="0DE0383C" w14:textId="77777777" w:rsidR="0067674D" w:rsidRPr="00336E62" w:rsidRDefault="0067674D" w:rsidP="00076836">
      <w:pPr>
        <w:widowControl w:val="0"/>
        <w:autoSpaceDE w:val="0"/>
        <w:autoSpaceDN w:val="0"/>
        <w:adjustRightInd w:val="0"/>
        <w:ind w:left="360"/>
      </w:pPr>
      <w:r>
        <w:t>Federal regulations do not permit an IRB member to participate in the review of research in which he/she has a conflicting interest, except to provide information requested by the IRB. This requirement helps to ensure that financial or other interests do not compromise the rights and welfare of human research subjects.</w:t>
      </w:r>
    </w:p>
    <w:p w14:paraId="6DDA188E" w14:textId="77777777" w:rsidR="00DC369A" w:rsidRPr="00336E62" w:rsidRDefault="0067674D" w:rsidP="00DC369A">
      <w:pPr>
        <w:ind w:left="360"/>
      </w:pPr>
      <w:r>
        <w:t>This policy describes when IRB members or consultants are considered to have conflicts of interest, the procedures that must be followed for disclosure, and IRB review of research when such conflicts exist.</w:t>
      </w:r>
    </w:p>
    <w:p w14:paraId="62ECF9B8" w14:textId="77777777" w:rsidR="0067674D" w:rsidRPr="00336E62" w:rsidRDefault="0067674D" w:rsidP="00A07209">
      <w:pPr>
        <w:numPr>
          <w:ilvl w:val="0"/>
          <w:numId w:val="398"/>
        </w:numPr>
        <w:tabs>
          <w:tab w:val="clear" w:pos="288"/>
          <w:tab w:val="num" w:pos="360"/>
        </w:tabs>
        <w:spacing w:after="0" w:line="240" w:lineRule="auto"/>
        <w:ind w:left="360" w:hanging="360"/>
        <w:rPr>
          <w:b/>
        </w:rPr>
      </w:pPr>
      <w:r>
        <w:rPr>
          <w:b/>
        </w:rPr>
        <w:t>Definitions</w:t>
      </w:r>
    </w:p>
    <w:p w14:paraId="3834E4AE" w14:textId="77777777" w:rsidR="0067674D" w:rsidRPr="00336E62" w:rsidRDefault="0067674D" w:rsidP="0067674D">
      <w:pPr>
        <w:pStyle w:val="Default"/>
        <w:ind w:firstLine="720"/>
        <w:rPr>
          <w:b/>
          <w:sz w:val="22"/>
          <w:szCs w:val="22"/>
        </w:rPr>
      </w:pPr>
    </w:p>
    <w:p w14:paraId="6035C312" w14:textId="77777777" w:rsidR="0067674D" w:rsidRPr="00DC369A" w:rsidRDefault="0067674D" w:rsidP="0067674D">
      <w:pPr>
        <w:pStyle w:val="Default"/>
        <w:ind w:left="360"/>
        <w:rPr>
          <w:i/>
          <w:sz w:val="22"/>
          <w:szCs w:val="22"/>
        </w:rPr>
      </w:pPr>
      <w:r>
        <w:rPr>
          <w:b/>
          <w:sz w:val="22"/>
          <w:szCs w:val="22"/>
        </w:rPr>
        <w:t>Conflict of Interest:</w:t>
      </w:r>
      <w:r>
        <w:rPr>
          <w:b/>
          <w:sz w:val="22"/>
        </w:rPr>
        <w:t xml:space="preserve"> </w:t>
      </w:r>
      <w:r>
        <w:rPr>
          <w:sz w:val="22"/>
          <w:szCs w:val="22"/>
        </w:rPr>
        <w:t xml:space="preserve">A financial interest or other opportunity for tangible personal benefit of an individual or his/her immediate family that </w:t>
      </w:r>
      <w:r>
        <w:rPr>
          <w:rStyle w:val="Emphasis"/>
          <w:i w:val="0"/>
          <w:sz w:val="22"/>
          <w:szCs w:val="22"/>
        </w:rPr>
        <w:t>may</w:t>
      </w:r>
      <w:r>
        <w:rPr>
          <w:i/>
          <w:sz w:val="22"/>
          <w:szCs w:val="22"/>
        </w:rPr>
        <w:t xml:space="preserve"> </w:t>
      </w:r>
      <w:r>
        <w:rPr>
          <w:sz w:val="22"/>
          <w:szCs w:val="22"/>
        </w:rPr>
        <w:t xml:space="preserve">exert a substantial and improper influence on the individual's professional judgment in exercising any institutional duty or responsibility, including the review of research. </w:t>
      </w:r>
      <w:r>
        <w:rPr>
          <w:i/>
          <w:sz w:val="22"/>
          <w:szCs w:val="22"/>
        </w:rPr>
        <w:t>Note: For IRB members and consultants, financial and non-financial interests/opportunities are included.</w:t>
      </w:r>
    </w:p>
    <w:p w14:paraId="09897DE8" w14:textId="77777777" w:rsidR="0067674D" w:rsidRPr="00DC369A" w:rsidRDefault="0067674D" w:rsidP="0067674D">
      <w:pPr>
        <w:pStyle w:val="Default"/>
        <w:ind w:left="360"/>
        <w:rPr>
          <w:b/>
          <w:sz w:val="22"/>
          <w:szCs w:val="22"/>
          <w:highlight w:val="yellow"/>
        </w:rPr>
      </w:pPr>
    </w:p>
    <w:p w14:paraId="7AAFE420" w14:textId="77777777" w:rsidR="0067674D" w:rsidRDefault="0067674D" w:rsidP="00A07209">
      <w:pPr>
        <w:widowControl w:val="0"/>
        <w:numPr>
          <w:ilvl w:val="0"/>
          <w:numId w:val="399"/>
        </w:numPr>
        <w:tabs>
          <w:tab w:val="left" w:pos="360"/>
        </w:tabs>
        <w:autoSpaceDE w:val="0"/>
        <w:autoSpaceDN w:val="0"/>
        <w:adjustRightInd w:val="0"/>
        <w:spacing w:after="0" w:line="240" w:lineRule="auto"/>
        <w:ind w:left="360" w:hanging="720"/>
        <w:rPr>
          <w:i/>
        </w:rPr>
      </w:pPr>
      <w:r>
        <w:rPr>
          <w:b/>
        </w:rPr>
        <w:t xml:space="preserve">Financial Conflict of Interest: </w:t>
      </w:r>
      <w:r>
        <w:t xml:space="preserve">An interest of an individual (or his/her immediate family) of monetary value that would reasonably appear to be affected by the research or an individual’s interest in any entity whose financial interests would reasonably appear to be affected by the research. </w:t>
      </w:r>
      <w:r>
        <w:rPr>
          <w:i/>
        </w:rPr>
        <w:t>Note: Financial interests include (but are not limited to) salary or other payments for services (e.g., consulting fees or honoraria), equity interests (e.g., stocks, stock options, or other ownership interests), and intellectual property rights (e.g., patents, copyrights, and royalties from such rights).</w:t>
      </w:r>
    </w:p>
    <w:p w14:paraId="48CF9E54" w14:textId="77777777" w:rsidR="00DC369A" w:rsidRPr="00DC369A" w:rsidRDefault="00DC369A" w:rsidP="00DC369A">
      <w:pPr>
        <w:widowControl w:val="0"/>
        <w:tabs>
          <w:tab w:val="left" w:pos="360"/>
        </w:tabs>
        <w:autoSpaceDE w:val="0"/>
        <w:autoSpaceDN w:val="0"/>
        <w:adjustRightInd w:val="0"/>
        <w:spacing w:after="0" w:line="240" w:lineRule="auto"/>
        <w:ind w:left="360"/>
        <w:rPr>
          <w:i/>
        </w:rPr>
      </w:pPr>
    </w:p>
    <w:p w14:paraId="5FF9DC59" w14:textId="77777777" w:rsidR="0067674D" w:rsidRPr="00DC369A" w:rsidRDefault="0067674D" w:rsidP="00DC369A">
      <w:pPr>
        <w:ind w:left="360"/>
      </w:pPr>
      <w:r>
        <w:rPr>
          <w:b/>
        </w:rPr>
        <w:t xml:space="preserve">Non-Financial Conflict of Interest: </w:t>
      </w:r>
      <w:r>
        <w:t>An interest other than monetary of an individual (or his/her immediate family) in the design, conduct, or reporting of the research or other interest that competes with an IRB member’s (or consultant’s) obligation to protect research participants and potentially compromises the objectivity and credibility of the research review process.</w:t>
      </w:r>
    </w:p>
    <w:p w14:paraId="0F872863" w14:textId="77777777" w:rsidR="0067674D" w:rsidRPr="00336E62" w:rsidRDefault="0067674D" w:rsidP="0067674D">
      <w:pPr>
        <w:ind w:left="360"/>
        <w:rPr>
          <w:u w:val="single"/>
        </w:rPr>
      </w:pPr>
      <w:r>
        <w:rPr>
          <w:b/>
        </w:rPr>
        <w:t>Immediate Family</w:t>
      </w:r>
      <w:r>
        <w:t>: For purposes of HRPP policy, an IRB member or consultant’s spouse or domestic partner and dependent children.</w:t>
      </w:r>
    </w:p>
    <w:p w14:paraId="4F252093" w14:textId="77777777" w:rsidR="0067674D" w:rsidRPr="00336E62" w:rsidRDefault="0067674D" w:rsidP="0067674D">
      <w:pPr>
        <w:pStyle w:val="Default"/>
        <w:rPr>
          <w:sz w:val="22"/>
          <w:szCs w:val="22"/>
        </w:rPr>
      </w:pPr>
    </w:p>
    <w:p w14:paraId="5E5F9399" w14:textId="77777777" w:rsidR="0067674D" w:rsidRDefault="0067674D" w:rsidP="00A07209">
      <w:pPr>
        <w:numPr>
          <w:ilvl w:val="0"/>
          <w:numId w:val="398"/>
        </w:numPr>
        <w:tabs>
          <w:tab w:val="clear" w:pos="288"/>
          <w:tab w:val="num" w:pos="360"/>
        </w:tabs>
        <w:spacing w:after="0" w:line="240" w:lineRule="auto"/>
        <w:ind w:left="360" w:hanging="360"/>
        <w:rPr>
          <w:b/>
          <w:u w:val="single"/>
        </w:rPr>
      </w:pPr>
      <w:r>
        <w:rPr>
          <w:b/>
        </w:rPr>
        <w:t>General Information</w:t>
      </w:r>
    </w:p>
    <w:p w14:paraId="13AE3983" w14:textId="77777777" w:rsidR="00DC369A" w:rsidRPr="00DC369A" w:rsidRDefault="00DC369A" w:rsidP="00DC369A">
      <w:pPr>
        <w:spacing w:after="0" w:line="240" w:lineRule="auto"/>
        <w:ind w:left="360"/>
        <w:rPr>
          <w:b/>
          <w:u w:val="single"/>
        </w:rPr>
      </w:pPr>
    </w:p>
    <w:p w14:paraId="1DE123C5" w14:textId="77777777" w:rsidR="0067674D" w:rsidRPr="00336E62" w:rsidRDefault="0067674D" w:rsidP="00A07209">
      <w:pPr>
        <w:pStyle w:val="CommentText"/>
        <w:numPr>
          <w:ilvl w:val="0"/>
          <w:numId w:val="400"/>
        </w:numPr>
        <w:ind w:left="1080"/>
        <w:rPr>
          <w:sz w:val="22"/>
          <w:szCs w:val="22"/>
        </w:rPr>
      </w:pPr>
      <w:r>
        <w:rPr>
          <w:sz w:val="22"/>
          <w:szCs w:val="22"/>
        </w:rPr>
        <w:t xml:space="preserve">Conflicts of interest must not compromise the rights and welfare of research participants or the integrity of the research review process. The regulations do not provide flexibility in the management of an IRB member’s (or consultant’s) conflicting interest. Specifically, the regulations require that IRB members must not participate in the review of research in which they have a conflicting interest, except to provide information requested by the IRB. In addition, faculty and staff should be aware that they are also subject to various provisions of Ohio law governing ethics and conflicts of interest in public employment. For more information on the Ohio Ethics Laws, see </w:t>
      </w:r>
      <w:hyperlink r:id="rId409" w:history="1">
        <w:r>
          <w:rPr>
            <w:rStyle w:val="Hyperlink"/>
            <w:sz w:val="22"/>
            <w:szCs w:val="22"/>
          </w:rPr>
          <w:t>Legal Topics - Ethics</w:t>
        </w:r>
      </w:hyperlink>
      <w:r>
        <w:rPr>
          <w:sz w:val="22"/>
          <w:szCs w:val="22"/>
        </w:rPr>
        <w:t xml:space="preserve"> on the Office of Legal Affairs website.</w:t>
      </w:r>
    </w:p>
    <w:p w14:paraId="6125F37D" w14:textId="77777777" w:rsidR="0067674D" w:rsidRPr="00336E62" w:rsidRDefault="0067674D" w:rsidP="00A07209">
      <w:pPr>
        <w:pStyle w:val="CommentText"/>
        <w:numPr>
          <w:ilvl w:val="0"/>
          <w:numId w:val="400"/>
        </w:numPr>
        <w:ind w:left="1080"/>
        <w:rPr>
          <w:sz w:val="22"/>
          <w:szCs w:val="22"/>
        </w:rPr>
      </w:pPr>
      <w:r>
        <w:rPr>
          <w:sz w:val="22"/>
          <w:szCs w:val="22"/>
        </w:rPr>
        <w:t xml:space="preserve">Financial relationships with entities involved in research and the financial interests these relationships create (e.g., equity interests, payments for services, etc.) may lead to financial conflicts of interest. Such conflicts of interest may affect the rights and welfare of human subjects. However, financial interests are not prohibited and not all financial interests cause conflicts of interest. For more information on financial conflicts of interest, see The Ohio State University’s </w:t>
      </w:r>
      <w:hyperlink r:id="rId410" w:history="1">
        <w:r>
          <w:rPr>
            <w:rStyle w:val="Hyperlink"/>
            <w:sz w:val="22"/>
            <w:szCs w:val="22"/>
          </w:rPr>
          <w:t>Policy on Faculty Financial Conflict of Interest</w:t>
        </w:r>
      </w:hyperlink>
      <w:r>
        <w:rPr>
          <w:sz w:val="22"/>
          <w:szCs w:val="22"/>
        </w:rPr>
        <w:t xml:space="preserve">. </w:t>
      </w:r>
    </w:p>
    <w:p w14:paraId="07FAE1B9" w14:textId="77777777" w:rsidR="0067674D" w:rsidRPr="00336E62" w:rsidRDefault="0067674D" w:rsidP="0067674D">
      <w:pPr>
        <w:pStyle w:val="CommentText"/>
        <w:rPr>
          <w:sz w:val="22"/>
          <w:szCs w:val="22"/>
        </w:rPr>
      </w:pPr>
    </w:p>
    <w:p w14:paraId="3EB22B7B" w14:textId="77777777" w:rsidR="0067674D" w:rsidRPr="00336E62" w:rsidRDefault="0067674D" w:rsidP="00A07209">
      <w:pPr>
        <w:pStyle w:val="CommentText"/>
        <w:numPr>
          <w:ilvl w:val="0"/>
          <w:numId w:val="400"/>
        </w:numPr>
        <w:ind w:left="1080"/>
        <w:rPr>
          <w:sz w:val="22"/>
          <w:szCs w:val="22"/>
        </w:rPr>
      </w:pPr>
      <w:r>
        <w:rPr>
          <w:sz w:val="22"/>
          <w:szCs w:val="22"/>
        </w:rPr>
        <w:lastRenderedPageBreak/>
        <w:t>Conflicts of interest may also be non-financial, such as when an IRB member or consultant is asked to review research in which he/she is also participating as a member of the research team. Other “personal or professional” conflicting interests are described below. An individual may opt out of a review for any reason, including a conflicting interest not specifically described by this policy.</w:t>
      </w:r>
    </w:p>
    <w:p w14:paraId="543AED24" w14:textId="77777777" w:rsidR="0067674D" w:rsidRPr="00336E62" w:rsidRDefault="0067674D" w:rsidP="0067674D">
      <w:pPr>
        <w:pStyle w:val="CommentText"/>
        <w:rPr>
          <w:sz w:val="22"/>
          <w:szCs w:val="22"/>
        </w:rPr>
      </w:pPr>
    </w:p>
    <w:p w14:paraId="73A867A6" w14:textId="77777777" w:rsidR="0067674D" w:rsidRPr="00336E62" w:rsidRDefault="0067674D" w:rsidP="00A07209">
      <w:pPr>
        <w:pStyle w:val="CommentText"/>
        <w:numPr>
          <w:ilvl w:val="0"/>
          <w:numId w:val="400"/>
        </w:numPr>
        <w:ind w:left="1080"/>
        <w:rPr>
          <w:sz w:val="22"/>
          <w:szCs w:val="22"/>
        </w:rPr>
      </w:pPr>
      <w:r>
        <w:rPr>
          <w:sz w:val="22"/>
          <w:szCs w:val="22"/>
        </w:rPr>
        <w:t>When a conflict of interest is identified, an IRB member or consultant may not participate in any type of review of the research conducted by the IRB, including initial or continuing reviews, review of amendments, or other reviews (e.g., event reports, potential noncompliance, etc.). This requirement applies to reviews conducted by the convened IRB and those performed by expedited procedures.</w:t>
      </w:r>
    </w:p>
    <w:p w14:paraId="1E9D48E3" w14:textId="77777777" w:rsidR="0067674D" w:rsidRPr="00336E62" w:rsidRDefault="0067674D" w:rsidP="0067674D">
      <w:pPr>
        <w:ind w:left="360"/>
      </w:pPr>
    </w:p>
    <w:p w14:paraId="1301F06E" w14:textId="77777777" w:rsidR="0067674D" w:rsidRDefault="0067674D" w:rsidP="00A07209">
      <w:pPr>
        <w:numPr>
          <w:ilvl w:val="0"/>
          <w:numId w:val="403"/>
        </w:numPr>
        <w:tabs>
          <w:tab w:val="clear" w:pos="1008"/>
          <w:tab w:val="num" w:pos="360"/>
        </w:tabs>
        <w:spacing w:after="0" w:line="240" w:lineRule="auto"/>
        <w:ind w:left="360"/>
        <w:rPr>
          <w:rStyle w:val="Strong"/>
          <w:b w:val="0"/>
        </w:rPr>
      </w:pPr>
      <w:r>
        <w:rPr>
          <w:rStyle w:val="Strong"/>
        </w:rPr>
        <w:t>Financial Conflict of Interest</w:t>
      </w:r>
    </w:p>
    <w:p w14:paraId="4C7155C5" w14:textId="77777777" w:rsidR="00DC369A" w:rsidRPr="00DC369A" w:rsidRDefault="00DC369A" w:rsidP="00DC369A">
      <w:pPr>
        <w:spacing w:after="0" w:line="240" w:lineRule="auto"/>
        <w:ind w:left="360"/>
        <w:rPr>
          <w:rStyle w:val="Strong"/>
          <w:b w:val="0"/>
        </w:rPr>
      </w:pPr>
    </w:p>
    <w:p w14:paraId="32F44E0B" w14:textId="77777777" w:rsidR="0067674D" w:rsidRDefault="0067674D" w:rsidP="00DC369A">
      <w:pPr>
        <w:widowControl w:val="0"/>
        <w:tabs>
          <w:tab w:val="left" w:pos="360"/>
        </w:tabs>
        <w:autoSpaceDE w:val="0"/>
        <w:autoSpaceDN w:val="0"/>
        <w:adjustRightInd w:val="0"/>
        <w:spacing w:after="60"/>
        <w:ind w:left="360"/>
      </w:pPr>
      <w:r>
        <w:t xml:space="preserve">An IRB member or consultant to the IRB is considered to have a conflicting financial interest when he/she (or a member of his/her immediate family) is receiving compensation for services or has financial interests or intellectual property rights that would reasonably appear to be affected by the research. The financial interests that are considered conflicting interests for IRB members and consultants are the same as those for investigators and key personnel involved in research. For additional information on financial conflict of interest for faculty and research personnel, see The Ohio State University’s </w:t>
      </w:r>
      <w:hyperlink r:id="rId411" w:history="1">
        <w:r>
          <w:rPr>
            <w:rStyle w:val="Hyperlink"/>
          </w:rPr>
          <w:t>Policy on Faculty Financial Conflict of Interest</w:t>
        </w:r>
      </w:hyperlink>
      <w:r>
        <w:t>.</w:t>
      </w:r>
    </w:p>
    <w:p w14:paraId="6162CFEA" w14:textId="77777777" w:rsidR="00DC369A" w:rsidRPr="00DC369A" w:rsidRDefault="00DC369A" w:rsidP="00DC369A">
      <w:pPr>
        <w:widowControl w:val="0"/>
        <w:tabs>
          <w:tab w:val="left" w:pos="360"/>
        </w:tabs>
        <w:autoSpaceDE w:val="0"/>
        <w:autoSpaceDN w:val="0"/>
        <w:adjustRightInd w:val="0"/>
        <w:spacing w:after="60"/>
        <w:rPr>
          <w:rStyle w:val="Strong"/>
          <w:b w:val="0"/>
        </w:rPr>
      </w:pPr>
    </w:p>
    <w:p w14:paraId="26CF2EA2" w14:textId="77777777" w:rsidR="0067674D" w:rsidRDefault="0067674D" w:rsidP="00A07209">
      <w:pPr>
        <w:numPr>
          <w:ilvl w:val="0"/>
          <w:numId w:val="403"/>
        </w:numPr>
        <w:tabs>
          <w:tab w:val="clear" w:pos="1008"/>
          <w:tab w:val="num" w:pos="360"/>
        </w:tabs>
        <w:spacing w:after="0" w:line="240" w:lineRule="auto"/>
        <w:ind w:left="360"/>
        <w:rPr>
          <w:rStyle w:val="Strong"/>
          <w:b w:val="0"/>
        </w:rPr>
      </w:pPr>
      <w:r>
        <w:rPr>
          <w:rStyle w:val="Strong"/>
        </w:rPr>
        <w:t>Non-Financial Conflict of Interest</w:t>
      </w:r>
    </w:p>
    <w:p w14:paraId="753CC288" w14:textId="77777777" w:rsidR="00DC369A" w:rsidRPr="00DC369A" w:rsidRDefault="00DC369A" w:rsidP="00DC369A">
      <w:pPr>
        <w:spacing w:after="0" w:line="240" w:lineRule="auto"/>
        <w:ind w:left="360"/>
        <w:rPr>
          <w:rStyle w:val="Strong"/>
          <w:b w:val="0"/>
        </w:rPr>
      </w:pPr>
    </w:p>
    <w:p w14:paraId="36FFD8C3" w14:textId="77777777" w:rsidR="0067674D" w:rsidRPr="00076836" w:rsidRDefault="0067674D" w:rsidP="0067674D">
      <w:pPr>
        <w:spacing w:after="60"/>
        <w:ind w:left="360"/>
        <w:rPr>
          <w:rStyle w:val="Strong"/>
          <w:b w:val="0"/>
          <w:bCs/>
        </w:rPr>
      </w:pPr>
      <w:r>
        <w:rPr>
          <w:rStyle w:val="Strong"/>
          <w:b w:val="0"/>
          <w:bCs/>
        </w:rPr>
        <w:t>An IRB member or consultant to the IRB is considered to have conflicting interest (other than monetary) in any of the following circumstances:</w:t>
      </w:r>
    </w:p>
    <w:p w14:paraId="102B8656"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is a member of the research team or advisory committee involved in the design, conduct, or reporting of the research</w:t>
      </w:r>
    </w:p>
    <w:p w14:paraId="70CD4E62"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is related to a member of the research team or advisory committee involved in the design, conduct, or reporting of the research</w:t>
      </w:r>
    </w:p>
    <w:p w14:paraId="0F44E7D6"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Principal investigator of the research is the IRB member’s/consultant’s immediate supervisor or the supervisor of the member’s/consultant’s immediate family member</w:t>
      </w:r>
    </w:p>
    <w:p w14:paraId="617EB550" w14:textId="77777777" w:rsidR="0067674D" w:rsidRPr="00076836" w:rsidRDefault="0067674D" w:rsidP="00A07209">
      <w:pPr>
        <w:numPr>
          <w:ilvl w:val="0"/>
          <w:numId w:val="401"/>
        </w:numPr>
        <w:tabs>
          <w:tab w:val="clear" w:pos="2880"/>
          <w:tab w:val="num" w:pos="1080"/>
        </w:tabs>
        <w:spacing w:after="60" w:line="240" w:lineRule="auto"/>
        <w:ind w:left="1080"/>
        <w:rPr>
          <w:rStyle w:val="Strong"/>
          <w:b w:val="0"/>
          <w:bCs/>
        </w:rPr>
      </w:pPr>
      <w:r>
        <w:rPr>
          <w:rStyle w:val="Strong"/>
          <w:b w:val="0"/>
          <w:bCs/>
        </w:rPr>
        <w:t>IRB member/consultant (or member of his/her immediate family) has an interest in competing research or is competing directly for resources such as funding or sponsorship</w:t>
      </w:r>
    </w:p>
    <w:p w14:paraId="54FE9D38" w14:textId="77777777" w:rsidR="0067674D" w:rsidRPr="00076836" w:rsidRDefault="0067674D" w:rsidP="00A07209">
      <w:pPr>
        <w:numPr>
          <w:ilvl w:val="0"/>
          <w:numId w:val="401"/>
        </w:numPr>
        <w:tabs>
          <w:tab w:val="clear" w:pos="2880"/>
          <w:tab w:val="num" w:pos="1080"/>
        </w:tabs>
        <w:spacing w:after="120" w:line="240" w:lineRule="auto"/>
        <w:ind w:left="1080"/>
        <w:rPr>
          <w:rStyle w:val="Strong"/>
          <w:b w:val="0"/>
          <w:bCs/>
        </w:rPr>
      </w:pPr>
      <w:r>
        <w:rPr>
          <w:rStyle w:val="Strong"/>
          <w:b w:val="0"/>
          <w:bCs/>
        </w:rPr>
        <w:t>Other conflicting interests that appear to preclude objective assessment, at the IRB chair’s discretion</w:t>
      </w:r>
    </w:p>
    <w:p w14:paraId="46E26168" w14:textId="77777777" w:rsidR="00DC369A" w:rsidRDefault="0067674D" w:rsidP="00DC369A">
      <w:pPr>
        <w:ind w:left="360"/>
        <w:rPr>
          <w:i/>
        </w:rPr>
      </w:pPr>
      <w:r>
        <w:rPr>
          <w:i/>
        </w:rPr>
        <w:t>Note: Departmental affiliation is not automatically considered to be a conflicting interest, except as described above.</w:t>
      </w:r>
    </w:p>
    <w:p w14:paraId="75BFBA7B" w14:textId="77777777" w:rsidR="00DC369A" w:rsidRPr="00DC369A" w:rsidRDefault="00DC369A" w:rsidP="00DC369A">
      <w:pPr>
        <w:ind w:left="360"/>
        <w:rPr>
          <w:i/>
        </w:rPr>
      </w:pPr>
    </w:p>
    <w:p w14:paraId="5761E982" w14:textId="77777777" w:rsidR="0067674D" w:rsidRDefault="0067674D" w:rsidP="00A07209">
      <w:pPr>
        <w:numPr>
          <w:ilvl w:val="0"/>
          <w:numId w:val="403"/>
        </w:numPr>
        <w:tabs>
          <w:tab w:val="clear" w:pos="1008"/>
          <w:tab w:val="num" w:pos="360"/>
        </w:tabs>
        <w:spacing w:after="0" w:line="240" w:lineRule="auto"/>
        <w:ind w:left="360"/>
        <w:rPr>
          <w:b/>
        </w:rPr>
      </w:pPr>
      <w:r>
        <w:rPr>
          <w:b/>
        </w:rPr>
        <w:t>IRB Member Disclosure</w:t>
      </w:r>
    </w:p>
    <w:p w14:paraId="6247FE8F" w14:textId="77777777" w:rsidR="00DC369A" w:rsidRPr="00DC369A" w:rsidRDefault="00DC369A" w:rsidP="00DC369A">
      <w:pPr>
        <w:spacing w:after="0" w:line="240" w:lineRule="auto"/>
        <w:ind w:left="360"/>
        <w:rPr>
          <w:b/>
        </w:rPr>
      </w:pPr>
    </w:p>
    <w:p w14:paraId="7EFDA816" w14:textId="77777777" w:rsidR="0067674D" w:rsidRDefault="0067674D" w:rsidP="00A07209">
      <w:pPr>
        <w:numPr>
          <w:ilvl w:val="0"/>
          <w:numId w:val="404"/>
        </w:numPr>
        <w:spacing w:after="0" w:line="240" w:lineRule="auto"/>
        <w:ind w:left="1080"/>
      </w:pPr>
      <w:r>
        <w:t>IRB members are asked to complete an electronic</w:t>
      </w:r>
      <w:r>
        <w:rPr>
          <w:i/>
        </w:rPr>
        <w:t xml:space="preserve"> Financial Conflict of Interest Screening/Disclosure Form</w:t>
      </w:r>
      <w:r>
        <w:t xml:space="preserve"> when they are appointed to the board if a current disclosure is not already on file. Members are required to update the disclosure annually and whenever there are changes in their (or their immediate family members’) financial interests. IRB members will refer to the HRPP policy for information about financial and non-financial conflicts of interest.</w:t>
      </w:r>
    </w:p>
    <w:p w14:paraId="642642A9" w14:textId="77777777" w:rsidR="00DC369A" w:rsidRPr="00DC369A" w:rsidRDefault="00DC369A" w:rsidP="00DC369A">
      <w:pPr>
        <w:spacing w:after="0" w:line="240" w:lineRule="auto"/>
        <w:ind w:left="1080"/>
      </w:pPr>
    </w:p>
    <w:p w14:paraId="2AD8322D" w14:textId="77777777" w:rsidR="0067674D" w:rsidRDefault="0067674D" w:rsidP="00A07209">
      <w:pPr>
        <w:numPr>
          <w:ilvl w:val="0"/>
          <w:numId w:val="404"/>
        </w:numPr>
        <w:spacing w:after="0" w:line="240" w:lineRule="auto"/>
        <w:ind w:left="1080"/>
      </w:pPr>
      <w:r>
        <w:t>ORRP staff members utilize board members’ CVs and financial disclosures when making reviewer assignments to avoid assigning research review to an IRB member with an identified financial or non-financial conflict of interest. ORRP staff members will select IRB members without apparent conflicting interests as primary or secondary reviewers; however, IRB members are ultimately responsible for final identification and communication of such conflicts to ORRP staff.</w:t>
      </w:r>
    </w:p>
    <w:p w14:paraId="4309A796" w14:textId="77777777" w:rsidR="00DC369A" w:rsidRPr="00DC369A" w:rsidRDefault="00DC369A" w:rsidP="00DC369A">
      <w:pPr>
        <w:spacing w:after="0" w:line="240" w:lineRule="auto"/>
      </w:pPr>
    </w:p>
    <w:p w14:paraId="646F0B05" w14:textId="77777777" w:rsidR="0067674D" w:rsidRDefault="0067674D" w:rsidP="00A07209">
      <w:pPr>
        <w:numPr>
          <w:ilvl w:val="0"/>
          <w:numId w:val="404"/>
        </w:numPr>
        <w:spacing w:after="0" w:line="240" w:lineRule="auto"/>
        <w:ind w:left="1080"/>
      </w:pPr>
      <w:r>
        <w:t>IRB members will examine the materials assigned to them upon receipt to identify any financial and/or non-financial conflicts of interest. If a conflict exists, the member should immediately contact the appropriate ORRP staff member so that the review can be reassigned to another IRB member. ORRP staff will document a conflict of interest as the reason for reassignment.</w:t>
      </w:r>
    </w:p>
    <w:p w14:paraId="13069D61" w14:textId="77777777" w:rsidR="00DC369A" w:rsidRPr="00DC369A" w:rsidRDefault="00DC369A" w:rsidP="00DC369A">
      <w:pPr>
        <w:spacing w:after="0" w:line="240" w:lineRule="auto"/>
      </w:pPr>
    </w:p>
    <w:p w14:paraId="7FD04E8D" w14:textId="77777777" w:rsidR="0067674D" w:rsidRPr="00336E62" w:rsidRDefault="0067674D" w:rsidP="00A07209">
      <w:pPr>
        <w:numPr>
          <w:ilvl w:val="0"/>
          <w:numId w:val="404"/>
        </w:numPr>
        <w:spacing w:after="0" w:line="240" w:lineRule="auto"/>
        <w:ind w:left="1080"/>
      </w:pPr>
      <w:r>
        <w:t>IRB members may contact the conflict of interest administrator or appropriate IRB chair for information or assistance with conflict of interest questions. The IRB chair or vice chair will make the final determination about whether a conflict of interest exists as defined by HRPP policy.</w:t>
      </w:r>
    </w:p>
    <w:p w14:paraId="75627FE4" w14:textId="77777777" w:rsidR="0067674D" w:rsidRPr="00336E62" w:rsidRDefault="0067674D" w:rsidP="0067674D"/>
    <w:p w14:paraId="5ED133A7" w14:textId="77777777" w:rsidR="0067674D" w:rsidRDefault="0067674D" w:rsidP="00A07209">
      <w:pPr>
        <w:numPr>
          <w:ilvl w:val="0"/>
          <w:numId w:val="403"/>
        </w:numPr>
        <w:tabs>
          <w:tab w:val="clear" w:pos="1008"/>
          <w:tab w:val="num" w:pos="360"/>
        </w:tabs>
        <w:spacing w:after="0" w:line="240" w:lineRule="auto"/>
        <w:ind w:left="360"/>
        <w:rPr>
          <w:b/>
        </w:rPr>
      </w:pPr>
      <w:r>
        <w:rPr>
          <w:b/>
        </w:rPr>
        <w:t>Identification of Conflicts – IRB Review</w:t>
      </w:r>
    </w:p>
    <w:p w14:paraId="1AB7882E" w14:textId="77777777" w:rsidR="00DC369A" w:rsidRPr="00DC369A" w:rsidRDefault="00DC369A" w:rsidP="00DC369A">
      <w:pPr>
        <w:spacing w:after="0" w:line="240" w:lineRule="auto"/>
        <w:ind w:left="360"/>
        <w:rPr>
          <w:b/>
        </w:rPr>
      </w:pPr>
    </w:p>
    <w:p w14:paraId="0DEFFF84" w14:textId="77777777" w:rsidR="0067674D" w:rsidRDefault="0067674D" w:rsidP="00A07209">
      <w:pPr>
        <w:numPr>
          <w:ilvl w:val="0"/>
          <w:numId w:val="405"/>
        </w:numPr>
        <w:spacing w:after="0" w:line="240" w:lineRule="auto"/>
        <w:ind w:left="1080"/>
      </w:pPr>
      <w:r>
        <w:t>At the start of each convened meeting, the IRB chair (or acting chair) reminds all IRB members that anyone with a conflict of interest must excuse himself/herself before the discussion of the research begins, unless asked to be present to answer questions or provide information to the IRB.</w:t>
      </w:r>
    </w:p>
    <w:p w14:paraId="4B2A2446" w14:textId="77777777" w:rsidR="00DC369A" w:rsidRPr="00DC369A" w:rsidRDefault="00DC369A" w:rsidP="00DC369A">
      <w:pPr>
        <w:spacing w:after="0" w:line="240" w:lineRule="auto"/>
        <w:ind w:left="720"/>
      </w:pPr>
    </w:p>
    <w:p w14:paraId="2ABE698C" w14:textId="77777777" w:rsidR="0067674D" w:rsidRDefault="0067674D" w:rsidP="00A07209">
      <w:pPr>
        <w:numPr>
          <w:ilvl w:val="0"/>
          <w:numId w:val="405"/>
        </w:numPr>
        <w:spacing w:after="0" w:line="240" w:lineRule="auto"/>
        <w:ind w:left="1080"/>
      </w:pPr>
      <w:r>
        <w:t>IRB members are asked to self-identify research in which they have a conflicting interest, inform the IRB chair (or acting chair), and excuse themselves before convened discussion begins. Although IRB members are asked to self-identify conflicts, the chair has the final authority to determine when there is a conflict as defined by HRPP policy and to ask a member to leave the room as necessary.</w:t>
      </w:r>
    </w:p>
    <w:p w14:paraId="65E3EAB6" w14:textId="77777777" w:rsidR="00DC369A" w:rsidRPr="00DC369A" w:rsidRDefault="00DC369A" w:rsidP="00DC369A">
      <w:pPr>
        <w:spacing w:after="0" w:line="240" w:lineRule="auto"/>
      </w:pPr>
    </w:p>
    <w:p w14:paraId="73B03390" w14:textId="77777777" w:rsidR="0067674D" w:rsidRDefault="0067674D" w:rsidP="00A07209">
      <w:pPr>
        <w:numPr>
          <w:ilvl w:val="0"/>
          <w:numId w:val="405"/>
        </w:numPr>
        <w:spacing w:after="0" w:line="240" w:lineRule="auto"/>
        <w:ind w:left="1080"/>
      </w:pPr>
      <w:r>
        <w:t>If questions arise during the discussion, the IRB chair may invite the IRB member with the conflicting interest back into the room to provide information but will excuse him/her again before final deliberation and voting.</w:t>
      </w:r>
    </w:p>
    <w:p w14:paraId="49B70749" w14:textId="77777777" w:rsidR="00DC369A" w:rsidRPr="00DC369A" w:rsidRDefault="00DC369A" w:rsidP="00DC369A">
      <w:pPr>
        <w:spacing w:after="0" w:line="240" w:lineRule="auto"/>
      </w:pPr>
    </w:p>
    <w:p w14:paraId="0D9F4B9F" w14:textId="77777777" w:rsidR="0067674D" w:rsidRPr="00336E62" w:rsidRDefault="0067674D" w:rsidP="00A07209">
      <w:pPr>
        <w:numPr>
          <w:ilvl w:val="0"/>
          <w:numId w:val="405"/>
        </w:numPr>
        <w:spacing w:after="0" w:line="240" w:lineRule="auto"/>
        <w:ind w:left="1080"/>
      </w:pPr>
      <w:r>
        <w:t>For IRB review conducted by expedited procedures, IRB members will be asked to document (in writing or electronically) that they have either found no conflict or disclosed the potential conflicting interest. In the event that a conflict is identified, another reviewer will be selected. IRB members will be referred to HRPP and university policies for further information about financial and non-financial conflicts of interest.</w:t>
      </w:r>
    </w:p>
    <w:p w14:paraId="3324CCE8" w14:textId="77777777" w:rsidR="0067674D" w:rsidRPr="00336E62" w:rsidRDefault="0067674D" w:rsidP="0067674D"/>
    <w:p w14:paraId="25D5B853" w14:textId="77777777" w:rsidR="0067674D" w:rsidRDefault="0067674D" w:rsidP="00A07209">
      <w:pPr>
        <w:numPr>
          <w:ilvl w:val="0"/>
          <w:numId w:val="403"/>
        </w:numPr>
        <w:tabs>
          <w:tab w:val="clear" w:pos="1008"/>
          <w:tab w:val="num" w:pos="360"/>
        </w:tabs>
        <w:spacing w:after="0" w:line="240" w:lineRule="auto"/>
        <w:ind w:left="360"/>
        <w:rPr>
          <w:b/>
        </w:rPr>
      </w:pPr>
      <w:r>
        <w:rPr>
          <w:b/>
        </w:rPr>
        <w:t>Consultant Conflict of Interest</w:t>
      </w:r>
    </w:p>
    <w:p w14:paraId="130D0C0A" w14:textId="77777777" w:rsidR="00DC369A" w:rsidRPr="00DC369A" w:rsidRDefault="00DC369A" w:rsidP="00DC369A">
      <w:pPr>
        <w:spacing w:after="0" w:line="240" w:lineRule="auto"/>
        <w:ind w:left="360"/>
        <w:rPr>
          <w:b/>
        </w:rPr>
      </w:pPr>
    </w:p>
    <w:p w14:paraId="7693A4D6" w14:textId="77777777" w:rsidR="0067674D" w:rsidRPr="00336E62" w:rsidRDefault="0067674D" w:rsidP="00A07209">
      <w:pPr>
        <w:numPr>
          <w:ilvl w:val="1"/>
          <w:numId w:val="402"/>
        </w:numPr>
        <w:spacing w:after="0" w:line="240" w:lineRule="auto"/>
        <w:ind w:left="1080" w:hanging="360"/>
      </w:pPr>
      <w:r>
        <w:t xml:space="preserve">When a consultant is identified for the purpose of providing expert review of the research or protection of a vulnerable population, an ORRP staff member will ask the consultant to complete an electronic </w:t>
      </w:r>
      <w:r>
        <w:rPr>
          <w:i/>
        </w:rPr>
        <w:t>Financial Conflict of Interest Screening/Disclosure Form</w:t>
      </w:r>
      <w:r>
        <w:t xml:space="preserve"> to identify any potential financial conflict of interests. Consultants will be referred to the HRPP policy for information about financial and non-financial conflicts of interest. Consultants will also be provided preliminary information about the research, sponsor, investigator, and study staff to assist in their determinations.</w:t>
      </w:r>
    </w:p>
    <w:p w14:paraId="19279158" w14:textId="77777777" w:rsidR="0067674D" w:rsidRPr="00336E62" w:rsidRDefault="0067674D" w:rsidP="0067674D">
      <w:pPr>
        <w:ind w:left="360"/>
      </w:pPr>
    </w:p>
    <w:p w14:paraId="1DFF8A27" w14:textId="77777777" w:rsidR="00DC369A" w:rsidRDefault="0067674D" w:rsidP="00A07209">
      <w:pPr>
        <w:numPr>
          <w:ilvl w:val="1"/>
          <w:numId w:val="402"/>
        </w:numPr>
        <w:spacing w:after="0" w:line="240" w:lineRule="auto"/>
        <w:ind w:left="1080" w:hanging="360"/>
      </w:pPr>
      <w:r>
        <w:t>Prior to assisting in IRB review, consultants will be asked to document (in writing or electronically) that they have either found no conflict or disclosed the potential conflicting interest. The IRB chair or vice chair has the final authority to determine whether a conflict of interest exists as defined by HRPP policy.</w:t>
      </w:r>
    </w:p>
    <w:p w14:paraId="6F63C1F2" w14:textId="77777777" w:rsidR="00DC369A" w:rsidRPr="00DC369A" w:rsidRDefault="00DC369A" w:rsidP="00DC369A">
      <w:pPr>
        <w:spacing w:after="0" w:line="240" w:lineRule="auto"/>
      </w:pPr>
    </w:p>
    <w:p w14:paraId="61146190" w14:textId="77777777" w:rsidR="0067674D" w:rsidRPr="00336E62" w:rsidRDefault="0067674D" w:rsidP="00A07209">
      <w:pPr>
        <w:numPr>
          <w:ilvl w:val="1"/>
          <w:numId w:val="402"/>
        </w:numPr>
        <w:spacing w:after="0" w:line="240" w:lineRule="auto"/>
        <w:ind w:left="1080" w:hanging="360"/>
      </w:pPr>
      <w:r>
        <w:t>In the event that a conflict is identified, another consultant will be selected. Consultants who have financial or non-financial conflicts of interest will not assist in the IRB review of research.</w:t>
      </w:r>
    </w:p>
    <w:p w14:paraId="65EFCCDE" w14:textId="77777777" w:rsidR="0067674D" w:rsidRPr="00336E62" w:rsidRDefault="0067674D" w:rsidP="0067674D">
      <w:pPr>
        <w:rPr>
          <w:b/>
        </w:rPr>
      </w:pPr>
    </w:p>
    <w:p w14:paraId="3B934EA5" w14:textId="77777777" w:rsidR="0067674D" w:rsidRDefault="0067674D" w:rsidP="00A07209">
      <w:pPr>
        <w:numPr>
          <w:ilvl w:val="0"/>
          <w:numId w:val="403"/>
        </w:numPr>
        <w:tabs>
          <w:tab w:val="clear" w:pos="1008"/>
          <w:tab w:val="num" w:pos="360"/>
        </w:tabs>
        <w:spacing w:after="0" w:line="240" w:lineRule="auto"/>
        <w:ind w:left="360"/>
        <w:rPr>
          <w:b/>
        </w:rPr>
      </w:pPr>
      <w:r>
        <w:rPr>
          <w:b/>
        </w:rPr>
        <w:t>Documentation of Conflicts of Interest</w:t>
      </w:r>
    </w:p>
    <w:p w14:paraId="1D3CDC4C" w14:textId="77777777" w:rsidR="00DC369A" w:rsidRPr="00DC369A" w:rsidRDefault="00DC369A" w:rsidP="00DC369A">
      <w:pPr>
        <w:spacing w:after="0" w:line="240" w:lineRule="auto"/>
        <w:ind w:left="360"/>
        <w:rPr>
          <w:b/>
        </w:rPr>
      </w:pPr>
    </w:p>
    <w:p w14:paraId="42DC069B" w14:textId="77777777" w:rsidR="00DC369A" w:rsidRDefault="0067674D" w:rsidP="00DC369A">
      <w:pPr>
        <w:ind w:left="360"/>
      </w:pPr>
      <w:r>
        <w:lastRenderedPageBreak/>
        <w:t>ORRP staff are responsible for documenting that an IRB member did not participate in the convened review of research in which the member had a conflicting interest. IRB minutes will record when the member left the room, with the reason noted as being because of a “conflict of interest.”  IRB members out of the room due to a conflict of interest are not counted toward the meeting quorum. ORRP staff are responsible for monitoring IRB meeting attendance to ensure that quorum is maintained.</w:t>
      </w:r>
    </w:p>
    <w:p w14:paraId="0DF64E97" w14:textId="77777777" w:rsidR="00DC369A" w:rsidRPr="00336E62" w:rsidRDefault="00DC369A" w:rsidP="00DC369A">
      <w:pPr>
        <w:ind w:left="360"/>
        <w:rPr>
          <w:rStyle w:val="Strong"/>
          <w:b w:val="0"/>
        </w:rPr>
      </w:pPr>
    </w:p>
    <w:p w14:paraId="3D31A802" w14:textId="77777777" w:rsidR="0067674D" w:rsidRDefault="0067674D" w:rsidP="00A07209">
      <w:pPr>
        <w:numPr>
          <w:ilvl w:val="0"/>
          <w:numId w:val="403"/>
        </w:numPr>
        <w:tabs>
          <w:tab w:val="clear" w:pos="1008"/>
          <w:tab w:val="num" w:pos="360"/>
        </w:tabs>
        <w:spacing w:after="0" w:line="240" w:lineRule="auto"/>
        <w:ind w:left="360" w:hanging="540"/>
        <w:rPr>
          <w:rStyle w:val="Strong"/>
          <w:b w:val="0"/>
        </w:rPr>
      </w:pPr>
      <w:r>
        <w:rPr>
          <w:rStyle w:val="Strong"/>
        </w:rPr>
        <w:t>Applicable Regulations/Guidance</w:t>
      </w:r>
    </w:p>
    <w:p w14:paraId="35073490" w14:textId="77777777" w:rsidR="00DC369A" w:rsidRPr="00DC369A" w:rsidRDefault="00DC369A" w:rsidP="00DC369A">
      <w:pPr>
        <w:spacing w:after="0" w:line="240" w:lineRule="auto"/>
        <w:ind w:left="360"/>
        <w:rPr>
          <w:rStyle w:val="Strong"/>
          <w:b w:val="0"/>
        </w:rPr>
      </w:pPr>
    </w:p>
    <w:p w14:paraId="70783800" w14:textId="77777777" w:rsidR="0067674D" w:rsidRDefault="0067674D" w:rsidP="0067674D">
      <w:pPr>
        <w:widowControl w:val="0"/>
        <w:autoSpaceDE w:val="0"/>
        <w:autoSpaceDN w:val="0"/>
        <w:adjustRightInd w:val="0"/>
        <w:ind w:left="360"/>
        <w:rPr>
          <w:bCs/>
        </w:rPr>
      </w:pPr>
      <w:r>
        <w:t>21 CFR 54, 21 CFR 56.107; 42 CFR 50, Subpart F; 45 CFR 46.107; DHHS “Financial Relationships and Interests in Research Involving Human Subjects: Guidance for Human Subject Protection” (05/05/04); FDA guidance “Financial Disclosure by Clinical Investigators” (02/01/13); NIH “</w:t>
      </w:r>
      <w:r>
        <w:rPr>
          <w:bCs/>
        </w:rPr>
        <w:t>Frequently Asked Questions: Responsibility of Applicants for Promoting Objectivity in Research for which PHS Funding is Sought” (10/22/15), NSF Grant Policy Manual, Chapter V, “Conflict of Interest Policies” (07/05)</w:t>
      </w:r>
    </w:p>
    <w:p w14:paraId="4F0940F9" w14:textId="77777777" w:rsidR="0067674D" w:rsidRPr="00336E62" w:rsidRDefault="0067674D" w:rsidP="0067674D">
      <w:pPr>
        <w:widowControl w:val="0"/>
        <w:autoSpaceDE w:val="0"/>
        <w:autoSpaceDN w:val="0"/>
        <w:adjustRightInd w:val="0"/>
        <w:ind w:left="360"/>
        <w:rPr>
          <w:b/>
          <w:bCs/>
        </w:rPr>
      </w:pPr>
    </w:p>
    <w:p w14:paraId="310E7CBB" w14:textId="77777777" w:rsidR="00DC369A" w:rsidRDefault="0067674D" w:rsidP="00A07209">
      <w:pPr>
        <w:widowControl w:val="0"/>
        <w:numPr>
          <w:ilvl w:val="0"/>
          <w:numId w:val="403"/>
        </w:numPr>
        <w:tabs>
          <w:tab w:val="clear" w:pos="1008"/>
        </w:tabs>
        <w:autoSpaceDE w:val="0"/>
        <w:autoSpaceDN w:val="0"/>
        <w:adjustRightInd w:val="0"/>
        <w:spacing w:after="0" w:line="240" w:lineRule="auto"/>
        <w:ind w:left="360"/>
        <w:rPr>
          <w:b/>
          <w:bCs/>
        </w:rPr>
      </w:pPr>
      <w:r>
        <w:rPr>
          <w:b/>
          <w:bCs/>
        </w:rPr>
        <w:t>History</w:t>
      </w:r>
    </w:p>
    <w:p w14:paraId="13D3D778" w14:textId="77777777" w:rsidR="00DC369A" w:rsidRPr="00DC369A" w:rsidRDefault="00DC369A" w:rsidP="00DC369A">
      <w:pPr>
        <w:widowControl w:val="0"/>
        <w:autoSpaceDE w:val="0"/>
        <w:autoSpaceDN w:val="0"/>
        <w:adjustRightInd w:val="0"/>
        <w:spacing w:after="0" w:line="240" w:lineRule="auto"/>
        <w:ind w:left="360"/>
        <w:rPr>
          <w:b/>
          <w:bCs/>
        </w:rPr>
      </w:pPr>
    </w:p>
    <w:p w14:paraId="40FDDFA6" w14:textId="77777777" w:rsidR="00DC369A" w:rsidRPr="00DC369A" w:rsidRDefault="0067674D" w:rsidP="00DC369A">
      <w:pPr>
        <w:widowControl w:val="0"/>
        <w:autoSpaceDE w:val="0"/>
        <w:autoSpaceDN w:val="0"/>
        <w:adjustRightInd w:val="0"/>
        <w:spacing w:after="0" w:line="240" w:lineRule="auto"/>
        <w:ind w:left="360"/>
        <w:rPr>
          <w:b/>
          <w:bCs/>
        </w:rPr>
      </w:pPr>
      <w:r>
        <w:t xml:space="preserve">Issued: 11/10/2008 </w:t>
      </w:r>
    </w:p>
    <w:p w14:paraId="6679C0F7" w14:textId="77777777" w:rsidR="00DC369A" w:rsidRPr="00DC369A" w:rsidRDefault="0067674D" w:rsidP="00DC369A">
      <w:pPr>
        <w:widowControl w:val="0"/>
        <w:autoSpaceDE w:val="0"/>
        <w:autoSpaceDN w:val="0"/>
        <w:adjustRightInd w:val="0"/>
        <w:spacing w:after="0" w:line="240" w:lineRule="auto"/>
        <w:ind w:left="360"/>
        <w:rPr>
          <w:b/>
          <w:bCs/>
        </w:rPr>
      </w:pPr>
      <w:r>
        <w:t>Revised: 04/28/2009, 10/17/2016</w:t>
      </w:r>
    </w:p>
    <w:p w14:paraId="67EC9F84" w14:textId="77777777" w:rsidR="003E4E60" w:rsidRPr="00DC369A" w:rsidRDefault="0067674D" w:rsidP="00DC369A">
      <w:pPr>
        <w:widowControl w:val="0"/>
        <w:autoSpaceDE w:val="0"/>
        <w:autoSpaceDN w:val="0"/>
        <w:adjustRightInd w:val="0"/>
        <w:spacing w:after="0" w:line="240" w:lineRule="auto"/>
        <w:ind w:left="360"/>
        <w:rPr>
          <w:b/>
          <w:bCs/>
        </w:rPr>
      </w:pPr>
      <w:r>
        <w:t>Edited: 02/15/2010, 07/27/2012, 04/20/2022</w:t>
      </w:r>
      <w:r>
        <w:br w:type="page"/>
      </w:r>
    </w:p>
    <w:p w14:paraId="7BB07858" w14:textId="77777777" w:rsidR="0019780A" w:rsidRPr="003752E4" w:rsidRDefault="686EA96A" w:rsidP="00471B9E">
      <w:pPr>
        <w:pStyle w:val="Heading2"/>
      </w:pPr>
      <w:bookmarkStart w:id="381" w:name="B31"/>
      <w:bookmarkStart w:id="382" w:name="_Toc212142228"/>
      <w:bookmarkStart w:id="383" w:name="_Toc225507768"/>
      <w:r>
        <w:lastRenderedPageBreak/>
        <w:t xml:space="preserve">Appendix B-31  </w:t>
      </w:r>
      <w:bookmarkEnd w:id="381"/>
      <w:r>
        <w:tab/>
      </w:r>
      <w:bookmarkStart w:id="384" w:name="Alleg42"/>
      <w:bookmarkStart w:id="385" w:name="Susp46"/>
      <w:bookmarkStart w:id="386" w:name="UnProb48"/>
      <w:bookmarkStart w:id="387" w:name="exception"/>
      <w:bookmarkEnd w:id="384"/>
      <w:bookmarkEnd w:id="385"/>
      <w:bookmarkEnd w:id="386"/>
      <w:bookmarkEnd w:id="387"/>
      <w:r>
        <w:t>IRB Reporting – Unanticipated Problems, Noncompliance, Suspensions, and Terminations</w:t>
      </w:r>
      <w:bookmarkEnd w:id="382"/>
      <w:bookmarkEnd w:id="383"/>
    </w:p>
    <w:p w14:paraId="3C05CFAA" w14:textId="77777777" w:rsidR="0019780A" w:rsidRPr="003752E4" w:rsidRDefault="0019780A" w:rsidP="0019780A">
      <w:pPr>
        <w:rPr>
          <w:b/>
          <w:smallCaps/>
        </w:rPr>
      </w:pPr>
      <w:r>
        <w:rPr>
          <w:b/>
          <w:smallCaps/>
        </w:rPr>
        <w:t xml:space="preserve"> </w:t>
      </w:r>
    </w:p>
    <w:p w14:paraId="45FC84CC" w14:textId="77777777" w:rsidR="0019780A" w:rsidRDefault="0019780A" w:rsidP="00A07209">
      <w:pPr>
        <w:numPr>
          <w:ilvl w:val="0"/>
          <w:numId w:val="74"/>
        </w:numPr>
        <w:spacing w:after="0" w:line="240" w:lineRule="auto"/>
        <w:rPr>
          <w:b/>
        </w:rPr>
      </w:pPr>
      <w:r>
        <w:rPr>
          <w:b/>
        </w:rPr>
        <w:t>Overview</w:t>
      </w:r>
    </w:p>
    <w:p w14:paraId="037F705D" w14:textId="77777777" w:rsidR="00DC7C65" w:rsidRPr="00DC7C65" w:rsidRDefault="00DC7C65" w:rsidP="00DC7C65">
      <w:pPr>
        <w:spacing w:after="0" w:line="240" w:lineRule="auto"/>
        <w:ind w:left="360"/>
        <w:rPr>
          <w:b/>
        </w:rPr>
      </w:pPr>
    </w:p>
    <w:p w14:paraId="4B0642A0" w14:textId="77777777" w:rsidR="0019780A" w:rsidRPr="003752E4" w:rsidRDefault="0019780A" w:rsidP="0019780A">
      <w:pPr>
        <w:spacing w:after="60"/>
        <w:ind w:left="360"/>
      </w:pPr>
      <w:r>
        <w:t xml:space="preserve">For federally sponsored research, regulations require that institutions and IRBs report the following determinations to investigators, the IRBs, institutional officials, and federal agencies: </w:t>
      </w:r>
    </w:p>
    <w:p w14:paraId="4A36DFB9" w14:textId="77777777" w:rsidR="0019780A" w:rsidRPr="003752E4" w:rsidRDefault="0019780A" w:rsidP="00A07209">
      <w:pPr>
        <w:numPr>
          <w:ilvl w:val="0"/>
          <w:numId w:val="75"/>
        </w:numPr>
        <w:tabs>
          <w:tab w:val="clear" w:pos="720"/>
          <w:tab w:val="num" w:pos="1080"/>
        </w:tabs>
        <w:spacing w:after="60" w:line="240" w:lineRule="auto"/>
        <w:ind w:left="1080"/>
      </w:pPr>
      <w:r>
        <w:t>Unanticipated problems involving risks to subjects or others</w:t>
      </w:r>
    </w:p>
    <w:p w14:paraId="36318FC1" w14:textId="77777777" w:rsidR="0019780A" w:rsidRPr="003752E4" w:rsidRDefault="0019780A" w:rsidP="00A07209">
      <w:pPr>
        <w:numPr>
          <w:ilvl w:val="0"/>
          <w:numId w:val="75"/>
        </w:numPr>
        <w:tabs>
          <w:tab w:val="clear" w:pos="720"/>
          <w:tab w:val="num" w:pos="1080"/>
        </w:tabs>
        <w:spacing w:after="60" w:line="240" w:lineRule="auto"/>
        <w:ind w:left="1080"/>
      </w:pPr>
      <w:r>
        <w:t>Serious noncompliance</w:t>
      </w:r>
    </w:p>
    <w:p w14:paraId="2664A6E5" w14:textId="77777777" w:rsidR="0019780A" w:rsidRPr="003752E4" w:rsidRDefault="0019780A" w:rsidP="00A07209">
      <w:pPr>
        <w:numPr>
          <w:ilvl w:val="0"/>
          <w:numId w:val="75"/>
        </w:numPr>
        <w:tabs>
          <w:tab w:val="clear" w:pos="720"/>
          <w:tab w:val="num" w:pos="1080"/>
        </w:tabs>
        <w:spacing w:after="60" w:line="240" w:lineRule="auto"/>
        <w:ind w:left="1080"/>
      </w:pPr>
      <w:r>
        <w:t>Continuing noncompliance</w:t>
      </w:r>
    </w:p>
    <w:p w14:paraId="7E63797A" w14:textId="77777777" w:rsidR="0019780A" w:rsidRPr="003752E4" w:rsidRDefault="0019780A" w:rsidP="00A07209">
      <w:pPr>
        <w:numPr>
          <w:ilvl w:val="0"/>
          <w:numId w:val="75"/>
        </w:numPr>
        <w:tabs>
          <w:tab w:val="clear" w:pos="720"/>
          <w:tab w:val="num" w:pos="1080"/>
        </w:tabs>
        <w:spacing w:after="60" w:line="240" w:lineRule="auto"/>
        <w:ind w:left="1080"/>
      </w:pPr>
      <w:r>
        <w:t xml:space="preserve">Suspensions of IRB approval </w:t>
      </w:r>
    </w:p>
    <w:p w14:paraId="493838CD" w14:textId="77777777" w:rsidR="0019780A" w:rsidRDefault="0019780A" w:rsidP="00A07209">
      <w:pPr>
        <w:numPr>
          <w:ilvl w:val="0"/>
          <w:numId w:val="75"/>
        </w:numPr>
        <w:tabs>
          <w:tab w:val="clear" w:pos="720"/>
          <w:tab w:val="num" w:pos="1080"/>
        </w:tabs>
        <w:spacing w:after="0" w:line="240" w:lineRule="auto"/>
        <w:ind w:left="1080"/>
      </w:pPr>
      <w:r>
        <w:t>Terminations of IRB approval</w:t>
      </w:r>
    </w:p>
    <w:p w14:paraId="0CE7F781" w14:textId="77777777" w:rsidR="00DC7C65" w:rsidRPr="00DC7C65" w:rsidRDefault="00DC7C65" w:rsidP="00DC7C65">
      <w:pPr>
        <w:spacing w:after="0" w:line="240" w:lineRule="auto"/>
        <w:ind w:left="1080"/>
      </w:pPr>
    </w:p>
    <w:p w14:paraId="3A0EB9F9" w14:textId="77777777" w:rsidR="00DC7C65" w:rsidRPr="00DC7C65" w:rsidRDefault="0019780A" w:rsidP="00DC7C65">
      <w:pPr>
        <w:ind w:left="360"/>
      </w:pPr>
      <w:r>
        <w:t>For all other research involving human subjects, reports of these determinations are provided to investigators, the IRBs, and appropriate institutional officials. The content, timing, and communication of these reports are described in further detail below.</w:t>
      </w:r>
    </w:p>
    <w:p w14:paraId="62016271" w14:textId="77777777" w:rsidR="0019780A" w:rsidRDefault="0019780A" w:rsidP="00A07209">
      <w:pPr>
        <w:numPr>
          <w:ilvl w:val="0"/>
          <w:numId w:val="74"/>
        </w:numPr>
        <w:spacing w:after="0" w:line="240" w:lineRule="auto"/>
        <w:rPr>
          <w:b/>
        </w:rPr>
      </w:pPr>
      <w:r>
        <w:rPr>
          <w:b/>
        </w:rPr>
        <w:t>Report Content and Review</w:t>
      </w:r>
    </w:p>
    <w:p w14:paraId="6A2A72D9" w14:textId="77777777" w:rsidR="00DC7C65" w:rsidRPr="00DC7C65" w:rsidRDefault="00DC7C65" w:rsidP="00DC7C65">
      <w:pPr>
        <w:spacing w:after="0" w:line="240" w:lineRule="auto"/>
        <w:ind w:left="360"/>
        <w:rPr>
          <w:b/>
        </w:rPr>
      </w:pPr>
    </w:p>
    <w:p w14:paraId="7984DAF3" w14:textId="77777777" w:rsidR="0019780A" w:rsidRDefault="0019780A" w:rsidP="00A07209">
      <w:pPr>
        <w:numPr>
          <w:ilvl w:val="1"/>
          <w:numId w:val="74"/>
        </w:numPr>
        <w:spacing w:after="0" w:line="240" w:lineRule="auto"/>
        <w:ind w:left="1080" w:hanging="360"/>
      </w:pPr>
      <w:r>
        <w:t>Reports of IRB actions/determinations are initially drafted by an ORRP staff member with assistance from the Office of Research Compliance and/or Office of Legal Affairs, as needed.</w:t>
      </w:r>
    </w:p>
    <w:p w14:paraId="78D0A099" w14:textId="77777777" w:rsidR="00DC7C65" w:rsidRPr="00DC7C65" w:rsidRDefault="00DC7C65" w:rsidP="00DC7C65">
      <w:pPr>
        <w:spacing w:after="0" w:line="240" w:lineRule="auto"/>
        <w:ind w:left="720"/>
      </w:pPr>
    </w:p>
    <w:p w14:paraId="76AE0564" w14:textId="77777777" w:rsidR="0019780A" w:rsidRPr="003752E4" w:rsidRDefault="0019780A" w:rsidP="00A07209">
      <w:pPr>
        <w:numPr>
          <w:ilvl w:val="1"/>
          <w:numId w:val="74"/>
        </w:numPr>
        <w:spacing w:after="60" w:line="240" w:lineRule="auto"/>
        <w:ind w:left="1080" w:hanging="360"/>
      </w:pPr>
      <w:r>
        <w:t>Each report includes (but is not limited to) the following information:</w:t>
      </w:r>
    </w:p>
    <w:p w14:paraId="0D11B841" w14:textId="77777777" w:rsidR="0019780A" w:rsidRPr="003752E4" w:rsidRDefault="0019780A" w:rsidP="00A07209">
      <w:pPr>
        <w:numPr>
          <w:ilvl w:val="2"/>
          <w:numId w:val="76"/>
        </w:numPr>
        <w:tabs>
          <w:tab w:val="clear" w:pos="2160"/>
        </w:tabs>
        <w:spacing w:after="60" w:line="240" w:lineRule="auto"/>
        <w:ind w:left="1800"/>
      </w:pPr>
      <w:r>
        <w:t>Institution conducting the research (e.g., The Ohio State University)</w:t>
      </w:r>
    </w:p>
    <w:p w14:paraId="7BD650E1" w14:textId="77777777" w:rsidR="0019780A" w:rsidRDefault="0019780A" w:rsidP="00A07209">
      <w:pPr>
        <w:numPr>
          <w:ilvl w:val="2"/>
          <w:numId w:val="76"/>
        </w:numPr>
        <w:tabs>
          <w:tab w:val="clear" w:pos="2160"/>
        </w:tabs>
        <w:spacing w:after="60" w:line="240" w:lineRule="auto"/>
        <w:ind w:left="1800"/>
      </w:pPr>
      <w:r>
        <w:t xml:space="preserve">Title of the research protocol and grant proposal (as applicable) in which the problem, noncompliance, and/or suspension or termination occurred </w:t>
      </w:r>
    </w:p>
    <w:p w14:paraId="67E9BB93" w14:textId="77777777" w:rsidR="0019780A" w:rsidRPr="003752E4" w:rsidRDefault="0019780A" w:rsidP="00A07209">
      <w:pPr>
        <w:numPr>
          <w:ilvl w:val="2"/>
          <w:numId w:val="76"/>
        </w:numPr>
        <w:tabs>
          <w:tab w:val="clear" w:pos="2160"/>
        </w:tabs>
        <w:spacing w:after="60" w:line="240" w:lineRule="auto"/>
        <w:ind w:left="1800"/>
      </w:pPr>
      <w:r>
        <w:t>Principal investigator of the research protocol and award, as applicable</w:t>
      </w:r>
    </w:p>
    <w:p w14:paraId="0CCDEFB7" w14:textId="77777777" w:rsidR="0019780A" w:rsidRPr="003752E4" w:rsidRDefault="0019780A" w:rsidP="00A07209">
      <w:pPr>
        <w:numPr>
          <w:ilvl w:val="2"/>
          <w:numId w:val="76"/>
        </w:numPr>
        <w:tabs>
          <w:tab w:val="clear" w:pos="2160"/>
          <w:tab w:val="num" w:pos="1440"/>
        </w:tabs>
        <w:spacing w:after="60" w:line="240" w:lineRule="auto"/>
        <w:ind w:left="1800"/>
      </w:pPr>
      <w:r>
        <w:t>Protocol number assigned to the study by the IRB and number (internal and sponsor-defined) of any applicable federal award(s) (grant, contract, or cooperative agreement)</w:t>
      </w:r>
    </w:p>
    <w:p w14:paraId="5371F5E1" w14:textId="77777777" w:rsidR="0019780A" w:rsidRPr="003752E4" w:rsidRDefault="0019780A" w:rsidP="00A07209">
      <w:pPr>
        <w:numPr>
          <w:ilvl w:val="2"/>
          <w:numId w:val="76"/>
        </w:numPr>
        <w:tabs>
          <w:tab w:val="clear" w:pos="2160"/>
          <w:tab w:val="num" w:pos="1440"/>
        </w:tabs>
        <w:spacing w:after="60" w:line="240" w:lineRule="auto"/>
        <w:ind w:left="1800"/>
      </w:pPr>
      <w:r>
        <w:t xml:space="preserve">Number of participants enrolled in the study </w:t>
      </w:r>
    </w:p>
    <w:p w14:paraId="55F28DA2" w14:textId="77777777" w:rsidR="0019780A" w:rsidRPr="003752E4" w:rsidRDefault="0019780A" w:rsidP="00A07209">
      <w:pPr>
        <w:numPr>
          <w:ilvl w:val="2"/>
          <w:numId w:val="76"/>
        </w:numPr>
        <w:tabs>
          <w:tab w:val="clear" w:pos="2160"/>
          <w:tab w:val="num" w:pos="1440"/>
        </w:tabs>
        <w:spacing w:after="60" w:line="240" w:lineRule="auto"/>
        <w:ind w:left="1800"/>
      </w:pPr>
      <w:r>
        <w:t>Detailed description of the problem or noncompliance (if applicable)</w:t>
      </w:r>
    </w:p>
    <w:p w14:paraId="553051F9" w14:textId="77777777" w:rsidR="0019780A" w:rsidRPr="003752E4" w:rsidRDefault="0019780A" w:rsidP="00A07209">
      <w:pPr>
        <w:numPr>
          <w:ilvl w:val="2"/>
          <w:numId w:val="76"/>
        </w:numPr>
        <w:tabs>
          <w:tab w:val="clear" w:pos="2160"/>
          <w:tab w:val="num" w:pos="1440"/>
        </w:tabs>
        <w:spacing w:after="60" w:line="240" w:lineRule="auto"/>
        <w:ind w:left="1800"/>
      </w:pPr>
      <w:r>
        <w:t>Reason(s) for IRB suspension or termination (if applicable)</w:t>
      </w:r>
    </w:p>
    <w:p w14:paraId="39C59A4B" w14:textId="77777777" w:rsidR="0019780A" w:rsidRPr="003752E4" w:rsidRDefault="0019780A" w:rsidP="00A07209">
      <w:pPr>
        <w:numPr>
          <w:ilvl w:val="2"/>
          <w:numId w:val="76"/>
        </w:numPr>
        <w:tabs>
          <w:tab w:val="clear" w:pos="2160"/>
          <w:tab w:val="num" w:pos="1440"/>
        </w:tabs>
        <w:spacing w:after="60" w:line="240" w:lineRule="auto"/>
        <w:ind w:left="1800"/>
      </w:pPr>
      <w:r>
        <w:t>Plans for continued investigation (if applicable)</w:t>
      </w:r>
    </w:p>
    <w:p w14:paraId="6CBD0B1B" w14:textId="77777777" w:rsidR="0019780A" w:rsidRPr="003752E4" w:rsidRDefault="0019780A" w:rsidP="00A07209">
      <w:pPr>
        <w:numPr>
          <w:ilvl w:val="2"/>
          <w:numId w:val="76"/>
        </w:numPr>
        <w:tabs>
          <w:tab w:val="clear" w:pos="2160"/>
          <w:tab w:val="num" w:pos="1440"/>
        </w:tabs>
        <w:spacing w:after="60" w:line="240" w:lineRule="auto"/>
        <w:ind w:left="1800"/>
      </w:pPr>
      <w:r>
        <w:t>Action(s) taken or plans for action to address the problem, noncompliance, and/or suspension or termination</w:t>
      </w:r>
    </w:p>
    <w:p w14:paraId="2B5FFF2C" w14:textId="77777777" w:rsidR="0019780A" w:rsidRPr="003752E4" w:rsidRDefault="0019780A" w:rsidP="00DC7C65">
      <w:pPr>
        <w:ind w:left="1440"/>
      </w:pPr>
      <w:r>
        <w:t>Reports may be accompanied by supplemental materials (e.g., redacted IRB minutes) to provide additional background and details as needed.</w:t>
      </w:r>
    </w:p>
    <w:p w14:paraId="1CCD1846" w14:textId="77777777" w:rsidR="0019780A" w:rsidRDefault="0019780A" w:rsidP="00A07209">
      <w:pPr>
        <w:numPr>
          <w:ilvl w:val="1"/>
          <w:numId w:val="74"/>
        </w:numPr>
        <w:spacing w:after="0" w:line="240" w:lineRule="auto"/>
        <w:ind w:left="1080" w:hanging="360"/>
      </w:pPr>
      <w:r>
        <w:t xml:space="preserve">For research not federally sponsored or FDA-regulated, internal reports are based upon meeting minutes and are composed by ORRP staff. Internal notifications of board determinations may be sent via Buck-IRB. </w:t>
      </w:r>
    </w:p>
    <w:p w14:paraId="0328EE61" w14:textId="77777777" w:rsidR="00DC7C65" w:rsidRPr="00DC7C65" w:rsidRDefault="00DC7C65" w:rsidP="00DC7C65">
      <w:pPr>
        <w:spacing w:after="0" w:line="240" w:lineRule="auto"/>
        <w:ind w:left="720"/>
      </w:pPr>
    </w:p>
    <w:p w14:paraId="544DB483" w14:textId="77777777" w:rsidR="0019780A" w:rsidRPr="003752E4" w:rsidRDefault="0019780A" w:rsidP="00A07209">
      <w:pPr>
        <w:numPr>
          <w:ilvl w:val="1"/>
          <w:numId w:val="74"/>
        </w:numPr>
        <w:spacing w:after="0" w:line="240" w:lineRule="auto"/>
        <w:ind w:left="1080" w:hanging="360"/>
      </w:pPr>
      <w:r>
        <w:t>Federally sponsored and/or FDA-regulated research reports are sent to the institutional official for approval and signature prior to internal and external distribution.</w:t>
      </w:r>
    </w:p>
    <w:p w14:paraId="4412E50D" w14:textId="77777777" w:rsidR="0019780A" w:rsidRPr="003752E4" w:rsidRDefault="0019780A" w:rsidP="0019780A"/>
    <w:p w14:paraId="23E9FDF0" w14:textId="77777777" w:rsidR="0019780A" w:rsidRDefault="0019780A" w:rsidP="00A07209">
      <w:pPr>
        <w:numPr>
          <w:ilvl w:val="0"/>
          <w:numId w:val="74"/>
        </w:numPr>
        <w:spacing w:after="0" w:line="240" w:lineRule="auto"/>
        <w:rPr>
          <w:b/>
        </w:rPr>
      </w:pPr>
      <w:r>
        <w:rPr>
          <w:b/>
        </w:rPr>
        <w:t>Report Distribution and Timing</w:t>
      </w:r>
    </w:p>
    <w:p w14:paraId="62BFAE56" w14:textId="77777777" w:rsidR="00DC7C65" w:rsidRPr="00DC7C65" w:rsidRDefault="00DC7C65" w:rsidP="00DC7C65">
      <w:pPr>
        <w:spacing w:after="0" w:line="240" w:lineRule="auto"/>
        <w:ind w:left="360"/>
        <w:rPr>
          <w:b/>
        </w:rPr>
      </w:pPr>
    </w:p>
    <w:p w14:paraId="6E900463" w14:textId="77777777" w:rsidR="00DC7C65" w:rsidRPr="003752E4" w:rsidRDefault="0019780A" w:rsidP="00DC7C65">
      <w:pPr>
        <w:ind w:left="360"/>
      </w:pPr>
      <w:r>
        <w:lastRenderedPageBreak/>
        <w:t>Reports of unanticipated problems, serious and/or continuing noncompliance, suspensions, and terminations will be distributed within 30 days of IRB review and determination, as described below.</w:t>
      </w:r>
    </w:p>
    <w:p w14:paraId="2605406E" w14:textId="77777777" w:rsidR="0019780A" w:rsidRPr="00DC7C65" w:rsidRDefault="0019780A" w:rsidP="00DC7C65">
      <w:pPr>
        <w:tabs>
          <w:tab w:val="left" w:pos="720"/>
        </w:tabs>
        <w:ind w:left="180"/>
        <w:rPr>
          <w:b/>
        </w:rPr>
      </w:pPr>
      <w:r>
        <w:rPr>
          <w:b/>
        </w:rPr>
        <w:t>3.1</w:t>
      </w:r>
      <w:r>
        <w:rPr>
          <w:b/>
        </w:rPr>
        <w:tab/>
        <w:t>Federally Sponsored Research</w:t>
      </w:r>
    </w:p>
    <w:p w14:paraId="3285762E" w14:textId="77777777" w:rsidR="0019780A" w:rsidRPr="003752E4" w:rsidRDefault="0019780A" w:rsidP="0019780A">
      <w:pPr>
        <w:spacing w:after="60"/>
        <w:ind w:left="720"/>
      </w:pPr>
      <w:r>
        <w:t>ORRP staff will distribute copies of the signed report (with applicable attachments) to the following as required by regulations:</w:t>
      </w:r>
    </w:p>
    <w:p w14:paraId="4513A1B8" w14:textId="77777777" w:rsidR="0019780A" w:rsidRPr="003752E4" w:rsidRDefault="0019780A" w:rsidP="00A07209">
      <w:pPr>
        <w:numPr>
          <w:ilvl w:val="3"/>
          <w:numId w:val="77"/>
        </w:numPr>
        <w:spacing w:after="60" w:line="240" w:lineRule="auto"/>
        <w:ind w:left="1440"/>
      </w:pPr>
      <w:r>
        <w:t>OHRP, for DHHS-regulated research</w:t>
      </w:r>
    </w:p>
    <w:p w14:paraId="1D2FF5F9" w14:textId="77777777" w:rsidR="0019780A" w:rsidRPr="003752E4" w:rsidRDefault="0019780A" w:rsidP="00A07209">
      <w:pPr>
        <w:numPr>
          <w:ilvl w:val="3"/>
          <w:numId w:val="77"/>
        </w:numPr>
        <w:spacing w:after="60" w:line="240" w:lineRule="auto"/>
        <w:ind w:left="1440"/>
      </w:pPr>
      <w:r>
        <w:t xml:space="preserve">FDA, for FDA-regulated research (except as </w:t>
      </w:r>
      <w:hyperlink w:anchor="exception" w:history="1">
        <w:r>
          <w:rPr>
            <w:rStyle w:val="Hyperlink"/>
          </w:rPr>
          <w:t>described below</w:t>
        </w:r>
      </w:hyperlink>
      <w:r>
        <w:t>)</w:t>
      </w:r>
    </w:p>
    <w:p w14:paraId="53FC1B09" w14:textId="77777777" w:rsidR="0019780A" w:rsidRPr="003752E4" w:rsidRDefault="0019780A" w:rsidP="00A07209">
      <w:pPr>
        <w:numPr>
          <w:ilvl w:val="3"/>
          <w:numId w:val="77"/>
        </w:numPr>
        <w:spacing w:after="60" w:line="240" w:lineRule="auto"/>
        <w:ind w:left="1440"/>
      </w:pPr>
      <w:r>
        <w:t>Other federal agencies when the research is overseen by the agency and separate reporting is required</w:t>
      </w:r>
    </w:p>
    <w:p w14:paraId="09A61059" w14:textId="77777777" w:rsidR="0019780A" w:rsidRPr="003752E4" w:rsidRDefault="0019780A" w:rsidP="00A07209">
      <w:pPr>
        <w:numPr>
          <w:ilvl w:val="3"/>
          <w:numId w:val="77"/>
        </w:numPr>
        <w:spacing w:after="60" w:line="240" w:lineRule="auto"/>
        <w:ind w:left="1440"/>
      </w:pPr>
      <w:r>
        <w:t>Sponsor of the research (if other than above)</w:t>
      </w:r>
    </w:p>
    <w:p w14:paraId="42CDE546" w14:textId="77777777" w:rsidR="0019780A" w:rsidRPr="003752E4" w:rsidRDefault="0019780A" w:rsidP="00A07209">
      <w:pPr>
        <w:numPr>
          <w:ilvl w:val="3"/>
          <w:numId w:val="77"/>
        </w:numPr>
        <w:spacing w:after="60" w:line="240" w:lineRule="auto"/>
        <w:ind w:left="1440"/>
      </w:pPr>
      <w:r>
        <w:t>IRBs</w:t>
      </w:r>
    </w:p>
    <w:p w14:paraId="6FE17815" w14:textId="77777777" w:rsidR="0019780A" w:rsidRPr="003752E4" w:rsidRDefault="0019780A" w:rsidP="00A07209">
      <w:pPr>
        <w:numPr>
          <w:ilvl w:val="3"/>
          <w:numId w:val="77"/>
        </w:numPr>
        <w:spacing w:after="60" w:line="240" w:lineRule="auto"/>
        <w:ind w:left="1440"/>
      </w:pPr>
      <w:r>
        <w:t>Principal investigator</w:t>
      </w:r>
    </w:p>
    <w:p w14:paraId="37C8ACAC" w14:textId="77777777" w:rsidR="0019780A" w:rsidRPr="003752E4" w:rsidRDefault="0019780A" w:rsidP="00A07209">
      <w:pPr>
        <w:numPr>
          <w:ilvl w:val="1"/>
          <w:numId w:val="77"/>
        </w:numPr>
        <w:spacing w:after="60" w:line="240" w:lineRule="auto"/>
      </w:pPr>
      <w:r>
        <w:t>Co-investigator(s)</w:t>
      </w:r>
    </w:p>
    <w:p w14:paraId="289523D1" w14:textId="77777777" w:rsidR="0019780A" w:rsidRPr="003752E4" w:rsidRDefault="0019780A" w:rsidP="00A07209">
      <w:pPr>
        <w:numPr>
          <w:ilvl w:val="3"/>
          <w:numId w:val="77"/>
        </w:numPr>
        <w:spacing w:after="60" w:line="240" w:lineRule="auto"/>
        <w:ind w:left="1440"/>
      </w:pPr>
      <w:r>
        <w:t>Principal investigator’s department and/or division chair (or signatory official)</w:t>
      </w:r>
    </w:p>
    <w:p w14:paraId="7C8BE0E3" w14:textId="77777777" w:rsidR="0019780A" w:rsidRPr="003752E4" w:rsidRDefault="0019780A" w:rsidP="00A07209">
      <w:pPr>
        <w:numPr>
          <w:ilvl w:val="3"/>
          <w:numId w:val="77"/>
        </w:numPr>
        <w:spacing w:after="60" w:line="240" w:lineRule="auto"/>
        <w:ind w:left="1440"/>
      </w:pPr>
      <w:r>
        <w:t>Director of the Office of Sponsored Programs and/or designee</w:t>
      </w:r>
    </w:p>
    <w:p w14:paraId="1D3F6E1C" w14:textId="77777777" w:rsidR="0019780A" w:rsidRPr="003752E4" w:rsidRDefault="0019780A" w:rsidP="00A07209">
      <w:pPr>
        <w:numPr>
          <w:ilvl w:val="3"/>
          <w:numId w:val="77"/>
        </w:numPr>
        <w:spacing w:after="60" w:line="240" w:lineRule="auto"/>
        <w:ind w:left="1440"/>
      </w:pPr>
      <w:r>
        <w:t>Principal investigator’s college research officer and/or dean</w:t>
      </w:r>
    </w:p>
    <w:p w14:paraId="256FF593" w14:textId="77777777" w:rsidR="0019780A" w:rsidRPr="003752E4" w:rsidRDefault="0019780A" w:rsidP="00A07209">
      <w:pPr>
        <w:numPr>
          <w:ilvl w:val="3"/>
          <w:numId w:val="77"/>
        </w:numPr>
        <w:spacing w:after="60" w:line="240" w:lineRule="auto"/>
        <w:ind w:left="1440"/>
      </w:pPr>
      <w:r>
        <w:t>Director of the Office of Responsible Research Practices</w:t>
      </w:r>
    </w:p>
    <w:p w14:paraId="532CD43B" w14:textId="77777777" w:rsidR="0019780A" w:rsidRPr="003752E4" w:rsidRDefault="0019780A" w:rsidP="0019780A">
      <w:pPr>
        <w:spacing w:after="60"/>
        <w:ind w:left="720"/>
      </w:pPr>
    </w:p>
    <w:p w14:paraId="79D6AE60" w14:textId="77777777" w:rsidR="0019780A" w:rsidRPr="003752E4" w:rsidRDefault="0019780A" w:rsidP="0019780A">
      <w:pPr>
        <w:spacing w:after="60"/>
        <w:ind w:left="720"/>
      </w:pPr>
      <w:r>
        <w:t>Copies of the report will also be sent to the following based on the nature of the report and at the discretion of the institutional official:</w:t>
      </w:r>
    </w:p>
    <w:p w14:paraId="3BEC9C00" w14:textId="77777777" w:rsidR="0019780A" w:rsidRPr="003752E4" w:rsidRDefault="0019780A" w:rsidP="00A07209">
      <w:pPr>
        <w:numPr>
          <w:ilvl w:val="3"/>
          <w:numId w:val="78"/>
        </w:numPr>
        <w:tabs>
          <w:tab w:val="clear" w:pos="2880"/>
        </w:tabs>
        <w:spacing w:after="60" w:line="240" w:lineRule="auto"/>
        <w:ind w:left="1440"/>
      </w:pPr>
      <w:r>
        <w:t>Office of Research Compliance</w:t>
      </w:r>
    </w:p>
    <w:p w14:paraId="7F29810A" w14:textId="77777777" w:rsidR="0019780A" w:rsidRPr="003752E4" w:rsidRDefault="0019780A" w:rsidP="00A07209">
      <w:pPr>
        <w:numPr>
          <w:ilvl w:val="3"/>
          <w:numId w:val="78"/>
        </w:numPr>
        <w:tabs>
          <w:tab w:val="clear" w:pos="2880"/>
        </w:tabs>
        <w:spacing w:after="60" w:line="240" w:lineRule="auto"/>
        <w:ind w:left="1440"/>
      </w:pPr>
      <w:r>
        <w:t>Other institutional officials (e.g., privacy officer for issues involving PHI)</w:t>
      </w:r>
    </w:p>
    <w:p w14:paraId="7648630D" w14:textId="77777777" w:rsidR="0019780A" w:rsidRPr="003752E4" w:rsidRDefault="0019780A" w:rsidP="00A07209">
      <w:pPr>
        <w:numPr>
          <w:ilvl w:val="3"/>
          <w:numId w:val="78"/>
        </w:numPr>
        <w:tabs>
          <w:tab w:val="clear" w:pos="2880"/>
        </w:tabs>
        <w:spacing w:after="0" w:line="240" w:lineRule="auto"/>
        <w:ind w:left="1440"/>
      </w:pPr>
      <w:r>
        <w:t>Other site(s) involved in the research</w:t>
      </w:r>
    </w:p>
    <w:p w14:paraId="520CE4D4" w14:textId="77777777" w:rsidR="0019780A" w:rsidRPr="003752E4" w:rsidRDefault="0019780A" w:rsidP="0019780A"/>
    <w:p w14:paraId="53B383A3" w14:textId="77777777" w:rsidR="0019780A" w:rsidRPr="00DC7C65" w:rsidRDefault="0019780A" w:rsidP="00DC7C65">
      <w:pPr>
        <w:tabs>
          <w:tab w:val="left" w:pos="720"/>
        </w:tabs>
        <w:ind w:left="180"/>
        <w:rPr>
          <w:b/>
        </w:rPr>
      </w:pPr>
      <w:r>
        <w:rPr>
          <w:b/>
        </w:rPr>
        <w:t>3.2</w:t>
      </w:r>
      <w:r>
        <w:rPr>
          <w:b/>
        </w:rPr>
        <w:tab/>
      </w:r>
      <w:bookmarkStart w:id="388" w:name="nonfed"/>
      <w:bookmarkEnd w:id="388"/>
      <w:r>
        <w:rPr>
          <w:b/>
        </w:rPr>
        <w:t>Research Not Federally Sponsored</w:t>
      </w:r>
    </w:p>
    <w:p w14:paraId="28CDF043" w14:textId="77777777" w:rsidR="0019780A" w:rsidRPr="003752E4" w:rsidRDefault="0019780A" w:rsidP="0019780A">
      <w:pPr>
        <w:spacing w:after="60"/>
        <w:ind w:left="720"/>
      </w:pPr>
      <w:r>
        <w:t>ORRP staff will distribute copies of the signed report (with applicable attachments) to the following for unfunded or non-federally funded research:</w:t>
      </w:r>
    </w:p>
    <w:p w14:paraId="7F871154" w14:textId="77777777" w:rsidR="0019780A" w:rsidRPr="003752E4" w:rsidRDefault="0019780A" w:rsidP="00A07209">
      <w:pPr>
        <w:numPr>
          <w:ilvl w:val="0"/>
          <w:numId w:val="79"/>
        </w:numPr>
        <w:spacing w:after="60" w:line="240" w:lineRule="auto"/>
      </w:pPr>
      <w:r>
        <w:t xml:space="preserve">FDA, for FDA-regulated research (except as </w:t>
      </w:r>
      <w:hyperlink w:anchor="exception" w:history="1">
        <w:r>
          <w:rPr>
            <w:rStyle w:val="Hyperlink"/>
          </w:rPr>
          <w:t>described below</w:t>
        </w:r>
      </w:hyperlink>
      <w:r>
        <w:t>)</w:t>
      </w:r>
    </w:p>
    <w:p w14:paraId="7BB0BF4B" w14:textId="77777777" w:rsidR="0019780A" w:rsidRPr="003752E4" w:rsidRDefault="0019780A" w:rsidP="00A07209">
      <w:pPr>
        <w:numPr>
          <w:ilvl w:val="0"/>
          <w:numId w:val="79"/>
        </w:numPr>
        <w:spacing w:after="60" w:line="240" w:lineRule="auto"/>
      </w:pPr>
      <w:r>
        <w:t>IRBs</w:t>
      </w:r>
    </w:p>
    <w:p w14:paraId="46A7A325" w14:textId="77777777" w:rsidR="0019780A" w:rsidRPr="003752E4" w:rsidRDefault="0019780A" w:rsidP="00A07209">
      <w:pPr>
        <w:numPr>
          <w:ilvl w:val="0"/>
          <w:numId w:val="79"/>
        </w:numPr>
        <w:spacing w:after="60" w:line="240" w:lineRule="auto"/>
      </w:pPr>
      <w:r>
        <w:t>Institutional Official</w:t>
      </w:r>
    </w:p>
    <w:p w14:paraId="282AA8DF" w14:textId="77777777" w:rsidR="0019780A" w:rsidRDefault="0019780A" w:rsidP="00A07209">
      <w:pPr>
        <w:numPr>
          <w:ilvl w:val="0"/>
          <w:numId w:val="79"/>
        </w:numPr>
        <w:spacing w:after="60" w:line="240" w:lineRule="auto"/>
      </w:pPr>
      <w:r>
        <w:t>Principal investigator</w:t>
      </w:r>
    </w:p>
    <w:p w14:paraId="079D321B" w14:textId="77777777" w:rsidR="0019780A" w:rsidRPr="003752E4" w:rsidRDefault="0019780A" w:rsidP="00A07209">
      <w:pPr>
        <w:numPr>
          <w:ilvl w:val="0"/>
          <w:numId w:val="79"/>
        </w:numPr>
        <w:spacing w:after="60" w:line="240" w:lineRule="auto"/>
      </w:pPr>
      <w:r>
        <w:t>Co-investigator(s)</w:t>
      </w:r>
    </w:p>
    <w:p w14:paraId="3497E70A" w14:textId="77777777" w:rsidR="0019780A" w:rsidRPr="003752E4" w:rsidRDefault="0019780A" w:rsidP="00A07209">
      <w:pPr>
        <w:numPr>
          <w:ilvl w:val="0"/>
          <w:numId w:val="79"/>
        </w:numPr>
        <w:spacing w:after="60" w:line="240" w:lineRule="auto"/>
      </w:pPr>
      <w:r>
        <w:t xml:space="preserve">Principal investigator’s department and/or division chair (or signatory official) </w:t>
      </w:r>
    </w:p>
    <w:p w14:paraId="42872B12" w14:textId="77777777" w:rsidR="0019780A" w:rsidRPr="003752E4" w:rsidRDefault="0019780A" w:rsidP="00A07209">
      <w:pPr>
        <w:numPr>
          <w:ilvl w:val="0"/>
          <w:numId w:val="79"/>
        </w:numPr>
        <w:spacing w:after="60" w:line="240" w:lineRule="auto"/>
      </w:pPr>
      <w:r>
        <w:t>Principal investigator’s college research officer and/or dean</w:t>
      </w:r>
    </w:p>
    <w:p w14:paraId="568C3378" w14:textId="77777777" w:rsidR="0019780A" w:rsidRPr="003752E4" w:rsidRDefault="0019780A" w:rsidP="00A07209">
      <w:pPr>
        <w:numPr>
          <w:ilvl w:val="0"/>
          <w:numId w:val="79"/>
        </w:numPr>
        <w:spacing w:after="60" w:line="240" w:lineRule="auto"/>
      </w:pPr>
      <w:r>
        <w:t>Director of the Office of Responsible Research Practices</w:t>
      </w:r>
    </w:p>
    <w:p w14:paraId="5B9F6BF1" w14:textId="77777777" w:rsidR="0019780A" w:rsidRPr="003752E4" w:rsidRDefault="0019780A" w:rsidP="0019780A">
      <w:pPr>
        <w:spacing w:after="60"/>
        <w:ind w:left="720"/>
      </w:pPr>
    </w:p>
    <w:p w14:paraId="0DFCE53B" w14:textId="77777777" w:rsidR="0019780A" w:rsidRPr="003752E4" w:rsidRDefault="0019780A" w:rsidP="0019780A">
      <w:pPr>
        <w:spacing w:after="60"/>
        <w:ind w:left="720"/>
      </w:pPr>
      <w:r>
        <w:t>Copies of the report will also be distributed to the following, as appropriate, based on the sponsor (if any), nature of the report, and at the discretion of the IRB chair or vice chair:</w:t>
      </w:r>
    </w:p>
    <w:p w14:paraId="39F2B265" w14:textId="77777777" w:rsidR="0019780A" w:rsidRPr="003752E4" w:rsidRDefault="0019780A" w:rsidP="00A07209">
      <w:pPr>
        <w:numPr>
          <w:ilvl w:val="3"/>
          <w:numId w:val="78"/>
        </w:numPr>
        <w:tabs>
          <w:tab w:val="clear" w:pos="2880"/>
          <w:tab w:val="num" w:pos="1440"/>
        </w:tabs>
        <w:spacing w:after="60" w:line="240" w:lineRule="auto"/>
        <w:ind w:left="1440"/>
      </w:pPr>
      <w:r>
        <w:t>Office of Research Compliance</w:t>
      </w:r>
    </w:p>
    <w:p w14:paraId="2EB29BBE" w14:textId="77777777" w:rsidR="0019780A" w:rsidRPr="003752E4" w:rsidRDefault="0019780A" w:rsidP="00A07209">
      <w:pPr>
        <w:numPr>
          <w:ilvl w:val="0"/>
          <w:numId w:val="80"/>
        </w:numPr>
        <w:spacing w:after="60" w:line="240" w:lineRule="auto"/>
      </w:pPr>
      <w:r>
        <w:t>Other institutional officials (e.g., privacy officer for issues involving PHI)</w:t>
      </w:r>
    </w:p>
    <w:p w14:paraId="150D93B4" w14:textId="77777777" w:rsidR="0019780A" w:rsidRPr="003752E4" w:rsidRDefault="0019780A" w:rsidP="00A07209">
      <w:pPr>
        <w:numPr>
          <w:ilvl w:val="0"/>
          <w:numId w:val="80"/>
        </w:numPr>
        <w:spacing w:after="60" w:line="240" w:lineRule="auto"/>
      </w:pPr>
      <w:r>
        <w:t>Director of Sponsored Programs (for funded research, etc.)</w:t>
      </w:r>
    </w:p>
    <w:p w14:paraId="44E82566" w14:textId="77777777" w:rsidR="0019780A" w:rsidRPr="003752E4" w:rsidRDefault="0019780A" w:rsidP="00A07209">
      <w:pPr>
        <w:numPr>
          <w:ilvl w:val="0"/>
          <w:numId w:val="80"/>
        </w:numPr>
        <w:spacing w:after="0" w:line="240" w:lineRule="auto"/>
      </w:pPr>
      <w:r>
        <w:t>Sponsor and/or contract research organization</w:t>
      </w:r>
    </w:p>
    <w:p w14:paraId="18EF9F10" w14:textId="77777777" w:rsidR="0019780A" w:rsidRPr="003752E4" w:rsidRDefault="0019780A" w:rsidP="0019780A">
      <w:pPr>
        <w:ind w:left="720"/>
      </w:pPr>
    </w:p>
    <w:p w14:paraId="3BB5D698" w14:textId="77777777" w:rsidR="0019780A" w:rsidRDefault="0019780A" w:rsidP="00A07209">
      <w:pPr>
        <w:numPr>
          <w:ilvl w:val="0"/>
          <w:numId w:val="74"/>
        </w:numPr>
        <w:spacing w:after="0" w:line="240" w:lineRule="auto"/>
      </w:pPr>
      <w:r>
        <w:rPr>
          <w:b/>
        </w:rPr>
        <w:t>Exceptions</w:t>
      </w:r>
    </w:p>
    <w:p w14:paraId="49F65E62" w14:textId="77777777" w:rsidR="00DC7C65" w:rsidRPr="00DC7C65" w:rsidRDefault="00DC7C65" w:rsidP="00DC7C65">
      <w:pPr>
        <w:spacing w:after="0" w:line="240" w:lineRule="auto"/>
        <w:ind w:left="360"/>
      </w:pPr>
    </w:p>
    <w:p w14:paraId="0B8FB54A" w14:textId="77777777" w:rsidR="0019780A" w:rsidRDefault="0019780A" w:rsidP="00A07209">
      <w:pPr>
        <w:numPr>
          <w:ilvl w:val="0"/>
          <w:numId w:val="81"/>
        </w:numPr>
        <w:spacing w:after="0" w:line="240" w:lineRule="auto"/>
        <w:ind w:left="1080"/>
      </w:pPr>
      <w:r>
        <w:t>For serious incidents (e.g., requiring immediate suspension), a preliminary report may be sent prior to completion of an investigation, IRB review, and/or corrective action(s). In such cases, one or more follow-up reports and/or a final report will be provided when IRB findings and actions have been completed.</w:t>
      </w:r>
    </w:p>
    <w:p w14:paraId="232A89A3" w14:textId="77777777" w:rsidR="00DC7C65" w:rsidRDefault="00DC7C65" w:rsidP="00DC7C65">
      <w:pPr>
        <w:spacing w:after="0" w:line="240" w:lineRule="auto"/>
        <w:ind w:left="720"/>
      </w:pPr>
    </w:p>
    <w:p w14:paraId="31EEFD12" w14:textId="77777777" w:rsidR="0019780A" w:rsidRDefault="0019780A" w:rsidP="00A07209">
      <w:pPr>
        <w:numPr>
          <w:ilvl w:val="0"/>
          <w:numId w:val="81"/>
        </w:numPr>
        <w:spacing w:after="0" w:line="240" w:lineRule="auto"/>
        <w:ind w:left="1080"/>
      </w:pPr>
      <w:r>
        <w:t xml:space="preserve">Determinations made by WIRB-Copernicus Group IRB (WCG IRB, formerly WIRB) for Ohio State research will be reported as </w:t>
      </w:r>
      <w:hyperlink w:anchor="nonfed" w:history="1">
        <w:r>
          <w:rPr>
            <w:rStyle w:val="Hyperlink"/>
          </w:rPr>
          <w:t>described above</w:t>
        </w:r>
      </w:hyperlink>
      <w:r>
        <w:t xml:space="preserve"> for non-federally sponsored research, within 30 days of Ohio State’s notification of the action/determination, except that WCG IRB will report its finding(s) to FDA for FDA-regulated research.</w:t>
      </w:r>
    </w:p>
    <w:p w14:paraId="386F60A0" w14:textId="77777777" w:rsidR="00DC7C65" w:rsidRPr="00C14F34" w:rsidDel="00413D74" w:rsidRDefault="00DC7C65" w:rsidP="00DC7C65">
      <w:pPr>
        <w:spacing w:after="0" w:line="240" w:lineRule="auto"/>
      </w:pPr>
    </w:p>
    <w:p w14:paraId="23DA9FBC" w14:textId="77777777" w:rsidR="0019780A" w:rsidRPr="003752E4" w:rsidRDefault="0019780A" w:rsidP="00A07209">
      <w:pPr>
        <w:numPr>
          <w:ilvl w:val="0"/>
          <w:numId w:val="81"/>
        </w:numPr>
        <w:spacing w:after="0" w:line="240" w:lineRule="auto"/>
        <w:ind w:left="1080"/>
      </w:pPr>
      <w:r>
        <w:t>For incidents occurring at another site in multi-center or collaborative research not covered under the university’s FWA or for which an Ohio State IRB is not the IRB of record, Ohio State will rely on the external site to report to appropriate federal agencies and to Ohio State, as described in an IRB authorization agreement or other applicable agreement.</w:t>
      </w:r>
    </w:p>
    <w:p w14:paraId="152EBF53" w14:textId="77777777" w:rsidR="0019780A" w:rsidRPr="003752E4" w:rsidRDefault="0019780A" w:rsidP="0019780A">
      <w:pPr>
        <w:jc w:val="both"/>
        <w:rPr>
          <w:rStyle w:val="Strong"/>
          <w:b w:val="0"/>
        </w:rPr>
      </w:pPr>
    </w:p>
    <w:p w14:paraId="3D6E8654" w14:textId="77777777" w:rsidR="0019780A" w:rsidRDefault="0019780A" w:rsidP="00A07209">
      <w:pPr>
        <w:numPr>
          <w:ilvl w:val="0"/>
          <w:numId w:val="74"/>
        </w:numPr>
        <w:tabs>
          <w:tab w:val="clear" w:pos="360"/>
        </w:tabs>
        <w:spacing w:after="0" w:line="240" w:lineRule="auto"/>
        <w:jc w:val="both"/>
        <w:rPr>
          <w:rStyle w:val="Strong"/>
          <w:b w:val="0"/>
        </w:rPr>
      </w:pPr>
      <w:r>
        <w:rPr>
          <w:rStyle w:val="Strong"/>
        </w:rPr>
        <w:t>Applicable Regulations/Guidance</w:t>
      </w:r>
    </w:p>
    <w:p w14:paraId="542420AD" w14:textId="77777777" w:rsidR="00DC7C65" w:rsidRPr="00DC7C65" w:rsidRDefault="00DC7C65" w:rsidP="00DC7C65">
      <w:pPr>
        <w:spacing w:after="0" w:line="240" w:lineRule="auto"/>
        <w:ind w:left="360"/>
        <w:jc w:val="both"/>
        <w:rPr>
          <w:rStyle w:val="Strong"/>
          <w:b w:val="0"/>
        </w:rPr>
      </w:pPr>
    </w:p>
    <w:p w14:paraId="090676BA" w14:textId="77777777" w:rsidR="0019780A" w:rsidRDefault="0019780A" w:rsidP="00DC7C65">
      <w:pPr>
        <w:autoSpaceDE w:val="0"/>
        <w:autoSpaceDN w:val="0"/>
        <w:adjustRightInd w:val="0"/>
        <w:ind w:left="360"/>
      </w:pPr>
      <w:r>
        <w:t>21 CFR 56.108, 45 CFR 46.103, OHRP “Guidance on Reporting Incidents to OHRP” (06/20/2011)</w:t>
      </w:r>
    </w:p>
    <w:p w14:paraId="580563EF" w14:textId="77777777" w:rsidR="00DC7C65" w:rsidRDefault="00DC7C65" w:rsidP="00DC7C65">
      <w:pPr>
        <w:autoSpaceDE w:val="0"/>
        <w:autoSpaceDN w:val="0"/>
        <w:adjustRightInd w:val="0"/>
      </w:pPr>
    </w:p>
    <w:p w14:paraId="61D7A1A9" w14:textId="77777777" w:rsidR="0019780A" w:rsidRDefault="0019780A" w:rsidP="00A07209">
      <w:pPr>
        <w:numPr>
          <w:ilvl w:val="0"/>
          <w:numId w:val="74"/>
        </w:numPr>
        <w:autoSpaceDE w:val="0"/>
        <w:autoSpaceDN w:val="0"/>
        <w:adjustRightInd w:val="0"/>
        <w:spacing w:after="0" w:line="240" w:lineRule="auto"/>
        <w:rPr>
          <w:b/>
        </w:rPr>
      </w:pPr>
      <w:r>
        <w:rPr>
          <w:b/>
        </w:rPr>
        <w:t>History</w:t>
      </w:r>
    </w:p>
    <w:p w14:paraId="2861C86E" w14:textId="77777777" w:rsidR="00DC7C65" w:rsidRPr="00DC7C65" w:rsidRDefault="00DC7C65" w:rsidP="00DC7C65">
      <w:pPr>
        <w:autoSpaceDE w:val="0"/>
        <w:autoSpaceDN w:val="0"/>
        <w:adjustRightInd w:val="0"/>
        <w:spacing w:after="0" w:line="240" w:lineRule="auto"/>
        <w:ind w:left="360"/>
        <w:rPr>
          <w:b/>
        </w:rPr>
      </w:pPr>
    </w:p>
    <w:p w14:paraId="4A52FD5A" w14:textId="77777777" w:rsidR="0019780A" w:rsidRDefault="0019780A" w:rsidP="00DC7C65">
      <w:pPr>
        <w:autoSpaceDE w:val="0"/>
        <w:autoSpaceDN w:val="0"/>
        <w:adjustRightInd w:val="0"/>
        <w:spacing w:after="0"/>
        <w:ind w:left="360"/>
      </w:pPr>
      <w:r>
        <w:t>Issued: 07/21/2008</w:t>
      </w:r>
    </w:p>
    <w:p w14:paraId="6CCE33EB" w14:textId="77777777" w:rsidR="0019780A" w:rsidRDefault="0019780A" w:rsidP="00DC7C65">
      <w:pPr>
        <w:autoSpaceDE w:val="0"/>
        <w:autoSpaceDN w:val="0"/>
        <w:adjustRightInd w:val="0"/>
        <w:spacing w:after="0"/>
        <w:ind w:left="360"/>
      </w:pPr>
      <w:r>
        <w:t>Revised: 05/01/2012, 10/17/2016, 12/18/2017, 07/22/2019</w:t>
      </w:r>
    </w:p>
    <w:p w14:paraId="3DAAB07D" w14:textId="77777777" w:rsidR="0019780A" w:rsidRPr="003752E4" w:rsidRDefault="0019780A" w:rsidP="00DC7C65">
      <w:pPr>
        <w:autoSpaceDE w:val="0"/>
        <w:autoSpaceDN w:val="0"/>
        <w:adjustRightInd w:val="0"/>
        <w:spacing w:after="0"/>
        <w:ind w:left="360"/>
      </w:pPr>
      <w:r>
        <w:t>Edited: 04/28/2009, 04/20/2022</w:t>
      </w:r>
    </w:p>
    <w:p w14:paraId="58417776" w14:textId="77777777" w:rsidR="6D600998" w:rsidRDefault="6D600998" w:rsidP="00B632B2">
      <w:pPr>
        <w:pStyle w:val="Heading2"/>
      </w:pPr>
    </w:p>
    <w:p w14:paraId="6290D1B7" w14:textId="77777777" w:rsidR="003E4E60" w:rsidRDefault="003E4E60">
      <w:r>
        <w:br w:type="page"/>
      </w:r>
    </w:p>
    <w:p w14:paraId="68CA503D" w14:textId="77777777" w:rsidR="0019780A" w:rsidRPr="0019780A" w:rsidRDefault="686EA96A" w:rsidP="00471B9E">
      <w:pPr>
        <w:pStyle w:val="Heading2"/>
      </w:pPr>
      <w:bookmarkStart w:id="389" w:name="B32"/>
      <w:bookmarkStart w:id="390" w:name="_Toc212142229"/>
      <w:bookmarkStart w:id="391" w:name="_Toc225507769"/>
      <w:r>
        <w:lastRenderedPageBreak/>
        <w:t xml:space="preserve">Appendix-B-32 </w:t>
      </w:r>
      <w:bookmarkEnd w:id="389"/>
      <w:r>
        <w:tab/>
        <w:t xml:space="preserve"> IRB Recordkeeping</w:t>
      </w:r>
      <w:bookmarkEnd w:id="390"/>
      <w:bookmarkEnd w:id="391"/>
    </w:p>
    <w:p w14:paraId="3475308B" w14:textId="77777777" w:rsidR="0019780A" w:rsidRPr="0019780A" w:rsidRDefault="0019780A" w:rsidP="0019780A">
      <w:pPr>
        <w:spacing w:after="0" w:line="240" w:lineRule="auto"/>
        <w:jc w:val="center"/>
        <w:rPr>
          <w:b/>
          <w:smallCaps/>
          <w:sz w:val="24"/>
          <w:szCs w:val="32"/>
        </w:rPr>
      </w:pPr>
      <w:r>
        <w:rPr>
          <w:b/>
          <w:smallCaps/>
          <w:noProof/>
          <w:sz w:val="24"/>
          <w:szCs w:val="32"/>
        </w:rPr>
        <mc:AlternateContent>
          <mc:Choice Requires="wps">
            <w:drawing>
              <wp:anchor distT="0" distB="0" distL="114300" distR="114300" simplePos="0" relativeHeight="251680768" behindDoc="1" locked="0" layoutInCell="1" allowOverlap="1" wp14:anchorId="3A45F2BC" wp14:editId="21695D30">
                <wp:simplePos x="0" y="0"/>
                <wp:positionH relativeFrom="column">
                  <wp:posOffset>437463</wp:posOffset>
                </wp:positionH>
                <wp:positionV relativeFrom="paragraph">
                  <wp:posOffset>143993</wp:posOffset>
                </wp:positionV>
                <wp:extent cx="6098667" cy="255270"/>
                <wp:effectExtent l="0" t="0" r="16510" b="11430"/>
                <wp:wrapNone/>
                <wp:docPr id="1200445441"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8667" cy="25527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C3603B" id="Rectangle 2" o:spid="_x0000_s1026" style="position:absolute;margin-left:34.45pt;margin-top:11.35pt;width:480.2pt;height:20.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rvHyhDwIAABYEAAAOAAAAZHJzL2Uyb0RvYy54bWysU9uO2jAQfa/Uf7D8XhIiLktEWK2gVJW2 F2nbDzCOk1h1PO7YEOjXd2xYll6equbB8mTGx2fOHC/vj71hB4Veg634eJRzpqyEWtu24l+/bN/c ceaDsLUwYFXFT8rz+9XrV8vBlaqADkytkBGI9eXgKt6F4Mos87JTvfAjcMpSsgHsRaAQ26xGMRB6 b7Iiz2fZAFg7BKm8p7+bc5KvEn7TKBk+NY1XgZmKE7eQVkzrLq7ZainKFoXrtLzQEP/Aohfa0qVX qI0Igu1R/wHVa4ngoQkjCX0GTaOlSj1QN+P8t26eOuFU6oXE8e4qk/9/sPLj4cl9xkjdu0eQ3zyz sO6EbdUDIgydEjVdN45CZYPz5fVADDwdZbvhA9Q0WrEPkDQ4NthHQOqOHZPUp6vU6hiYpJ+zfHE3 m805k5QrptNinmaRifL5tEMf3inoWdxUHGmUCV0cHn2IbET5XJLYg9H1VhuTAmx3a4PsIGjs6+16 s96kBqjJ2zJj2VDxxbSYJuRfcv4WIk/f3yB6Hci/RvcVv7sWiTLK9tbWyV1BaHPeE2VjLzpG6aJL fbmD+kQyIpzNSY+JNh3gD84GMmbF/fe9QMWZeW9pFIvxZBKdnILJdF5QgLeZ3W1GWElQFQ+cnbfr cHb/3qFuO7ppnHq38EDja3RS9oXVhSyZLwl+eSjR3bdxqnp5zqufAAAA//8DAFBLAwQUAAYACAAA ACEAz3PfDt0AAAAJAQAADwAAAGRycy9kb3ducmV2LnhtbEyPwU7DMBBE70j8g7VI3KiDkUIT4lSl UoXECRIu3DbxkgTidRS7bfh73BM9rt5o5m2xWewojjT7wbGG+1UCgrh1ZuBOw0e9v1uD8AHZ4OiY NPySh015fVVgbtyJ3+lYhU7EEvY5auhDmHIpfduTRb9yE3FkX262GOI5d9LMeIrldpQqSVJpceC4 0ONEu57an+pgNdTblOqp+dzT2+vzy/AddqHBSuvbm2X7BCLQEv7DcNaP6lBGp8Yd2HgxakjXWUxq UOoRxJknKnsA0USiMpBlIS8/KP8AAAD//wMAUEsBAi0AFAAGAAgAAAAhALaDOJL+AAAA4QEAABMA AAAAAAAAAAAAAAAAAAAAAFtDb250ZW50X1R5cGVzXS54bWxQSwECLQAUAAYACAAAACEAOP0h/9YA AACUAQAACwAAAAAAAAAAAAAAAAAvAQAAX3JlbHMvLnJlbHNQSwECLQAUAAYACAAAACEAq7x8oQ8C AAAWBAAADgAAAAAAAAAAAAAAAAAuAgAAZHJzL2Uyb0RvYy54bWxQSwECLQAUAAYACAAAACEAz3Pf Dt0AAAAJAQAADwAAAAAAAAAAAAAAAABpBAAAZHJzL2Rvd25yZXYueG1sUEsFBgAAAAAEAAQA8wAA AHMFAAAAAA== " fillcolor="#cfcdcd"/>
            </w:pict>
          </mc:Fallback>
        </mc:AlternateContent>
      </w:r>
    </w:p>
    <w:p w14:paraId="0ED40C0E" w14:textId="77777777" w:rsidR="0019780A" w:rsidRPr="0019780A" w:rsidRDefault="0019780A" w:rsidP="0019780A">
      <w:pPr>
        <w:spacing w:after="0" w:line="240" w:lineRule="auto"/>
        <w:jc w:val="center"/>
        <w:rPr>
          <w:b/>
          <w:smallCaps/>
          <w:sz w:val="20"/>
          <w:szCs w:val="20"/>
        </w:rPr>
      </w:pPr>
      <w:r>
        <w:rPr>
          <w:b/>
          <w:smallCaps/>
          <w:sz w:val="20"/>
          <w:szCs w:val="20"/>
        </w:rPr>
        <w:t>Language in gray boxes is only applicable to studies initially approved on/after January 21, 2019</w:t>
      </w:r>
    </w:p>
    <w:p w14:paraId="77DF3A77" w14:textId="77777777" w:rsidR="0019780A" w:rsidRPr="0019780A" w:rsidRDefault="0019780A" w:rsidP="0019780A">
      <w:pPr>
        <w:spacing w:after="0" w:line="240" w:lineRule="auto"/>
        <w:jc w:val="center"/>
        <w:rPr>
          <w:b/>
          <w:smallCaps/>
          <w:sz w:val="32"/>
          <w:szCs w:val="32"/>
        </w:rPr>
      </w:pPr>
    </w:p>
    <w:p w14:paraId="49D2EF13" w14:textId="77777777" w:rsidR="0019780A" w:rsidRPr="0019780A" w:rsidRDefault="0019780A" w:rsidP="00A07209">
      <w:pPr>
        <w:numPr>
          <w:ilvl w:val="0"/>
          <w:numId w:val="409"/>
        </w:numPr>
        <w:tabs>
          <w:tab w:val="num" w:pos="360"/>
        </w:tabs>
        <w:spacing w:after="0" w:line="240" w:lineRule="auto"/>
        <w:rPr>
          <w:b/>
          <w:smallCaps/>
        </w:rPr>
      </w:pPr>
      <w:r>
        <w:rPr>
          <w:b/>
        </w:rPr>
        <w:t>Overview</w:t>
      </w:r>
    </w:p>
    <w:p w14:paraId="3C2A91E1" w14:textId="77777777" w:rsidR="0019780A" w:rsidRPr="0019780A" w:rsidRDefault="0019780A" w:rsidP="0019780A">
      <w:pPr>
        <w:spacing w:after="0" w:line="240" w:lineRule="auto"/>
      </w:pPr>
    </w:p>
    <w:p w14:paraId="482B46BF" w14:textId="77777777" w:rsidR="0019780A" w:rsidRPr="0019780A" w:rsidRDefault="0019780A" w:rsidP="0019780A">
      <w:pPr>
        <w:spacing w:after="0" w:line="240" w:lineRule="auto"/>
        <w:ind w:left="360"/>
      </w:pPr>
      <w:r>
        <w:t>The Office of Responsible Research Practices (ORRP) maintains records relating to research, including materials submitted by investigators for IRB review (or exemption), documentation of IRB activities, and other required records, such as IRB correspondence, rosters, and policies. All records are retained in a secure manner that allows for a review of the history of IRB actions and for inspection by authorized personnel.</w:t>
      </w:r>
    </w:p>
    <w:p w14:paraId="3F45D757" w14:textId="77777777" w:rsidR="0019780A" w:rsidRPr="0019780A" w:rsidRDefault="0019780A" w:rsidP="0019780A">
      <w:pPr>
        <w:spacing w:after="0" w:line="240" w:lineRule="auto"/>
        <w:ind w:left="360"/>
      </w:pPr>
    </w:p>
    <w:p w14:paraId="75630928" w14:textId="77777777" w:rsidR="0019780A" w:rsidRPr="0019780A" w:rsidRDefault="0019780A" w:rsidP="0019780A">
      <w:pPr>
        <w:spacing w:after="0" w:line="240" w:lineRule="auto"/>
        <w:ind w:left="360"/>
      </w:pPr>
      <w:r>
        <w:t>The purpose of this policy is to describe recordkeeping activities and record retention for ORRP and the IRBs that comply with federal regulations, local laws, and university policy.</w:t>
      </w:r>
    </w:p>
    <w:p w14:paraId="73633A97" w14:textId="77777777" w:rsidR="0019780A" w:rsidRPr="0019780A" w:rsidRDefault="0019780A" w:rsidP="0019780A">
      <w:pPr>
        <w:spacing w:after="0" w:line="240" w:lineRule="auto"/>
        <w:ind w:left="360"/>
      </w:pPr>
    </w:p>
    <w:p w14:paraId="40CBA4D2" w14:textId="77777777" w:rsidR="0019780A" w:rsidRDefault="0019780A" w:rsidP="00A07209">
      <w:pPr>
        <w:pStyle w:val="ListParagraph"/>
        <w:numPr>
          <w:ilvl w:val="0"/>
          <w:numId w:val="409"/>
        </w:numPr>
        <w:spacing w:after="0" w:line="240" w:lineRule="auto"/>
        <w:rPr>
          <w:b/>
        </w:rPr>
      </w:pPr>
      <w:r>
        <w:rPr>
          <w:b/>
        </w:rPr>
        <w:t>Minutes of IRB Meetings</w:t>
      </w:r>
    </w:p>
    <w:p w14:paraId="5F7EF0C4" w14:textId="77777777" w:rsidR="001D4D3E" w:rsidRPr="001D4D3E" w:rsidRDefault="001D4D3E" w:rsidP="001D4D3E">
      <w:pPr>
        <w:pStyle w:val="ListParagraph"/>
        <w:spacing w:after="0" w:line="240" w:lineRule="auto"/>
        <w:rPr>
          <w:b/>
        </w:rPr>
      </w:pPr>
    </w:p>
    <w:p w14:paraId="23E77F4C" w14:textId="77777777" w:rsidR="0019780A" w:rsidRPr="0019780A" w:rsidRDefault="0019780A" w:rsidP="00A07209">
      <w:pPr>
        <w:numPr>
          <w:ilvl w:val="2"/>
          <w:numId w:val="409"/>
        </w:numPr>
        <w:spacing w:after="60" w:line="240" w:lineRule="auto"/>
      </w:pPr>
      <w:r>
        <w:t>Convened IRB discussions and decisions are documented by ORRP staff in IRB meeting minutes, which are reviewed and approved by the applicable IRB chair or designee (e.g., vice chair) chairing the meeting. The minutes of each IRB meeting include (minimally):</w:t>
      </w:r>
    </w:p>
    <w:p w14:paraId="030B5643" w14:textId="77777777" w:rsidR="0019780A" w:rsidRPr="0019780A" w:rsidRDefault="0019780A" w:rsidP="00A07209">
      <w:pPr>
        <w:numPr>
          <w:ilvl w:val="2"/>
          <w:numId w:val="408"/>
        </w:numPr>
        <w:spacing w:after="60" w:line="240" w:lineRule="auto"/>
        <w:ind w:left="1800"/>
      </w:pPr>
      <w:r>
        <w:t>Members and alternates in attendance for each action, including their representative capacities, scientific/non-scientific status, affiliation status, etc.</w:t>
      </w:r>
    </w:p>
    <w:p w14:paraId="64F8FF09" w14:textId="77777777" w:rsidR="0019780A" w:rsidRPr="0019780A" w:rsidRDefault="0019780A" w:rsidP="00A07209">
      <w:pPr>
        <w:numPr>
          <w:ilvl w:val="2"/>
          <w:numId w:val="408"/>
        </w:numPr>
        <w:spacing w:after="60" w:line="240" w:lineRule="auto"/>
        <w:ind w:left="1800"/>
      </w:pPr>
      <w:r>
        <w:t>Documentation regarding whether a quorum exists</w:t>
      </w:r>
    </w:p>
    <w:p w14:paraId="3F5CED0A" w14:textId="77777777" w:rsidR="0019780A" w:rsidRPr="0019780A" w:rsidRDefault="0019780A" w:rsidP="00A07209">
      <w:pPr>
        <w:numPr>
          <w:ilvl w:val="2"/>
          <w:numId w:val="408"/>
        </w:numPr>
        <w:tabs>
          <w:tab w:val="num" w:pos="1440"/>
        </w:tabs>
        <w:spacing w:after="60" w:line="240" w:lineRule="auto"/>
        <w:ind w:left="1800"/>
      </w:pPr>
      <w:r>
        <w:t>Names of any IRB members who leave the meeting due to a conflicting interest, along with the fact that a conflicting interest is the reason for the absence (as applicable)</w:t>
      </w:r>
    </w:p>
    <w:p w14:paraId="6AFE7145" w14:textId="77777777" w:rsidR="0019780A" w:rsidRPr="0019780A" w:rsidRDefault="0019780A" w:rsidP="00A07209">
      <w:pPr>
        <w:numPr>
          <w:ilvl w:val="2"/>
          <w:numId w:val="408"/>
        </w:numPr>
        <w:tabs>
          <w:tab w:val="num" w:pos="1440"/>
        </w:tabs>
        <w:spacing w:after="60" w:line="240" w:lineRule="auto"/>
        <w:ind w:left="1800"/>
      </w:pPr>
      <w:r>
        <w:t>Actions taken by the IRB, including the number of votes for, against, or abstaining</w:t>
      </w:r>
    </w:p>
    <w:p w14:paraId="3E4C5FB3" w14:textId="77777777" w:rsidR="0019780A" w:rsidRPr="0019780A" w:rsidRDefault="0019780A" w:rsidP="00A07209">
      <w:pPr>
        <w:numPr>
          <w:ilvl w:val="2"/>
          <w:numId w:val="408"/>
        </w:numPr>
        <w:tabs>
          <w:tab w:val="num" w:pos="1440"/>
        </w:tabs>
        <w:spacing w:after="60" w:line="240" w:lineRule="auto"/>
        <w:ind w:left="1800"/>
      </w:pPr>
      <w:r>
        <w:t>Separate deliberations for each action</w:t>
      </w:r>
    </w:p>
    <w:p w14:paraId="130024C8" w14:textId="77777777" w:rsidR="0019780A" w:rsidRPr="0019780A" w:rsidRDefault="0019780A" w:rsidP="00A07209">
      <w:pPr>
        <w:numPr>
          <w:ilvl w:val="2"/>
          <w:numId w:val="407"/>
        </w:numPr>
        <w:tabs>
          <w:tab w:val="left" w:pos="1440"/>
        </w:tabs>
        <w:spacing w:after="60" w:line="240" w:lineRule="auto"/>
        <w:ind w:left="1800"/>
      </w:pPr>
      <w:r>
        <w:t>Basis for requiring changes in or disapproving research</w:t>
      </w:r>
    </w:p>
    <w:p w14:paraId="078FBC77" w14:textId="77777777" w:rsidR="0019780A" w:rsidRPr="0019780A" w:rsidRDefault="0019780A" w:rsidP="00A07209">
      <w:pPr>
        <w:numPr>
          <w:ilvl w:val="2"/>
          <w:numId w:val="407"/>
        </w:numPr>
        <w:tabs>
          <w:tab w:val="left" w:pos="1440"/>
        </w:tabs>
        <w:spacing w:after="60" w:line="240" w:lineRule="auto"/>
        <w:ind w:left="1800"/>
      </w:pPr>
      <w:r>
        <w:t>Summary of the discussion of controverted issues (if any) and their resolution</w:t>
      </w:r>
    </w:p>
    <w:p w14:paraId="303DD05D" w14:textId="77777777" w:rsidR="0019780A" w:rsidRPr="0019780A" w:rsidRDefault="0019780A" w:rsidP="00A07209">
      <w:pPr>
        <w:numPr>
          <w:ilvl w:val="2"/>
          <w:numId w:val="407"/>
        </w:numPr>
        <w:tabs>
          <w:tab w:val="left" w:pos="1440"/>
        </w:tabs>
        <w:spacing w:after="60" w:line="240" w:lineRule="auto"/>
        <w:ind w:left="1800"/>
      </w:pPr>
      <w:r>
        <w:t>For initial and continuing review, determination of the risk level (minimal risk/greater than minimal risk)</w:t>
      </w:r>
    </w:p>
    <w:p w14:paraId="4E6F3CED" w14:textId="77777777" w:rsidR="0019780A" w:rsidRPr="0019780A" w:rsidRDefault="0019780A" w:rsidP="00A07209">
      <w:pPr>
        <w:numPr>
          <w:ilvl w:val="2"/>
          <w:numId w:val="407"/>
        </w:numPr>
        <w:tabs>
          <w:tab w:val="left" w:pos="1440"/>
        </w:tabs>
        <w:spacing w:after="60" w:line="240" w:lineRule="auto"/>
        <w:ind w:left="1800"/>
      </w:pPr>
      <w:r>
        <w:t>For initial and continuing review, the approval period (not to exceed one year)</w:t>
      </w:r>
    </w:p>
    <w:p w14:paraId="1C813255" w14:textId="77777777" w:rsidR="0019780A" w:rsidRPr="0019780A" w:rsidRDefault="0019780A" w:rsidP="00A07209">
      <w:pPr>
        <w:numPr>
          <w:ilvl w:val="2"/>
          <w:numId w:val="407"/>
        </w:numPr>
        <w:tabs>
          <w:tab w:val="left" w:pos="1440"/>
        </w:tabs>
        <w:spacing w:after="60" w:line="240" w:lineRule="auto"/>
        <w:ind w:left="1800"/>
      </w:pPr>
      <w:r>
        <w:t>Rationale for significant/non-significant risk device determinations</w:t>
      </w:r>
    </w:p>
    <w:p w14:paraId="23749F60" w14:textId="77777777" w:rsidR="0019780A" w:rsidRPr="0019780A" w:rsidRDefault="0019780A" w:rsidP="00A07209">
      <w:pPr>
        <w:numPr>
          <w:ilvl w:val="2"/>
          <w:numId w:val="407"/>
        </w:numPr>
        <w:tabs>
          <w:tab w:val="left" w:pos="1440"/>
        </w:tabs>
        <w:spacing w:after="60" w:line="240" w:lineRule="auto"/>
        <w:ind w:left="1800"/>
      </w:pPr>
      <w:r>
        <w:t>Determinations required by the regulations and protocol-specific findings justifying those determinations for the following:</w:t>
      </w:r>
    </w:p>
    <w:p w14:paraId="4C12FE11" w14:textId="77777777" w:rsidR="0019780A" w:rsidRPr="0019780A" w:rsidRDefault="0019780A" w:rsidP="00A07209">
      <w:pPr>
        <w:numPr>
          <w:ilvl w:val="2"/>
          <w:numId w:val="467"/>
        </w:numPr>
        <w:tabs>
          <w:tab w:val="left" w:pos="2160"/>
          <w:tab w:val="left" w:pos="2520"/>
        </w:tabs>
        <w:spacing w:after="60" w:line="240" w:lineRule="auto"/>
      </w:pPr>
      <w:r>
        <w:t>Waiver or alteration of the consent process</w:t>
      </w:r>
    </w:p>
    <w:p w14:paraId="0FA9A400" w14:textId="77777777" w:rsidR="0019780A" w:rsidRPr="0019780A" w:rsidRDefault="0019780A" w:rsidP="00A07209">
      <w:pPr>
        <w:numPr>
          <w:ilvl w:val="2"/>
          <w:numId w:val="467"/>
        </w:numPr>
        <w:tabs>
          <w:tab w:val="left" w:pos="2160"/>
          <w:tab w:val="left" w:pos="2520"/>
        </w:tabs>
        <w:spacing w:after="60" w:line="240" w:lineRule="auto"/>
      </w:pPr>
      <w:r>
        <w:t>Research involving pregnant women, human fetuses, or neonates</w:t>
      </w:r>
    </w:p>
    <w:p w14:paraId="7A0554F6" w14:textId="77777777" w:rsidR="0019780A" w:rsidRPr="0019780A" w:rsidRDefault="0019780A" w:rsidP="00A07209">
      <w:pPr>
        <w:numPr>
          <w:ilvl w:val="2"/>
          <w:numId w:val="467"/>
        </w:numPr>
        <w:tabs>
          <w:tab w:val="left" w:pos="2160"/>
          <w:tab w:val="left" w:pos="2520"/>
        </w:tabs>
        <w:spacing w:after="60" w:line="240" w:lineRule="auto"/>
      </w:pPr>
      <w:r>
        <w:t>Research involving prisoners</w:t>
      </w:r>
    </w:p>
    <w:p w14:paraId="39994DB7" w14:textId="77777777" w:rsidR="0019780A" w:rsidRPr="0019780A" w:rsidRDefault="0019780A" w:rsidP="00A07209">
      <w:pPr>
        <w:numPr>
          <w:ilvl w:val="2"/>
          <w:numId w:val="467"/>
        </w:numPr>
        <w:tabs>
          <w:tab w:val="left" w:pos="2160"/>
          <w:tab w:val="left" w:pos="2520"/>
        </w:tabs>
        <w:spacing w:after="60" w:line="240" w:lineRule="auto"/>
      </w:pPr>
      <w:r>
        <w:t>Research involving children</w:t>
      </w:r>
    </w:p>
    <w:p w14:paraId="49473222" w14:textId="77777777" w:rsidR="0019780A" w:rsidRPr="0019780A" w:rsidRDefault="0019780A" w:rsidP="00A07209">
      <w:pPr>
        <w:numPr>
          <w:ilvl w:val="2"/>
          <w:numId w:val="467"/>
        </w:numPr>
        <w:tabs>
          <w:tab w:val="left" w:pos="2160"/>
          <w:tab w:val="left" w:pos="2520"/>
        </w:tabs>
        <w:spacing w:after="60" w:line="240" w:lineRule="auto"/>
      </w:pPr>
      <w:r>
        <w:t>Research involving participants with impaired decision-making capacity</w:t>
      </w:r>
    </w:p>
    <w:p w14:paraId="4B5B1539" w14:textId="77777777" w:rsidR="0019780A" w:rsidRPr="0019780A" w:rsidRDefault="0019780A" w:rsidP="00A07209">
      <w:pPr>
        <w:numPr>
          <w:ilvl w:val="2"/>
          <w:numId w:val="467"/>
        </w:numPr>
        <w:tabs>
          <w:tab w:val="left" w:pos="2160"/>
          <w:tab w:val="left" w:pos="2520"/>
        </w:tabs>
        <w:spacing w:after="60" w:line="240" w:lineRule="auto"/>
      </w:pPr>
      <w:r>
        <w:t xml:space="preserve">Waiver or alteration of HIPAA research authorization determinations required by the Privacy Rule </w:t>
      </w:r>
    </w:p>
    <w:p w14:paraId="004A0181" w14:textId="77777777" w:rsidR="001D4D3E" w:rsidRDefault="0019780A" w:rsidP="00A07209">
      <w:pPr>
        <w:numPr>
          <w:ilvl w:val="2"/>
          <w:numId w:val="407"/>
        </w:numPr>
        <w:tabs>
          <w:tab w:val="left" w:pos="1440"/>
        </w:tabs>
        <w:spacing w:after="0" w:line="240" w:lineRule="auto"/>
        <w:ind w:left="1800"/>
      </w:pPr>
      <w:r>
        <w:t>Justification of any deletion or substantive modification of information concerning risks or alternative procedures contained in DHHS-approved sample consent documents (as applicable)</w:t>
      </w:r>
    </w:p>
    <w:p w14:paraId="32286484" w14:textId="77777777" w:rsidR="0019780A" w:rsidRPr="001D4D3E" w:rsidRDefault="0019780A" w:rsidP="00A07209">
      <w:pPr>
        <w:pStyle w:val="ListParagraph"/>
        <w:numPr>
          <w:ilvl w:val="1"/>
          <w:numId w:val="409"/>
        </w:numPr>
        <w:tabs>
          <w:tab w:val="left" w:pos="1440"/>
        </w:tabs>
        <w:spacing w:after="0" w:line="240" w:lineRule="auto"/>
        <w:ind w:left="1152"/>
      </w:pPr>
      <w:r>
        <w:t>IRB determinations made by expedited review are documented in IRB records as described below and in HRPP policy [</w:t>
      </w:r>
      <w:hyperlink r:id="rId412" w:history="1">
        <w:r>
          <w:rPr>
            <w:color w:val="0000FF"/>
            <w:u w:val="single"/>
          </w:rPr>
          <w:t>Expedited and Administrative Review Procedures</w:t>
        </w:r>
      </w:hyperlink>
      <w:r>
        <w:t>].</w:t>
      </w:r>
    </w:p>
    <w:p w14:paraId="52A4EDB3" w14:textId="77777777" w:rsidR="001D4D3E" w:rsidRPr="0019780A" w:rsidRDefault="001D4D3E" w:rsidP="001D4D3E">
      <w:pPr>
        <w:tabs>
          <w:tab w:val="left" w:pos="720"/>
          <w:tab w:val="left" w:pos="2520"/>
        </w:tabs>
        <w:spacing w:after="0" w:line="240" w:lineRule="auto"/>
        <w:ind w:left="360"/>
      </w:pPr>
    </w:p>
    <w:p w14:paraId="1C3FDAC6" w14:textId="77777777" w:rsidR="0019780A" w:rsidRDefault="0019780A" w:rsidP="00A07209">
      <w:pPr>
        <w:pStyle w:val="ListParagraph"/>
        <w:numPr>
          <w:ilvl w:val="0"/>
          <w:numId w:val="409"/>
        </w:numPr>
        <w:spacing w:after="0" w:line="240" w:lineRule="auto"/>
        <w:rPr>
          <w:b/>
        </w:rPr>
      </w:pPr>
      <w:r>
        <w:rPr>
          <w:b/>
        </w:rPr>
        <w:lastRenderedPageBreak/>
        <w:t>IRB Records</w:t>
      </w:r>
    </w:p>
    <w:p w14:paraId="58B8A33D" w14:textId="77777777" w:rsidR="001D4D3E" w:rsidRPr="001D4D3E" w:rsidRDefault="001D4D3E" w:rsidP="001D4D3E">
      <w:pPr>
        <w:pStyle w:val="ListParagraph"/>
        <w:spacing w:after="0" w:line="240" w:lineRule="auto"/>
        <w:ind w:left="1224"/>
        <w:rPr>
          <w:b/>
        </w:rPr>
      </w:pPr>
    </w:p>
    <w:p w14:paraId="3E5B35AD" w14:textId="77777777" w:rsidR="0019780A" w:rsidRPr="0019780A" w:rsidRDefault="0019780A" w:rsidP="00A07209">
      <w:pPr>
        <w:numPr>
          <w:ilvl w:val="1"/>
          <w:numId w:val="409"/>
        </w:numPr>
        <w:spacing w:after="60" w:line="240" w:lineRule="auto"/>
        <w:ind w:left="1152"/>
      </w:pPr>
      <w:r>
        <w:t>In addition to IRB minutes, ORRP staff maintain other IRB records relating to research, which are organized to allow a reconstruction of IRB actions. These records include, but are not limited to (as applicable):</w:t>
      </w:r>
    </w:p>
    <w:p w14:paraId="4C26F182" w14:textId="77777777" w:rsidR="0019780A" w:rsidRPr="0019780A" w:rsidRDefault="0019780A" w:rsidP="00A07209">
      <w:pPr>
        <w:numPr>
          <w:ilvl w:val="0"/>
          <w:numId w:val="406"/>
        </w:numPr>
        <w:tabs>
          <w:tab w:val="left" w:pos="1440"/>
        </w:tabs>
        <w:spacing w:after="60" w:line="240" w:lineRule="auto"/>
        <w:ind w:left="1800"/>
      </w:pPr>
      <w:r>
        <w:t>All documents submitted by investigators to the IRBs, including research proposals, informed consent documents, and other materials (e.g., applications) used to request IRB review and approval</w:t>
      </w:r>
    </w:p>
    <w:p w14:paraId="0D0BE2E5" w14:textId="77777777" w:rsidR="0019780A" w:rsidRPr="0019780A" w:rsidRDefault="0019780A" w:rsidP="00A07209">
      <w:pPr>
        <w:numPr>
          <w:ilvl w:val="0"/>
          <w:numId w:val="406"/>
        </w:numPr>
        <w:spacing w:after="60" w:line="240" w:lineRule="auto"/>
        <w:ind w:left="1800"/>
      </w:pPr>
      <w:r>
        <w:t>Sponsor or multi-center protocols, including DHHS-approved protocols</w:t>
      </w:r>
    </w:p>
    <w:p w14:paraId="1C0C166D" w14:textId="77777777" w:rsidR="0019780A" w:rsidRPr="0019780A" w:rsidRDefault="0019780A" w:rsidP="00A07209">
      <w:pPr>
        <w:numPr>
          <w:ilvl w:val="0"/>
          <w:numId w:val="406"/>
        </w:numPr>
        <w:spacing w:after="60" w:line="240" w:lineRule="auto"/>
        <w:ind w:left="1800"/>
      </w:pPr>
      <w:r>
        <w:t>DHHS-approved sample consent documents</w:t>
      </w:r>
    </w:p>
    <w:p w14:paraId="16C52606" w14:textId="77777777" w:rsidR="0019780A" w:rsidRPr="0019780A" w:rsidRDefault="0019780A" w:rsidP="00A07209">
      <w:pPr>
        <w:numPr>
          <w:ilvl w:val="0"/>
          <w:numId w:val="406"/>
        </w:numPr>
        <w:spacing w:after="60" w:line="240" w:lineRule="auto"/>
        <w:ind w:left="1800"/>
      </w:pPr>
      <w:r>
        <w:t>Relevant grant applications</w:t>
      </w:r>
    </w:p>
    <w:p w14:paraId="2450602A" w14:textId="77777777" w:rsidR="0019780A" w:rsidRPr="0019780A" w:rsidRDefault="0019780A" w:rsidP="00A07209">
      <w:pPr>
        <w:numPr>
          <w:ilvl w:val="0"/>
          <w:numId w:val="406"/>
        </w:numPr>
        <w:spacing w:after="60" w:line="240" w:lineRule="auto"/>
        <w:ind w:left="1800"/>
      </w:pPr>
      <w:r>
        <w:t>Scientific evaluations</w:t>
      </w:r>
    </w:p>
    <w:p w14:paraId="3A85F6A3" w14:textId="77777777" w:rsidR="0019780A" w:rsidRPr="0019780A" w:rsidRDefault="0019780A" w:rsidP="00A07209">
      <w:pPr>
        <w:numPr>
          <w:ilvl w:val="0"/>
          <w:numId w:val="406"/>
        </w:numPr>
        <w:spacing w:after="60" w:line="240" w:lineRule="auto"/>
        <w:ind w:left="1800"/>
      </w:pPr>
      <w:r>
        <w:t>Investigator’s brochures</w:t>
      </w:r>
    </w:p>
    <w:p w14:paraId="40539AB7" w14:textId="77777777" w:rsidR="0019780A" w:rsidRPr="0019780A" w:rsidRDefault="0019780A" w:rsidP="00A07209">
      <w:pPr>
        <w:numPr>
          <w:ilvl w:val="0"/>
          <w:numId w:val="406"/>
        </w:numPr>
        <w:spacing w:after="60" w:line="240" w:lineRule="auto"/>
        <w:ind w:left="1800"/>
      </w:pPr>
      <w:r>
        <w:t>Reports of injuries to participants and other reportable events related to the research</w:t>
      </w:r>
    </w:p>
    <w:p w14:paraId="62632D9A" w14:textId="77777777" w:rsidR="0019780A" w:rsidRPr="0019780A" w:rsidRDefault="0019780A" w:rsidP="00A07209">
      <w:pPr>
        <w:numPr>
          <w:ilvl w:val="0"/>
          <w:numId w:val="406"/>
        </w:numPr>
        <w:spacing w:after="60" w:line="240" w:lineRule="auto"/>
        <w:ind w:left="1800"/>
      </w:pPr>
      <w:r>
        <w:t>Progress reports submitted by investigators</w:t>
      </w:r>
    </w:p>
    <w:p w14:paraId="11D965F5" w14:textId="77777777" w:rsidR="0019780A" w:rsidRPr="0019780A" w:rsidRDefault="0019780A" w:rsidP="00A07209">
      <w:pPr>
        <w:numPr>
          <w:ilvl w:val="0"/>
          <w:numId w:val="406"/>
        </w:numPr>
        <w:spacing w:after="60" w:line="240" w:lineRule="auto"/>
        <w:ind w:left="1800"/>
      </w:pPr>
      <w:r>
        <w:t>Records of continuing review activities</w:t>
      </w:r>
    </w:p>
    <w:p w14:paraId="5C2928E4" w14:textId="77777777" w:rsidR="0019780A" w:rsidRPr="0019780A" w:rsidRDefault="0019780A" w:rsidP="00A07209">
      <w:pPr>
        <w:numPr>
          <w:ilvl w:val="0"/>
          <w:numId w:val="406"/>
        </w:numPr>
        <w:spacing w:after="60" w:line="240" w:lineRule="auto"/>
        <w:ind w:left="1800"/>
      </w:pPr>
      <w:r>
        <w:t>Amendments to previously approved research</w:t>
      </w:r>
    </w:p>
    <w:p w14:paraId="32129835" w14:textId="77777777" w:rsidR="0019780A" w:rsidRPr="0019780A" w:rsidRDefault="0019780A" w:rsidP="00A07209">
      <w:pPr>
        <w:numPr>
          <w:ilvl w:val="0"/>
          <w:numId w:val="406"/>
        </w:numPr>
        <w:spacing w:after="60" w:line="240" w:lineRule="auto"/>
        <w:ind w:left="1800"/>
      </w:pPr>
      <w:r>
        <w:t>Statements of significant new findings provided to participants</w:t>
      </w:r>
    </w:p>
    <w:p w14:paraId="0E65F9E1" w14:textId="77777777" w:rsidR="0019780A" w:rsidRPr="0019780A" w:rsidRDefault="0019780A" w:rsidP="00A07209">
      <w:pPr>
        <w:numPr>
          <w:ilvl w:val="0"/>
          <w:numId w:val="406"/>
        </w:numPr>
        <w:spacing w:after="120" w:line="240" w:lineRule="auto"/>
        <w:ind w:left="1800"/>
      </w:pPr>
      <w:r>
        <w:rPr>
          <w:noProof/>
        </w:rPr>
        <mc:AlternateContent>
          <mc:Choice Requires="wps">
            <w:drawing>
              <wp:anchor distT="0" distB="0" distL="114300" distR="114300" simplePos="0" relativeHeight="251681792" behindDoc="1" locked="0" layoutInCell="1" allowOverlap="1" wp14:anchorId="7F44C4FB" wp14:editId="78052381">
                <wp:simplePos x="0" y="0"/>
                <wp:positionH relativeFrom="column">
                  <wp:posOffset>361950</wp:posOffset>
                </wp:positionH>
                <wp:positionV relativeFrom="paragraph">
                  <wp:posOffset>234950</wp:posOffset>
                </wp:positionV>
                <wp:extent cx="6524625" cy="561975"/>
                <wp:effectExtent l="0" t="0" r="28575" b="28575"/>
                <wp:wrapNone/>
                <wp:docPr id="1858267014" name="Rectangle 18582670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24625" cy="561975"/>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78278A" id="Rectangle 1858267014" o:spid="_x0000_s1026" alt="&quot;&quot;" style="position:absolute;margin-left:28.5pt;margin-top:18.5pt;width:513.75pt;height:44.2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" fillcolor="#cfcdcd"/>
            </w:pict>
          </mc:Fallback>
        </mc:AlternateContent>
      </w:r>
      <w:r>
        <w:t>All correspondence between the IRBs and investigators</w:t>
      </w:r>
    </w:p>
    <w:p w14:paraId="792FF14B" w14:textId="77777777" w:rsidR="0019780A" w:rsidRPr="0019780A" w:rsidRDefault="0019780A" w:rsidP="00A07209">
      <w:pPr>
        <w:numPr>
          <w:ilvl w:val="0"/>
          <w:numId w:val="406"/>
        </w:numPr>
        <w:spacing w:after="0" w:line="240" w:lineRule="auto"/>
        <w:ind w:left="1800"/>
      </w:pPr>
      <w:r>
        <w:t>For collaborative research, documentation specifying the responsibilities that an institution and an organization operating an IRB each will take to ensure compliance with federal and state regulations and institutional policy (e.g., collaborative research agreement)</w:t>
      </w:r>
    </w:p>
    <w:p w14:paraId="3F48D22B" w14:textId="77777777" w:rsidR="0019780A" w:rsidRPr="0019780A" w:rsidRDefault="0019780A" w:rsidP="0019780A">
      <w:pPr>
        <w:spacing w:after="0" w:line="240" w:lineRule="auto"/>
      </w:pPr>
    </w:p>
    <w:p w14:paraId="67B38247" w14:textId="77777777" w:rsidR="0019780A" w:rsidRPr="00076836" w:rsidRDefault="0019780A" w:rsidP="00A07209">
      <w:pPr>
        <w:pStyle w:val="ListParagraph"/>
        <w:numPr>
          <w:ilvl w:val="1"/>
          <w:numId w:val="410"/>
        </w:numPr>
        <w:spacing w:after="60" w:line="240" w:lineRule="auto"/>
        <w:ind w:left="1152"/>
      </w:pPr>
      <w:r>
        <w:t>For initial or continuing reviews conducted by expedited procedures, records will include the following:</w:t>
      </w:r>
    </w:p>
    <w:p w14:paraId="6C99C2A5" w14:textId="77777777" w:rsidR="0019780A" w:rsidRPr="0019780A" w:rsidRDefault="0019780A" w:rsidP="00A07209">
      <w:pPr>
        <w:numPr>
          <w:ilvl w:val="0"/>
          <w:numId w:val="411"/>
        </w:numPr>
        <w:spacing w:after="60" w:line="240" w:lineRule="auto"/>
        <w:ind w:left="1800"/>
      </w:pPr>
      <w:r>
        <w:t>Copies of all documentation submitted</w:t>
      </w:r>
    </w:p>
    <w:p w14:paraId="61CD2083" w14:textId="77777777" w:rsidR="0019780A" w:rsidRPr="0019780A" w:rsidRDefault="0019780A" w:rsidP="00A07209">
      <w:pPr>
        <w:numPr>
          <w:ilvl w:val="0"/>
          <w:numId w:val="411"/>
        </w:numPr>
        <w:spacing w:after="60" w:line="240" w:lineRule="auto"/>
        <w:ind w:left="1800"/>
      </w:pPr>
      <w:r>
        <w:t>Descriptions of the actions taken by the reviewer</w:t>
      </w:r>
    </w:p>
    <w:p w14:paraId="15652313" w14:textId="77777777" w:rsidR="0019780A" w:rsidRPr="0019780A" w:rsidRDefault="0019780A" w:rsidP="00A07209">
      <w:pPr>
        <w:numPr>
          <w:ilvl w:val="0"/>
          <w:numId w:val="411"/>
        </w:numPr>
        <w:spacing w:after="60" w:line="240" w:lineRule="auto"/>
        <w:ind w:left="1800"/>
      </w:pPr>
      <w:r>
        <w:t>Specific category(ies) permitting review by expedited procedures</w:t>
      </w:r>
    </w:p>
    <w:p w14:paraId="63FF4F71" w14:textId="77777777" w:rsidR="001D4D3E" w:rsidRDefault="0019780A" w:rsidP="00A07209">
      <w:pPr>
        <w:numPr>
          <w:ilvl w:val="0"/>
          <w:numId w:val="411"/>
        </w:numPr>
        <w:tabs>
          <w:tab w:val="left" w:pos="1440"/>
        </w:tabs>
        <w:spacing w:after="60" w:line="240" w:lineRule="auto"/>
        <w:ind w:left="1800"/>
      </w:pPr>
      <w:r>
        <w:t>Determinations required by the regulations and protocol-specific findings justifying those determinations for the following:</w:t>
      </w:r>
    </w:p>
    <w:p w14:paraId="54977D16" w14:textId="77777777" w:rsidR="001D4D3E" w:rsidRDefault="0019780A" w:rsidP="00A07209">
      <w:pPr>
        <w:numPr>
          <w:ilvl w:val="1"/>
          <w:numId w:val="411"/>
        </w:numPr>
        <w:tabs>
          <w:tab w:val="left" w:pos="1440"/>
        </w:tabs>
        <w:spacing w:after="60" w:line="240" w:lineRule="auto"/>
      </w:pPr>
      <w:r>
        <w:t>Waiver or alteration of the consent process</w:t>
      </w:r>
    </w:p>
    <w:p w14:paraId="52A6A96E" w14:textId="77777777" w:rsidR="001D4D3E" w:rsidRDefault="0019780A" w:rsidP="00A07209">
      <w:pPr>
        <w:numPr>
          <w:ilvl w:val="1"/>
          <w:numId w:val="411"/>
        </w:numPr>
        <w:tabs>
          <w:tab w:val="left" w:pos="1440"/>
        </w:tabs>
        <w:spacing w:after="60" w:line="240" w:lineRule="auto"/>
      </w:pPr>
      <w:r>
        <w:t>Research involving pregnant women, human fetuses, or neonates</w:t>
      </w:r>
    </w:p>
    <w:p w14:paraId="5EBEC523" w14:textId="77777777" w:rsidR="001D4D3E" w:rsidRDefault="0019780A" w:rsidP="00A07209">
      <w:pPr>
        <w:numPr>
          <w:ilvl w:val="1"/>
          <w:numId w:val="411"/>
        </w:numPr>
        <w:tabs>
          <w:tab w:val="left" w:pos="1440"/>
        </w:tabs>
        <w:spacing w:after="60" w:line="240" w:lineRule="auto"/>
      </w:pPr>
      <w:r>
        <w:t>Research involving children</w:t>
      </w:r>
    </w:p>
    <w:p w14:paraId="579DCA4C" w14:textId="77777777" w:rsidR="001D4D3E" w:rsidRDefault="0019780A" w:rsidP="00A07209">
      <w:pPr>
        <w:numPr>
          <w:ilvl w:val="1"/>
          <w:numId w:val="411"/>
        </w:numPr>
        <w:tabs>
          <w:tab w:val="left" w:pos="1440"/>
        </w:tabs>
        <w:spacing w:after="60" w:line="240" w:lineRule="auto"/>
      </w:pPr>
      <w:r>
        <w:t>Research involving prisoners</w:t>
      </w:r>
    </w:p>
    <w:p w14:paraId="5B66A5BE" w14:textId="77777777" w:rsidR="001D4D3E" w:rsidRDefault="0019780A" w:rsidP="00A07209">
      <w:pPr>
        <w:numPr>
          <w:ilvl w:val="1"/>
          <w:numId w:val="411"/>
        </w:numPr>
        <w:tabs>
          <w:tab w:val="left" w:pos="1440"/>
        </w:tabs>
        <w:spacing w:after="60" w:line="240" w:lineRule="auto"/>
      </w:pPr>
      <w:r>
        <w:t>Research involving participants with impaired decision-making capacity</w:t>
      </w:r>
    </w:p>
    <w:p w14:paraId="0BF14597" w14:textId="77777777" w:rsidR="0019780A" w:rsidRPr="001D4D3E" w:rsidRDefault="0019780A" w:rsidP="00A07209">
      <w:pPr>
        <w:numPr>
          <w:ilvl w:val="1"/>
          <w:numId w:val="411"/>
        </w:numPr>
        <w:tabs>
          <w:tab w:val="left" w:pos="1440"/>
        </w:tabs>
        <w:spacing w:after="60" w:line="240" w:lineRule="auto"/>
      </w:pPr>
      <w:r>
        <w:t>Waiver or alteration of HIPAA research authorization determinations required by the Privacy Rule</w:t>
      </w:r>
    </w:p>
    <w:p w14:paraId="420763FC" w14:textId="77777777" w:rsidR="001D4D3E" w:rsidRDefault="001D4D3E" w:rsidP="00A07209">
      <w:pPr>
        <w:pStyle w:val="ListParagraph"/>
        <w:numPr>
          <w:ilvl w:val="1"/>
          <w:numId w:val="410"/>
        </w:numPr>
        <w:tabs>
          <w:tab w:val="left" w:pos="1440"/>
        </w:tabs>
        <w:spacing w:after="60" w:line="240" w:lineRule="auto"/>
        <w:ind w:left="1152"/>
      </w:pPr>
      <w:r>
        <w:rPr>
          <w:noProof/>
        </w:rPr>
        <mc:AlternateContent>
          <mc:Choice Requires="wps">
            <w:drawing>
              <wp:anchor distT="0" distB="0" distL="114300" distR="114300" simplePos="0" relativeHeight="251682816" behindDoc="1" locked="0" layoutInCell="1" allowOverlap="1" wp14:anchorId="6FBA9B0C" wp14:editId="53D6243D">
                <wp:simplePos x="0" y="0"/>
                <wp:positionH relativeFrom="margin">
                  <wp:posOffset>276225</wp:posOffset>
                </wp:positionH>
                <wp:positionV relativeFrom="paragraph">
                  <wp:posOffset>12065</wp:posOffset>
                </wp:positionV>
                <wp:extent cx="6534150" cy="514350"/>
                <wp:effectExtent l="0" t="0" r="19050" b="19050"/>
                <wp:wrapNone/>
                <wp:docPr id="1529623387" name="Rectangl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4150" cy="514350"/>
                        </a:xfrm>
                        <a:prstGeom prst="rect">
                          <a:avLst/>
                        </a:prstGeom>
                        <a:solidFill>
                          <a:srgbClr val="CFCDC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A6D0B0" id="Rectangle 4" o:spid="_x0000_s1026" alt="&quot;&quot;" style="position:absolute;margin-left:21.75pt;margin-top:.95pt;width:514.5pt;height:40.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" fillcolor="#cfcdcd">
                <w10:wrap anchorx="margin"/>
              </v:rect>
            </w:pict>
          </mc:Fallback>
        </mc:AlternateContent>
      </w:r>
      <w:r>
        <w:t>The rationale for conducting continuing review of research that otherwise would not require continuing review as described in the HRPP policy [</w:t>
      </w:r>
      <w:hyperlink r:id="rId413" w:history="1">
        <w:r>
          <w:rPr>
            <w:color w:val="0000FF"/>
            <w:u w:val="single"/>
          </w:rPr>
          <w:t>Expedited and Administrative Review Procedures</w:t>
        </w:r>
      </w:hyperlink>
      <w:r>
        <w:t>]</w:t>
      </w:r>
    </w:p>
    <w:p w14:paraId="309381E1" w14:textId="77777777" w:rsidR="001D4D3E" w:rsidRDefault="0019780A" w:rsidP="00A07209">
      <w:pPr>
        <w:pStyle w:val="ListParagraph"/>
        <w:numPr>
          <w:ilvl w:val="1"/>
          <w:numId w:val="410"/>
        </w:numPr>
        <w:tabs>
          <w:tab w:val="left" w:pos="1440"/>
        </w:tabs>
        <w:spacing w:after="60" w:line="240" w:lineRule="auto"/>
        <w:ind w:left="1152"/>
      </w:pPr>
      <w:r>
        <w:t>The rationale for an expedited reviewer’s determination that research appearing on the expedited review list in HRPP policy [</w:t>
      </w:r>
      <w:hyperlink r:id="rId414" w:history="1">
        <w:r>
          <w:rPr>
            <w:color w:val="0000FF"/>
            <w:u w:val="single"/>
          </w:rPr>
          <w:t>Expedited and Administrative Review Procedures</w:t>
        </w:r>
      </w:hyperlink>
      <w:r>
        <w:t>] is more than minimal risk</w:t>
      </w:r>
    </w:p>
    <w:p w14:paraId="25EA6B95" w14:textId="77777777" w:rsidR="001D4D3E" w:rsidRDefault="0019780A" w:rsidP="00A07209">
      <w:pPr>
        <w:pStyle w:val="ListParagraph"/>
        <w:numPr>
          <w:ilvl w:val="1"/>
          <w:numId w:val="410"/>
        </w:numPr>
        <w:tabs>
          <w:tab w:val="left" w:pos="1440"/>
        </w:tabs>
        <w:spacing w:after="60" w:line="240" w:lineRule="auto"/>
        <w:ind w:left="1152"/>
      </w:pPr>
      <w:r>
        <w:t>For collaborative research, documentation specifying the responsibilities that an institution and an organization operating an IRB each will take to ensure compliance with federal and state regulations and institutional policy (e.g., collaborative research agreement)</w:t>
      </w:r>
    </w:p>
    <w:p w14:paraId="2D2DFA9D" w14:textId="77777777" w:rsidR="0019780A" w:rsidRPr="001D4D3E" w:rsidRDefault="0019780A" w:rsidP="00A07209">
      <w:pPr>
        <w:pStyle w:val="ListParagraph"/>
        <w:numPr>
          <w:ilvl w:val="1"/>
          <w:numId w:val="410"/>
        </w:numPr>
        <w:tabs>
          <w:tab w:val="left" w:pos="1440"/>
        </w:tabs>
        <w:spacing w:after="60" w:line="240" w:lineRule="auto"/>
        <w:ind w:left="1152"/>
      </w:pPr>
      <w:r>
        <w:t>For exempt research, records will include the following:</w:t>
      </w:r>
    </w:p>
    <w:p w14:paraId="57F41773" w14:textId="77777777" w:rsidR="0019780A" w:rsidRPr="0019780A" w:rsidRDefault="0019780A" w:rsidP="00A07209">
      <w:pPr>
        <w:numPr>
          <w:ilvl w:val="3"/>
          <w:numId w:val="468"/>
        </w:numPr>
        <w:spacing w:after="60" w:line="240" w:lineRule="auto"/>
        <w:ind w:left="1800"/>
      </w:pPr>
      <w:r>
        <w:t>Copies of all documentation submitted</w:t>
      </w:r>
    </w:p>
    <w:p w14:paraId="4A347C61" w14:textId="77777777" w:rsidR="0019780A" w:rsidRPr="0019780A" w:rsidRDefault="0019780A" w:rsidP="00A07209">
      <w:pPr>
        <w:numPr>
          <w:ilvl w:val="3"/>
          <w:numId w:val="468"/>
        </w:numPr>
        <w:spacing w:after="60" w:line="240" w:lineRule="auto"/>
        <w:ind w:left="1800"/>
      </w:pPr>
      <w:r>
        <w:t>Any associated correspondence between investigators and ORRP staff</w:t>
      </w:r>
    </w:p>
    <w:p w14:paraId="5A947AC4" w14:textId="77777777" w:rsidR="0019780A" w:rsidRPr="0019780A" w:rsidRDefault="0019780A" w:rsidP="00A07209">
      <w:pPr>
        <w:numPr>
          <w:ilvl w:val="3"/>
          <w:numId w:val="468"/>
        </w:numPr>
        <w:spacing w:after="0" w:line="240" w:lineRule="auto"/>
        <w:ind w:left="1800"/>
      </w:pPr>
      <w:r>
        <w:t>Exempt determinations, including citations of the specific category(ies) justifying the exemption</w:t>
      </w:r>
    </w:p>
    <w:p w14:paraId="0D368FC4" w14:textId="77777777" w:rsidR="0019780A" w:rsidRPr="0019780A" w:rsidRDefault="0019780A" w:rsidP="00A07209">
      <w:pPr>
        <w:numPr>
          <w:ilvl w:val="3"/>
          <w:numId w:val="468"/>
        </w:numPr>
        <w:spacing w:after="60" w:line="240" w:lineRule="auto"/>
        <w:ind w:left="1800"/>
      </w:pPr>
      <w:r>
        <w:lastRenderedPageBreak/>
        <w:t>Documentation of Privacy Board determination, if applicable</w:t>
      </w:r>
    </w:p>
    <w:p w14:paraId="01360E86" w14:textId="77777777" w:rsidR="001D4D3E" w:rsidRDefault="0019780A" w:rsidP="00A07209">
      <w:pPr>
        <w:numPr>
          <w:ilvl w:val="3"/>
          <w:numId w:val="468"/>
        </w:numPr>
        <w:spacing w:after="0" w:line="240" w:lineRule="auto"/>
        <w:ind w:left="1800"/>
      </w:pPr>
      <w:r>
        <w:t>Documentation of limited IRB review, as described in the HRPP policy [</w:t>
      </w:r>
      <w:hyperlink r:id="rId415" w:history="1">
        <w:r>
          <w:rPr>
            <w:color w:val="0000FF"/>
            <w:u w:val="single"/>
          </w:rPr>
          <w:t>Exempt Research</w:t>
        </w:r>
      </w:hyperlink>
      <w:r>
        <w:t>]</w:t>
      </w:r>
    </w:p>
    <w:p w14:paraId="11D7E6A0" w14:textId="77777777" w:rsidR="001D4D3E" w:rsidRDefault="0019780A" w:rsidP="00A07209">
      <w:pPr>
        <w:pStyle w:val="ListParagraph"/>
        <w:numPr>
          <w:ilvl w:val="1"/>
          <w:numId w:val="410"/>
        </w:numPr>
        <w:spacing w:after="0" w:line="240" w:lineRule="auto"/>
        <w:ind w:left="1152"/>
      </w:pPr>
      <w:r>
        <w:t>For activities determined by ORRP staff members not to be research involving human subjects, records will include copies of all documentation submitted and/or correspondence between investigators and ORRP staff, as well as information documenting the determinations.</w:t>
      </w:r>
    </w:p>
    <w:p w14:paraId="22B74798" w14:textId="77777777" w:rsidR="0019780A" w:rsidRPr="001D4D3E" w:rsidRDefault="0019780A" w:rsidP="00A07209">
      <w:pPr>
        <w:pStyle w:val="ListParagraph"/>
        <w:numPr>
          <w:ilvl w:val="1"/>
          <w:numId w:val="410"/>
        </w:numPr>
        <w:spacing w:after="0" w:line="240" w:lineRule="auto"/>
        <w:ind w:left="1152"/>
      </w:pPr>
      <w:r>
        <w:t>Other ORRP/IRB records maintained by ORRP staff include (but are not limited to) the following:</w:t>
      </w:r>
    </w:p>
    <w:p w14:paraId="6C424B6D" w14:textId="77777777" w:rsidR="0019780A" w:rsidRPr="0019780A" w:rsidRDefault="0019780A" w:rsidP="00A07209">
      <w:pPr>
        <w:numPr>
          <w:ilvl w:val="3"/>
          <w:numId w:val="469"/>
        </w:numPr>
        <w:spacing w:after="60" w:line="240" w:lineRule="auto"/>
        <w:ind w:left="1800"/>
      </w:pPr>
      <w:r>
        <w:t>IRB rosters and membership information</w:t>
      </w:r>
    </w:p>
    <w:p w14:paraId="46547571" w14:textId="77777777" w:rsidR="0019780A" w:rsidRPr="0019780A" w:rsidRDefault="0019780A" w:rsidP="00A07209">
      <w:pPr>
        <w:numPr>
          <w:ilvl w:val="3"/>
          <w:numId w:val="469"/>
        </w:numPr>
        <w:spacing w:after="60" w:line="240" w:lineRule="auto"/>
        <w:ind w:left="1800"/>
      </w:pPr>
      <w:r>
        <w:t>HRPP policies and procedures</w:t>
      </w:r>
    </w:p>
    <w:p w14:paraId="312A5462" w14:textId="77777777" w:rsidR="0019780A" w:rsidRPr="0019780A" w:rsidRDefault="0019780A" w:rsidP="00A07209">
      <w:pPr>
        <w:numPr>
          <w:ilvl w:val="3"/>
          <w:numId w:val="469"/>
        </w:numPr>
        <w:spacing w:after="60" w:line="240" w:lineRule="auto"/>
        <w:ind w:left="1800"/>
      </w:pPr>
      <w:r>
        <w:t>IRB Policy Committee minutes</w:t>
      </w:r>
    </w:p>
    <w:p w14:paraId="3FF3EF65" w14:textId="77777777" w:rsidR="0019780A" w:rsidRPr="0019780A" w:rsidRDefault="0019780A" w:rsidP="00A07209">
      <w:pPr>
        <w:numPr>
          <w:ilvl w:val="3"/>
          <w:numId w:val="469"/>
        </w:numPr>
        <w:spacing w:after="60" w:line="240" w:lineRule="auto"/>
        <w:ind w:left="1800"/>
      </w:pPr>
      <w:r>
        <w:t>ORRP desk procedures</w:t>
      </w:r>
    </w:p>
    <w:p w14:paraId="0C33CD96" w14:textId="77777777" w:rsidR="0019780A" w:rsidRPr="0019780A" w:rsidRDefault="0019780A" w:rsidP="00A07209">
      <w:pPr>
        <w:numPr>
          <w:ilvl w:val="3"/>
          <w:numId w:val="469"/>
        </w:numPr>
        <w:spacing w:after="60" w:line="240" w:lineRule="auto"/>
        <w:ind w:left="1800"/>
      </w:pPr>
      <w:r>
        <w:t>Administrative agreements</w:t>
      </w:r>
    </w:p>
    <w:p w14:paraId="3A62A971" w14:textId="77777777" w:rsidR="0019780A" w:rsidRPr="0019780A" w:rsidRDefault="0019780A" w:rsidP="00A07209">
      <w:pPr>
        <w:numPr>
          <w:ilvl w:val="3"/>
          <w:numId w:val="469"/>
        </w:numPr>
        <w:spacing w:after="0" w:line="240" w:lineRule="auto"/>
        <w:ind w:left="1800"/>
      </w:pPr>
      <w:r>
        <w:t>General IRB/ORRP correspondence (i.e., not related to specific protocols)</w:t>
      </w:r>
    </w:p>
    <w:p w14:paraId="760B257F" w14:textId="77777777" w:rsidR="0019780A" w:rsidRPr="0019780A" w:rsidRDefault="0019780A" w:rsidP="0019780A">
      <w:pPr>
        <w:spacing w:after="0" w:line="240" w:lineRule="auto"/>
      </w:pPr>
    </w:p>
    <w:p w14:paraId="24AA63FD" w14:textId="77777777" w:rsidR="0019780A" w:rsidRPr="00076836" w:rsidRDefault="0019780A" w:rsidP="00A07209">
      <w:pPr>
        <w:pStyle w:val="ListParagraph"/>
        <w:numPr>
          <w:ilvl w:val="0"/>
          <w:numId w:val="410"/>
        </w:numPr>
        <w:spacing w:after="0" w:line="240" w:lineRule="auto"/>
        <w:rPr>
          <w:b/>
        </w:rPr>
      </w:pPr>
      <w:r>
        <w:rPr>
          <w:b/>
        </w:rPr>
        <w:t>Maintenance and Retention of Records</w:t>
      </w:r>
    </w:p>
    <w:p w14:paraId="37CA9549" w14:textId="77777777" w:rsidR="0019780A" w:rsidRPr="0019780A" w:rsidRDefault="0019780A" w:rsidP="0019780A">
      <w:pPr>
        <w:spacing w:after="0" w:line="240" w:lineRule="auto"/>
        <w:ind w:left="360"/>
        <w:rPr>
          <w:b/>
        </w:rPr>
      </w:pPr>
    </w:p>
    <w:p w14:paraId="71CDEA15" w14:textId="77777777" w:rsidR="001D4D3E" w:rsidRDefault="0019780A" w:rsidP="00A07209">
      <w:pPr>
        <w:numPr>
          <w:ilvl w:val="1"/>
          <w:numId w:val="412"/>
        </w:numPr>
        <w:spacing w:after="0" w:line="240" w:lineRule="auto"/>
        <w:ind w:left="1152"/>
      </w:pPr>
      <w:r>
        <w:t>The Office of Responsible Research Practices will ensure that all records are stored confidentially in a secure location.</w:t>
      </w:r>
    </w:p>
    <w:p w14:paraId="039A1C4C" w14:textId="77777777" w:rsidR="001D4D3E" w:rsidRPr="001D4D3E" w:rsidRDefault="001D4D3E" w:rsidP="001D4D3E">
      <w:pPr>
        <w:spacing w:after="0" w:line="240" w:lineRule="auto"/>
        <w:ind w:left="792"/>
      </w:pPr>
    </w:p>
    <w:p w14:paraId="4A3C3C0B" w14:textId="77777777" w:rsidR="0019780A" w:rsidRPr="0019780A" w:rsidRDefault="0019780A" w:rsidP="00A07209">
      <w:pPr>
        <w:numPr>
          <w:ilvl w:val="1"/>
          <w:numId w:val="412"/>
        </w:numPr>
        <w:spacing w:after="0" w:line="240" w:lineRule="auto"/>
        <w:ind w:left="1152"/>
      </w:pPr>
      <w:r>
        <w:t>Access to IRB/ORRP records is restricted to authorized Ohio State employees. IRB records are accessible for inspection and copying by representatives of the sponsor of the research, authorized representatives of federal agencies or departments, and other authorized agents of regulatory or accrediting organizations at reasonable times and in a reasonable manner. Records (in whole or in part) will also be made available as required under the Ohio Public Records Act (</w:t>
      </w:r>
      <w:hyperlink r:id="rId416" w:history="1">
        <w:r>
          <w:rPr>
            <w:color w:val="0000FF"/>
            <w:u w:val="single"/>
          </w:rPr>
          <w:t>ORC 149.43</w:t>
        </w:r>
      </w:hyperlink>
      <w:r>
        <w:t>) and university policy for facilitating prompt access to public records (</w:t>
      </w:r>
      <w:hyperlink r:id="rId417" w:history="1">
        <w:r>
          <w:rPr>
            <w:color w:val="0000FF"/>
            <w:u w:val="single"/>
          </w:rPr>
          <w:t>http://compliance.osu.edu/PublicRecordsPolicy.pdf</w:t>
        </w:r>
      </w:hyperlink>
      <w:r>
        <w:t xml:space="preserve">). </w:t>
      </w:r>
    </w:p>
    <w:p w14:paraId="03D840D3" w14:textId="77777777" w:rsidR="0019780A" w:rsidRPr="0019780A" w:rsidRDefault="0019780A" w:rsidP="0019780A">
      <w:pPr>
        <w:spacing w:after="0" w:line="240" w:lineRule="auto"/>
      </w:pPr>
    </w:p>
    <w:p w14:paraId="1A3B956D" w14:textId="77777777" w:rsidR="0019780A" w:rsidRPr="0019780A" w:rsidRDefault="0019780A" w:rsidP="00A07209">
      <w:pPr>
        <w:numPr>
          <w:ilvl w:val="1"/>
          <w:numId w:val="412"/>
        </w:numPr>
        <w:spacing w:after="0" w:line="240" w:lineRule="auto"/>
        <w:ind w:left="1152"/>
        <w:rPr>
          <w:bCs/>
          <w:color w:val="000000"/>
        </w:rPr>
      </w:pPr>
      <w:r>
        <w:t>All IRB/ORRP records relating to research are retained for at least three years after completion of the research or three years after cancellation, if the research is cancelled without participant enrollment. All other IRB/ORRP records described by this policy are retained for at least three years. In some cases, a longer retention period may be required by university policy or contractual agreement. Records are stored, archived, and later destroyed as advised by the Office of Legal Affairs and University Archives (</w:t>
      </w:r>
      <w:hyperlink r:id="rId418" w:history="1">
        <w:r>
          <w:rPr>
            <w:color w:val="0000FF"/>
            <w:u w:val="single"/>
          </w:rPr>
          <w:t>https://library.osu.edu/osu-records-management/policy</w:t>
        </w:r>
      </w:hyperlink>
      <w:r>
        <w:t>).</w:t>
      </w:r>
    </w:p>
    <w:p w14:paraId="7AE047F7" w14:textId="77777777" w:rsidR="0019780A" w:rsidRPr="0019780A" w:rsidRDefault="0019780A" w:rsidP="0019780A">
      <w:pPr>
        <w:spacing w:after="0" w:line="240" w:lineRule="auto"/>
        <w:rPr>
          <w:bCs/>
          <w:color w:val="000000"/>
        </w:rPr>
      </w:pPr>
    </w:p>
    <w:p w14:paraId="0935D8FA" w14:textId="77777777" w:rsidR="0019780A" w:rsidRPr="0019780A" w:rsidRDefault="0019780A" w:rsidP="00A07209">
      <w:pPr>
        <w:numPr>
          <w:ilvl w:val="1"/>
          <w:numId w:val="412"/>
        </w:numPr>
        <w:spacing w:after="0" w:line="240" w:lineRule="auto"/>
        <w:ind w:left="1152"/>
        <w:rPr>
          <w:bCs/>
          <w:color w:val="000000"/>
        </w:rPr>
      </w:pPr>
      <w:r>
        <w:t xml:space="preserve">When electronic records and/or data are used to meet regulatory requirements for IRB recordkeeping and retention, such records and/or data will be maintained in compliance with 21 CFR 11 and applicable FDA Guidance, </w:t>
      </w:r>
      <w:hyperlink r:id="rId419" w:history="1">
        <w:r>
          <w:rPr>
            <w:bCs/>
            <w:color w:val="0000FF"/>
            <w:u w:val="single"/>
          </w:rPr>
          <w:t>Part 11, Electronic Records; Electronic Signatures - Scope and Application</w:t>
        </w:r>
      </w:hyperlink>
      <w:r>
        <w:rPr>
          <w:bCs/>
          <w:color w:val="000000"/>
        </w:rPr>
        <w:t>.</w:t>
      </w:r>
    </w:p>
    <w:p w14:paraId="71D1A73D" w14:textId="77777777" w:rsidR="0019780A" w:rsidRPr="0019780A" w:rsidRDefault="0019780A" w:rsidP="0019780A">
      <w:pPr>
        <w:spacing w:after="0" w:line="240" w:lineRule="auto"/>
        <w:rPr>
          <w:bCs/>
          <w:color w:val="000000"/>
        </w:rPr>
      </w:pPr>
    </w:p>
    <w:p w14:paraId="1309C6C0" w14:textId="77777777" w:rsidR="0019780A" w:rsidRPr="0019780A" w:rsidRDefault="0019780A" w:rsidP="0019780A">
      <w:pPr>
        <w:spacing w:after="0" w:line="240" w:lineRule="auto"/>
        <w:rPr>
          <w:bCs/>
          <w:color w:val="000000"/>
        </w:rPr>
      </w:pPr>
    </w:p>
    <w:p w14:paraId="791A6354" w14:textId="77777777" w:rsidR="0019780A" w:rsidRPr="0019780A" w:rsidRDefault="0019780A" w:rsidP="0019780A">
      <w:pPr>
        <w:spacing w:after="0" w:line="240" w:lineRule="auto"/>
        <w:rPr>
          <w:bCs/>
          <w:color w:val="000000"/>
        </w:rPr>
      </w:pPr>
    </w:p>
    <w:p w14:paraId="04617479" w14:textId="77777777" w:rsidR="0019780A" w:rsidRPr="001D4D3E" w:rsidRDefault="0019780A" w:rsidP="00A07209">
      <w:pPr>
        <w:pStyle w:val="ListParagraph"/>
        <w:numPr>
          <w:ilvl w:val="0"/>
          <w:numId w:val="412"/>
        </w:numPr>
        <w:spacing w:after="0" w:line="240" w:lineRule="auto"/>
      </w:pPr>
      <w:r>
        <w:rPr>
          <w:b/>
        </w:rPr>
        <w:t>Applicable Regulations/Guidance</w:t>
      </w:r>
    </w:p>
    <w:p w14:paraId="29BDE940" w14:textId="77777777" w:rsidR="0019780A" w:rsidRPr="0019780A" w:rsidRDefault="0019780A" w:rsidP="0019780A">
      <w:pPr>
        <w:spacing w:after="0" w:line="240" w:lineRule="auto"/>
      </w:pPr>
    </w:p>
    <w:p w14:paraId="75AA04ED" w14:textId="77777777" w:rsidR="0019780A" w:rsidRPr="0019780A" w:rsidRDefault="0019780A" w:rsidP="0019780A">
      <w:pPr>
        <w:spacing w:after="0" w:line="240" w:lineRule="auto"/>
        <w:ind w:left="360"/>
      </w:pPr>
      <w:r>
        <w:t>21 CFR 11, 21 CFR 56.115, Pre-2018 and Final Rule (45 CFR 46.115), FDA Guidance “Part 11, Electronic Records; Electronic Signatures – Scope and Application” (08/28/03), FDA Information Sheets: Frequently Asked Questions: “IRB Records,” “Written IRB Procedures: OHRP Guidance” (08/16), ORC 149.43, “The Ohio State University Public Records Policy” (11/02/18)</w:t>
      </w:r>
    </w:p>
    <w:p w14:paraId="168BFFA5" w14:textId="77777777" w:rsidR="0019780A" w:rsidRPr="0019780A" w:rsidRDefault="0019780A" w:rsidP="0019780A">
      <w:pPr>
        <w:spacing w:after="0" w:line="240" w:lineRule="auto"/>
        <w:ind w:left="360"/>
      </w:pPr>
    </w:p>
    <w:p w14:paraId="13DB270C" w14:textId="77777777" w:rsidR="0019780A" w:rsidRPr="0019780A" w:rsidRDefault="0019780A" w:rsidP="00A07209">
      <w:pPr>
        <w:numPr>
          <w:ilvl w:val="0"/>
          <w:numId w:val="412"/>
        </w:numPr>
        <w:spacing w:after="0" w:line="240" w:lineRule="auto"/>
        <w:rPr>
          <w:b/>
        </w:rPr>
      </w:pPr>
      <w:r>
        <w:rPr>
          <w:b/>
        </w:rPr>
        <w:t>History</w:t>
      </w:r>
    </w:p>
    <w:p w14:paraId="5975C37C" w14:textId="77777777" w:rsidR="0019780A" w:rsidRPr="0019780A" w:rsidRDefault="0019780A" w:rsidP="0019780A">
      <w:pPr>
        <w:spacing w:after="0" w:line="240" w:lineRule="auto"/>
        <w:rPr>
          <w:b/>
        </w:rPr>
      </w:pPr>
    </w:p>
    <w:p w14:paraId="15D95ADE" w14:textId="77777777" w:rsidR="0019780A" w:rsidRPr="0019780A" w:rsidRDefault="0019780A" w:rsidP="0019780A">
      <w:pPr>
        <w:spacing w:after="0" w:line="240" w:lineRule="auto"/>
        <w:ind w:left="360"/>
      </w:pPr>
      <w:r>
        <w:t>Issued: 06/30/2008</w:t>
      </w:r>
    </w:p>
    <w:p w14:paraId="4E7FC2ED" w14:textId="77777777" w:rsidR="0019780A" w:rsidRPr="0019780A" w:rsidRDefault="0019780A" w:rsidP="0019780A">
      <w:pPr>
        <w:spacing w:after="0" w:line="240" w:lineRule="auto"/>
        <w:ind w:left="360"/>
      </w:pPr>
      <w:r>
        <w:t>Revised: 06/07/2009, 07/27/2012, 06/06/2016, 07/22/2019</w:t>
      </w:r>
    </w:p>
    <w:p w14:paraId="1665D47E" w14:textId="77777777" w:rsidR="0019780A" w:rsidRPr="0019780A" w:rsidRDefault="0019780A" w:rsidP="0019780A">
      <w:pPr>
        <w:spacing w:after="0" w:line="240" w:lineRule="auto"/>
        <w:ind w:left="360"/>
      </w:pPr>
      <w:r>
        <w:t>Edited: 04/28/2009, 04/20/2022</w:t>
      </w:r>
    </w:p>
    <w:p w14:paraId="5B95A9CF" w14:textId="77777777" w:rsidR="0019780A" w:rsidRPr="0019780A" w:rsidRDefault="0019780A" w:rsidP="0019780A">
      <w:pPr>
        <w:spacing w:after="0" w:line="240" w:lineRule="auto"/>
        <w:ind w:left="360"/>
      </w:pPr>
    </w:p>
    <w:p w14:paraId="17A04158" w14:textId="77777777" w:rsidR="0019780A" w:rsidRPr="0019780A" w:rsidRDefault="0019780A" w:rsidP="0019780A">
      <w:pPr>
        <w:spacing w:after="0" w:line="240" w:lineRule="auto"/>
        <w:ind w:left="360"/>
      </w:pPr>
    </w:p>
    <w:p w14:paraId="79F789F5" w14:textId="77777777" w:rsidR="003E4E60" w:rsidRDefault="003E4E60" w:rsidP="00076836">
      <w:pPr>
        <w:pStyle w:val="Heading2"/>
      </w:pPr>
    </w:p>
    <w:p w14:paraId="287476AA" w14:textId="77777777" w:rsidR="003E4E60" w:rsidRDefault="003E4E60" w:rsidP="007D7440">
      <w:r>
        <w:br w:type="page"/>
      </w:r>
    </w:p>
    <w:p w14:paraId="16F91893" w14:textId="77777777" w:rsidR="00641904" w:rsidRPr="00641904" w:rsidRDefault="288D3159" w:rsidP="00471B9E">
      <w:pPr>
        <w:pStyle w:val="Heading2"/>
      </w:pPr>
      <w:bookmarkStart w:id="392" w:name="B33"/>
      <w:bookmarkStart w:id="393" w:name="_Toc212142230"/>
      <w:bookmarkStart w:id="394" w:name="_Toc225507770"/>
      <w:r>
        <w:lastRenderedPageBreak/>
        <w:t>Appendix B-33</w:t>
      </w:r>
      <w:bookmarkEnd w:id="392"/>
      <w:r>
        <w:t xml:space="preserve">  </w:t>
      </w:r>
      <w:r>
        <w:tab/>
        <w:t>Research Involving Radiation</w:t>
      </w:r>
      <w:bookmarkEnd w:id="393"/>
      <w:bookmarkEnd w:id="394"/>
    </w:p>
    <w:p w14:paraId="6D307772" w14:textId="77777777" w:rsidR="00641904" w:rsidRPr="00641904" w:rsidRDefault="00641904" w:rsidP="00641904">
      <w:pPr>
        <w:spacing w:after="0" w:line="240" w:lineRule="auto"/>
        <w:rPr>
          <w:b/>
          <w:smallCaps/>
        </w:rPr>
      </w:pPr>
    </w:p>
    <w:p w14:paraId="77634B85" w14:textId="77777777" w:rsidR="00641904" w:rsidRPr="00641904" w:rsidRDefault="00641904" w:rsidP="00A07209">
      <w:pPr>
        <w:numPr>
          <w:ilvl w:val="0"/>
          <w:numId w:val="413"/>
        </w:numPr>
        <w:spacing w:after="0" w:line="240" w:lineRule="auto"/>
        <w:rPr>
          <w:b/>
        </w:rPr>
      </w:pPr>
      <w:r>
        <w:rPr>
          <w:b/>
        </w:rPr>
        <w:t>Overview</w:t>
      </w:r>
    </w:p>
    <w:p w14:paraId="375517F1" w14:textId="77777777" w:rsidR="00641904" w:rsidRPr="00641904" w:rsidRDefault="00641904" w:rsidP="00641904">
      <w:pPr>
        <w:spacing w:after="0" w:line="240" w:lineRule="auto"/>
        <w:rPr>
          <w:b/>
        </w:rPr>
      </w:pPr>
    </w:p>
    <w:p w14:paraId="56843E4F" w14:textId="77777777" w:rsidR="00641904" w:rsidRPr="00641904" w:rsidRDefault="00641904" w:rsidP="00641904">
      <w:pPr>
        <w:spacing w:after="0" w:line="240" w:lineRule="auto"/>
        <w:ind w:left="360"/>
      </w:pPr>
      <w:r>
        <w:t>Radiation exposure other than that received in routine and/or non-research clinical care procedures must be evaluated to determine the risks posed to research subjects. The use of radiation for research purposes must be reviewed and approved by the Human Subject Radiation Committee, a subcommittee of The Ohio State University Radiation Safety Committee, in addition to the IRB, before research (or changes to research) may be initiated.</w:t>
      </w:r>
    </w:p>
    <w:p w14:paraId="2A573AA9" w14:textId="77777777" w:rsidR="00641904" w:rsidRPr="00641904" w:rsidRDefault="00641904" w:rsidP="00641904">
      <w:pPr>
        <w:spacing w:after="0" w:line="240" w:lineRule="auto"/>
        <w:ind w:left="360"/>
      </w:pPr>
    </w:p>
    <w:p w14:paraId="6F7236B0" w14:textId="77777777" w:rsidR="00641904" w:rsidRPr="00641904" w:rsidRDefault="00641904" w:rsidP="00A07209">
      <w:pPr>
        <w:numPr>
          <w:ilvl w:val="0"/>
          <w:numId w:val="413"/>
        </w:numPr>
        <w:spacing w:after="0" w:line="240" w:lineRule="auto"/>
        <w:rPr>
          <w:b/>
        </w:rPr>
      </w:pPr>
      <w:r>
        <w:rPr>
          <w:b/>
        </w:rPr>
        <w:t>Definitions</w:t>
      </w:r>
    </w:p>
    <w:p w14:paraId="0BA90137" w14:textId="77777777" w:rsidR="00641904" w:rsidRPr="00641904" w:rsidRDefault="00641904" w:rsidP="00641904">
      <w:pPr>
        <w:spacing w:after="0" w:line="240" w:lineRule="auto"/>
        <w:rPr>
          <w:b/>
        </w:rPr>
      </w:pPr>
    </w:p>
    <w:p w14:paraId="6DA05772" w14:textId="77777777" w:rsidR="00641904" w:rsidRPr="00641904" w:rsidRDefault="00641904" w:rsidP="00641904">
      <w:pPr>
        <w:spacing w:after="0" w:line="240" w:lineRule="auto"/>
        <w:ind w:left="360"/>
        <w:rPr>
          <w:color w:val="000000"/>
        </w:rPr>
      </w:pPr>
      <w:r>
        <w:rPr>
          <w:b/>
          <w:bCs/>
          <w:color w:val="000000"/>
        </w:rPr>
        <w:t>Dosimetrist:</w:t>
      </w:r>
      <w:r>
        <w:rPr>
          <w:b/>
          <w:color w:val="000000"/>
          <w:szCs w:val="20"/>
        </w:rPr>
        <w:t xml:space="preserve"> </w:t>
      </w:r>
      <w:r>
        <w:rPr>
          <w:color w:val="000000"/>
        </w:rPr>
        <w:t>Individual with special training in radiation safety and in the accurate determination of radiation dosages.</w:t>
      </w:r>
    </w:p>
    <w:p w14:paraId="3B47A0A8" w14:textId="77777777" w:rsidR="00641904" w:rsidRPr="00641904" w:rsidRDefault="00641904" w:rsidP="00641904">
      <w:pPr>
        <w:spacing w:after="0" w:line="240" w:lineRule="auto"/>
        <w:ind w:left="360"/>
        <w:rPr>
          <w:b/>
          <w:bCs/>
          <w:color w:val="000000"/>
        </w:rPr>
      </w:pPr>
    </w:p>
    <w:p w14:paraId="45EB2AC4" w14:textId="77777777" w:rsidR="00641904" w:rsidRPr="00641904" w:rsidRDefault="00641904" w:rsidP="00641904">
      <w:pPr>
        <w:spacing w:after="0" w:line="240" w:lineRule="auto"/>
        <w:ind w:left="360"/>
        <w:rPr>
          <w:bCs/>
          <w:color w:val="000000"/>
        </w:rPr>
      </w:pPr>
      <w:r>
        <w:rPr>
          <w:b/>
          <w:bCs/>
          <w:color w:val="000000"/>
        </w:rPr>
        <w:t xml:space="preserve">Effective Dose: </w:t>
      </w:r>
      <w:r>
        <w:rPr>
          <w:bCs/>
          <w:color w:val="000000"/>
        </w:rPr>
        <w:t>A measure used to estimate the risk resulting from an exposure of ionizing radiation, calculated as a weighted average of exposure to different body tissues. The effective dose is measured in rems or sieverts.</w:t>
      </w:r>
    </w:p>
    <w:p w14:paraId="69D483F5" w14:textId="77777777" w:rsidR="00641904" w:rsidRPr="00641904" w:rsidRDefault="00641904" w:rsidP="00641904">
      <w:pPr>
        <w:spacing w:after="0" w:line="240" w:lineRule="auto"/>
        <w:ind w:left="360"/>
        <w:rPr>
          <w:bCs/>
          <w:color w:val="000000"/>
        </w:rPr>
      </w:pPr>
    </w:p>
    <w:p w14:paraId="18D73748" w14:textId="77777777" w:rsidR="00641904" w:rsidRPr="00641904" w:rsidRDefault="00641904" w:rsidP="00641904">
      <w:pPr>
        <w:spacing w:after="0" w:line="240" w:lineRule="auto"/>
        <w:ind w:left="360"/>
        <w:rPr>
          <w:color w:val="000000"/>
        </w:rPr>
      </w:pPr>
      <w:r>
        <w:rPr>
          <w:b/>
          <w:bCs/>
          <w:color w:val="000000"/>
        </w:rPr>
        <w:t>Human Subject Radiation Committee (HSRC):</w:t>
      </w:r>
      <w:r>
        <w:rPr>
          <w:b/>
          <w:color w:val="000000"/>
          <w:szCs w:val="20"/>
        </w:rPr>
        <w:t xml:space="preserve"> </w:t>
      </w:r>
      <w:r>
        <w:rPr>
          <w:color w:val="000000"/>
        </w:rPr>
        <w:t xml:space="preserve">A subcommittee of The Ohio State University Radiation Safety Committee responsible for the review and approval of the research use of radiation in research involving human subjects. </w:t>
      </w:r>
      <w:r>
        <w:rPr>
          <w:i/>
          <w:iCs/>
        </w:rPr>
        <w:t>Note: The Medical Use Subcommittee of the University Radiation Safety Committee serves as the Human Subject Radiation Committee.</w:t>
      </w:r>
    </w:p>
    <w:p w14:paraId="13708081" w14:textId="77777777" w:rsidR="00641904" w:rsidRPr="00641904" w:rsidRDefault="00641904" w:rsidP="00641904">
      <w:pPr>
        <w:spacing w:after="0" w:line="240" w:lineRule="auto"/>
        <w:ind w:left="360"/>
        <w:rPr>
          <w:bCs/>
          <w:color w:val="000000"/>
        </w:rPr>
      </w:pPr>
      <w:r>
        <w:rPr>
          <w:color w:val="000000"/>
        </w:rPr>
        <w:br/>
      </w:r>
      <w:r>
        <w:rPr>
          <w:b/>
          <w:bCs/>
          <w:color w:val="000000"/>
        </w:rPr>
        <w:t>Ionizing Radiation:</w:t>
      </w:r>
      <w:r>
        <w:rPr>
          <w:b/>
          <w:color w:val="000000"/>
          <w:szCs w:val="20"/>
        </w:rPr>
        <w:t xml:space="preserve"> </w:t>
      </w:r>
      <w:r>
        <w:t>Any radiation capable of displacing electrons from atoms or molecules, thereby producing ions. Examples include alpha, beta, gamma, and X-rays. High doses of ionizing radiation may produce severe skin or tissue damage.</w:t>
      </w:r>
    </w:p>
    <w:p w14:paraId="5DFE82F1" w14:textId="77777777" w:rsidR="00641904" w:rsidRPr="00641904" w:rsidRDefault="00641904" w:rsidP="00641904">
      <w:pPr>
        <w:spacing w:after="0" w:line="240" w:lineRule="auto"/>
        <w:ind w:left="360"/>
        <w:rPr>
          <w:bCs/>
          <w:color w:val="000000"/>
        </w:rPr>
      </w:pPr>
    </w:p>
    <w:p w14:paraId="07F24C98" w14:textId="77777777" w:rsidR="00641904" w:rsidRPr="00641904" w:rsidRDefault="00641904" w:rsidP="00641904">
      <w:pPr>
        <w:spacing w:after="0" w:line="240" w:lineRule="auto"/>
        <w:ind w:left="360"/>
        <w:rPr>
          <w:color w:val="000000"/>
        </w:rPr>
      </w:pPr>
      <w:r>
        <w:rPr>
          <w:b/>
          <w:bCs/>
          <w:color w:val="000000"/>
        </w:rPr>
        <w:t>Nuclear Regulatory Commission:</w:t>
      </w:r>
      <w:r>
        <w:rPr>
          <w:b/>
          <w:color w:val="000000"/>
          <w:szCs w:val="20"/>
        </w:rPr>
        <w:t xml:space="preserve"> </w:t>
      </w:r>
      <w:r>
        <w:rPr>
          <w:color w:val="000000"/>
        </w:rPr>
        <w:t>The independent government agency established by the Energy Reorganization Act of 1974 to regulate civilian use of nuclear materials.</w:t>
      </w:r>
    </w:p>
    <w:p w14:paraId="75710C0D" w14:textId="77777777" w:rsidR="00641904" w:rsidRPr="00641904" w:rsidRDefault="00641904" w:rsidP="00641904">
      <w:pPr>
        <w:spacing w:after="0" w:line="240" w:lineRule="auto"/>
        <w:ind w:left="360"/>
        <w:rPr>
          <w:color w:val="000000"/>
        </w:rPr>
      </w:pPr>
      <w:r>
        <w:rPr>
          <w:color w:val="000000"/>
        </w:rPr>
        <w:br/>
      </w:r>
      <w:r>
        <w:rPr>
          <w:b/>
          <w:bCs/>
          <w:color w:val="000000"/>
        </w:rPr>
        <w:t>Radiation Exposure:</w:t>
      </w:r>
      <w:r>
        <w:rPr>
          <w:b/>
          <w:color w:val="000000"/>
          <w:szCs w:val="20"/>
        </w:rPr>
        <w:t xml:space="preserve"> </w:t>
      </w:r>
      <w:r>
        <w:rPr>
          <w:color w:val="000000"/>
        </w:rPr>
        <w:t>In health physics, the quantity used to indicate the amount of ionization in air produced by X-ray or gamma radiation while conducting radiologic procedures.</w:t>
      </w:r>
    </w:p>
    <w:p w14:paraId="0CE84EB4" w14:textId="77777777" w:rsidR="00641904" w:rsidRPr="00641904" w:rsidRDefault="00641904" w:rsidP="00641904">
      <w:pPr>
        <w:spacing w:after="0" w:line="240" w:lineRule="auto"/>
        <w:ind w:left="360"/>
        <w:rPr>
          <w:b/>
        </w:rPr>
      </w:pPr>
      <w:r>
        <w:rPr>
          <w:color w:val="000000"/>
        </w:rPr>
        <w:br/>
      </w:r>
      <w:r>
        <w:rPr>
          <w:b/>
          <w:bCs/>
          <w:color w:val="000000"/>
        </w:rPr>
        <w:t>Radiologic (Radiological) Procedure:</w:t>
      </w:r>
      <w:r>
        <w:rPr>
          <w:b/>
          <w:color w:val="000000"/>
          <w:szCs w:val="20"/>
        </w:rPr>
        <w:t xml:space="preserve"> </w:t>
      </w:r>
      <w:r>
        <w:rPr>
          <w:color w:val="000000"/>
        </w:rPr>
        <w:t>Any procedure involving radiation (e.g., X-ray) or a radioactive agent (e.g., radionuclide used in a nuclear medicine study).</w:t>
      </w:r>
      <w:r>
        <w:rPr>
          <w:color w:val="000000"/>
        </w:rPr>
        <w:br/>
      </w:r>
      <w:r>
        <w:rPr>
          <w:color w:val="000000"/>
        </w:rPr>
        <w:br/>
      </w:r>
    </w:p>
    <w:p w14:paraId="47200C28" w14:textId="77777777" w:rsidR="00641904" w:rsidRPr="00641904" w:rsidRDefault="00641904" w:rsidP="00A07209">
      <w:pPr>
        <w:numPr>
          <w:ilvl w:val="0"/>
          <w:numId w:val="413"/>
        </w:numPr>
        <w:spacing w:after="0" w:line="240" w:lineRule="auto"/>
        <w:ind w:left="0" w:firstLine="0"/>
        <w:rPr>
          <w:b/>
        </w:rPr>
      </w:pPr>
      <w:bookmarkStart w:id="395" w:name="general"/>
      <w:bookmarkEnd w:id="395"/>
      <w:r>
        <w:rPr>
          <w:b/>
        </w:rPr>
        <w:t>General Information</w:t>
      </w:r>
    </w:p>
    <w:p w14:paraId="337F4049" w14:textId="77777777" w:rsidR="00641904" w:rsidRPr="00641904" w:rsidRDefault="00641904" w:rsidP="00641904">
      <w:pPr>
        <w:spacing w:after="0" w:line="240" w:lineRule="auto"/>
        <w:ind w:left="720"/>
        <w:rPr>
          <w:color w:val="000000"/>
        </w:rPr>
      </w:pPr>
    </w:p>
    <w:p w14:paraId="33D1FD9F" w14:textId="77777777" w:rsidR="00641904" w:rsidRPr="00641904" w:rsidRDefault="00641904" w:rsidP="00A07209">
      <w:pPr>
        <w:numPr>
          <w:ilvl w:val="0"/>
          <w:numId w:val="419"/>
        </w:numPr>
        <w:spacing w:after="60" w:line="240" w:lineRule="auto"/>
        <w:rPr>
          <w:color w:val="000000"/>
        </w:rPr>
      </w:pPr>
      <w:r>
        <w:rPr>
          <w:color w:val="000000"/>
        </w:rPr>
        <w:t xml:space="preserve">The </w:t>
      </w:r>
      <w:r>
        <w:t>Human Subject Radiation Committee</w:t>
      </w:r>
      <w:r>
        <w:rPr>
          <w:color w:val="000000"/>
        </w:rPr>
        <w:t xml:space="preserve"> evaluates the “research use” of radiation in human subjects. Such uses include the following:</w:t>
      </w:r>
    </w:p>
    <w:p w14:paraId="19FB9315" w14:textId="77777777" w:rsidR="00641904" w:rsidRPr="00641904" w:rsidRDefault="00641904" w:rsidP="00A07209">
      <w:pPr>
        <w:numPr>
          <w:ilvl w:val="1"/>
          <w:numId w:val="419"/>
        </w:numPr>
        <w:tabs>
          <w:tab w:val="num" w:pos="1440"/>
        </w:tabs>
        <w:spacing w:after="60" w:line="240" w:lineRule="auto"/>
        <w:rPr>
          <w:color w:val="000000"/>
        </w:rPr>
      </w:pPr>
      <w:r>
        <w:rPr>
          <w:color w:val="000000"/>
        </w:rPr>
        <w:t>Radiologic procedures that are administered solely for experimental or research purposes (i.e., would not otherwise be administered)</w:t>
      </w:r>
    </w:p>
    <w:p w14:paraId="634649B2" w14:textId="77777777" w:rsidR="00641904" w:rsidRPr="00641904" w:rsidRDefault="00641904" w:rsidP="00A07209">
      <w:pPr>
        <w:numPr>
          <w:ilvl w:val="1"/>
          <w:numId w:val="419"/>
        </w:numPr>
        <w:tabs>
          <w:tab w:val="num" w:pos="1440"/>
        </w:tabs>
        <w:spacing w:after="60" w:line="240" w:lineRule="auto"/>
        <w:rPr>
          <w:color w:val="000000"/>
        </w:rPr>
      </w:pPr>
      <w:r>
        <w:rPr>
          <w:color w:val="000000"/>
        </w:rPr>
        <w:t>Use of an investigational radiologic device or investigational radiopharmaceutical (e.g., contrast agent, radionuclide)</w:t>
      </w:r>
    </w:p>
    <w:p w14:paraId="1A860CEE" w14:textId="77777777" w:rsidR="00641904" w:rsidRPr="00641904" w:rsidRDefault="00641904" w:rsidP="00A07209">
      <w:pPr>
        <w:numPr>
          <w:ilvl w:val="1"/>
          <w:numId w:val="419"/>
        </w:numPr>
        <w:tabs>
          <w:tab w:val="num" w:pos="1440"/>
        </w:tabs>
        <w:spacing w:after="60" w:line="240" w:lineRule="auto"/>
        <w:rPr>
          <w:color w:val="000000"/>
        </w:rPr>
      </w:pPr>
      <w:r>
        <w:rPr>
          <w:color w:val="000000"/>
        </w:rPr>
        <w:t>Use of radiologic procedures when these procedures are the subject of the investigation (e.g., comparison of radiotherapy delivery methods)</w:t>
      </w:r>
    </w:p>
    <w:p w14:paraId="23AAC314" w14:textId="77777777" w:rsidR="00641904" w:rsidRPr="00641904" w:rsidRDefault="00641904" w:rsidP="00A07209">
      <w:pPr>
        <w:numPr>
          <w:ilvl w:val="1"/>
          <w:numId w:val="419"/>
        </w:numPr>
        <w:tabs>
          <w:tab w:val="num" w:pos="1440"/>
        </w:tabs>
        <w:spacing w:after="60" w:line="240" w:lineRule="auto"/>
        <w:rPr>
          <w:color w:val="000000"/>
        </w:rPr>
      </w:pPr>
      <w:r>
        <w:rPr>
          <w:color w:val="000000"/>
        </w:rPr>
        <w:t>Standard of care procedures that are being altered as part of research</w:t>
      </w:r>
    </w:p>
    <w:p w14:paraId="690AAE14" w14:textId="77777777" w:rsidR="00641904" w:rsidRPr="00641904" w:rsidRDefault="00641904" w:rsidP="00A07209">
      <w:pPr>
        <w:numPr>
          <w:ilvl w:val="1"/>
          <w:numId w:val="419"/>
        </w:numPr>
        <w:tabs>
          <w:tab w:val="num" w:pos="1440"/>
        </w:tabs>
        <w:spacing w:after="0" w:line="240" w:lineRule="auto"/>
        <w:rPr>
          <w:color w:val="000000"/>
        </w:rPr>
      </w:pPr>
      <w:r>
        <w:rPr>
          <w:color w:val="000000"/>
        </w:rPr>
        <w:t>Radiologic procedures that are administered in addition to those that the subject would receive as part of standard medical care (i.e., “extra”)</w:t>
      </w:r>
    </w:p>
    <w:p w14:paraId="59C530F9" w14:textId="77777777" w:rsidR="00641904" w:rsidRPr="00641904" w:rsidRDefault="00641904" w:rsidP="00641904">
      <w:pPr>
        <w:spacing w:after="0" w:line="240" w:lineRule="auto"/>
        <w:ind w:left="1080"/>
        <w:rPr>
          <w:color w:val="000000"/>
        </w:rPr>
      </w:pPr>
    </w:p>
    <w:p w14:paraId="7CF49606" w14:textId="77777777" w:rsidR="00641904" w:rsidRPr="00641904" w:rsidRDefault="00641904" w:rsidP="00A07209">
      <w:pPr>
        <w:numPr>
          <w:ilvl w:val="0"/>
          <w:numId w:val="419"/>
        </w:numPr>
        <w:spacing w:after="0" w:line="240" w:lineRule="auto"/>
        <w:rPr>
          <w:color w:val="000000"/>
        </w:rPr>
      </w:pPr>
      <w:r>
        <w:rPr>
          <w:color w:val="000000"/>
        </w:rPr>
        <w:lastRenderedPageBreak/>
        <w:t>The HSRC does not routinely review research involving radiologic exams or procedures that would also have been administered for non-research purposes (i.e., performed as part of standard medical care). However, the IRBs may request HSRC review (or re-review) for any proposed study involving radiation.</w:t>
      </w:r>
    </w:p>
    <w:p w14:paraId="4E2C4EA7" w14:textId="77777777" w:rsidR="00641904" w:rsidRPr="00641904" w:rsidRDefault="00641904" w:rsidP="00641904">
      <w:pPr>
        <w:spacing w:after="0" w:line="240" w:lineRule="auto"/>
        <w:ind w:left="720"/>
        <w:rPr>
          <w:color w:val="000000"/>
        </w:rPr>
      </w:pPr>
    </w:p>
    <w:p w14:paraId="14D23ADB" w14:textId="77777777" w:rsidR="00641904" w:rsidRPr="00641904" w:rsidRDefault="00641904" w:rsidP="00A07209">
      <w:pPr>
        <w:numPr>
          <w:ilvl w:val="0"/>
          <w:numId w:val="419"/>
        </w:numPr>
        <w:spacing w:after="0" w:line="240" w:lineRule="auto"/>
        <w:rPr>
          <w:color w:val="000000"/>
        </w:rPr>
      </w:pPr>
      <w:r>
        <w:rPr>
          <w:color w:val="000000"/>
        </w:rPr>
        <w:t>Research activities for proposed research requiring HSRC review may not begin until both HSRC and IRB approvals have been granted. HSRC approval of the research use of radiation must be obtained prior to IRB approval as described below (see “</w:t>
      </w:r>
      <w:hyperlink w:anchor="HSRCreview" w:history="1">
        <w:r>
          <w:rPr>
            <w:color w:val="0000FF"/>
            <w:u w:val="single"/>
          </w:rPr>
          <w:t>HSRC Review and Approval</w:t>
        </w:r>
      </w:hyperlink>
      <w:r>
        <w:rPr>
          <w:color w:val="000000"/>
        </w:rPr>
        <w:t>”).</w:t>
      </w:r>
    </w:p>
    <w:p w14:paraId="6028A365" w14:textId="77777777" w:rsidR="00641904" w:rsidRPr="00641904" w:rsidRDefault="00641904" w:rsidP="00641904">
      <w:pPr>
        <w:spacing w:after="0" w:line="240" w:lineRule="auto"/>
        <w:ind w:left="720"/>
        <w:rPr>
          <w:b/>
        </w:rPr>
      </w:pPr>
    </w:p>
    <w:p w14:paraId="1211509B" w14:textId="77777777" w:rsidR="00641904" w:rsidRPr="00641904" w:rsidRDefault="00641904" w:rsidP="00A07209">
      <w:pPr>
        <w:numPr>
          <w:ilvl w:val="0"/>
          <w:numId w:val="413"/>
        </w:numPr>
        <w:spacing w:after="0" w:line="240" w:lineRule="auto"/>
        <w:ind w:left="0" w:firstLine="0"/>
        <w:rPr>
          <w:b/>
        </w:rPr>
      </w:pPr>
      <w:r>
        <w:rPr>
          <w:b/>
        </w:rPr>
        <w:t>Authority</w:t>
      </w:r>
    </w:p>
    <w:p w14:paraId="3D4E07E6" w14:textId="77777777" w:rsidR="00641904" w:rsidRPr="00641904" w:rsidRDefault="00641904" w:rsidP="00641904">
      <w:pPr>
        <w:spacing w:after="0" w:line="240" w:lineRule="auto"/>
        <w:rPr>
          <w:b/>
        </w:rPr>
      </w:pPr>
    </w:p>
    <w:p w14:paraId="7591E83B" w14:textId="77777777" w:rsidR="00641904" w:rsidRPr="00641904" w:rsidRDefault="00641904" w:rsidP="00641904">
      <w:pPr>
        <w:spacing w:after="0" w:line="240" w:lineRule="auto"/>
        <w:ind w:left="360"/>
        <w:rPr>
          <w:color w:val="000000"/>
        </w:rPr>
      </w:pPr>
      <w:r>
        <w:rPr>
          <w:color w:val="000000"/>
        </w:rPr>
        <w:t>The authority, structure, and functions of the Human Subject Radiation Committee are specified in the agreement between the State of Ohio, Nuclear Regulatory Commission, and Ohio Department of Health.</w:t>
      </w:r>
    </w:p>
    <w:p w14:paraId="79870BED" w14:textId="77777777" w:rsidR="00641904" w:rsidRPr="00641904" w:rsidRDefault="00641904" w:rsidP="00641904">
      <w:pPr>
        <w:spacing w:after="0" w:line="240" w:lineRule="auto"/>
        <w:ind w:left="360"/>
        <w:rPr>
          <w:color w:val="000000"/>
        </w:rPr>
      </w:pPr>
    </w:p>
    <w:p w14:paraId="4CE183E6" w14:textId="77777777" w:rsidR="00641904" w:rsidRPr="00641904" w:rsidRDefault="00641904" w:rsidP="00A07209">
      <w:pPr>
        <w:numPr>
          <w:ilvl w:val="0"/>
          <w:numId w:val="413"/>
        </w:numPr>
        <w:spacing w:after="0" w:line="240" w:lineRule="auto"/>
        <w:rPr>
          <w:b/>
          <w:color w:val="000000"/>
        </w:rPr>
      </w:pPr>
      <w:r>
        <w:rPr>
          <w:b/>
          <w:color w:val="000000"/>
        </w:rPr>
        <w:t>Committee Composition</w:t>
      </w:r>
    </w:p>
    <w:p w14:paraId="028DF1B0" w14:textId="77777777" w:rsidR="00641904" w:rsidRPr="00641904" w:rsidRDefault="00641904" w:rsidP="00641904">
      <w:pPr>
        <w:spacing w:after="0" w:line="240" w:lineRule="auto"/>
        <w:rPr>
          <w:b/>
          <w:color w:val="000000"/>
        </w:rPr>
      </w:pPr>
    </w:p>
    <w:p w14:paraId="1A7DAC54" w14:textId="77777777" w:rsidR="00641904" w:rsidRPr="00641904" w:rsidRDefault="00641904" w:rsidP="00641904">
      <w:pPr>
        <w:spacing w:after="0" w:line="240" w:lineRule="auto"/>
        <w:ind w:left="360" w:hanging="360"/>
        <w:rPr>
          <w:color w:val="000000"/>
        </w:rPr>
      </w:pPr>
      <w:r>
        <w:rPr>
          <w:b/>
          <w:color w:val="000000"/>
        </w:rPr>
        <w:t xml:space="preserve">      </w:t>
      </w:r>
      <w:r>
        <w:rPr>
          <w:color w:val="000000"/>
        </w:rPr>
        <w:t xml:space="preserve">The </w:t>
      </w:r>
      <w:r>
        <w:rPr>
          <w:bCs/>
          <w:color w:val="000000"/>
        </w:rPr>
        <w:t>HSRC</w:t>
      </w:r>
      <w:r>
        <w:rPr>
          <w:color w:val="000000"/>
        </w:rPr>
        <w:t xml:space="preserve"> is comprised by a minimum of five individuals qualified in various disciplines pertinent to the fields of radiology, radiologic sciences, nuclear medicine, and radiation oncology. The HSRC also includes an individual(s) with special training in radiation safety and radiation dosimetry.</w:t>
      </w:r>
    </w:p>
    <w:p w14:paraId="6248DF9E" w14:textId="77777777" w:rsidR="00641904" w:rsidRPr="00641904" w:rsidRDefault="00641904" w:rsidP="00641904">
      <w:pPr>
        <w:spacing w:after="0" w:line="240" w:lineRule="auto"/>
        <w:ind w:left="360" w:hanging="360"/>
        <w:rPr>
          <w:color w:val="000000"/>
        </w:rPr>
      </w:pPr>
    </w:p>
    <w:p w14:paraId="20B79DB9" w14:textId="77777777" w:rsidR="00641904" w:rsidRPr="00641904" w:rsidRDefault="00641904" w:rsidP="00A07209">
      <w:pPr>
        <w:numPr>
          <w:ilvl w:val="0"/>
          <w:numId w:val="420"/>
        </w:numPr>
        <w:spacing w:after="0" w:line="240" w:lineRule="auto"/>
        <w:rPr>
          <w:color w:val="000000"/>
        </w:rPr>
      </w:pPr>
      <w:bookmarkStart w:id="396" w:name="HSRCreview"/>
      <w:bookmarkEnd w:id="396"/>
      <w:r>
        <w:rPr>
          <w:b/>
          <w:color w:val="000000"/>
        </w:rPr>
        <w:t>HSRC Review and Approval</w:t>
      </w:r>
    </w:p>
    <w:p w14:paraId="3F2A7635" w14:textId="77777777" w:rsidR="00641904" w:rsidRPr="00641904" w:rsidRDefault="00641904" w:rsidP="00641904">
      <w:pPr>
        <w:spacing w:after="0" w:line="240" w:lineRule="auto"/>
        <w:ind w:left="360" w:hanging="360"/>
        <w:rPr>
          <w:b/>
          <w:color w:val="000000"/>
        </w:rPr>
      </w:pPr>
    </w:p>
    <w:p w14:paraId="5B05AB57" w14:textId="77777777" w:rsidR="00641904" w:rsidRPr="00641904" w:rsidRDefault="00641904" w:rsidP="00641904">
      <w:pPr>
        <w:spacing w:after="0" w:line="240" w:lineRule="auto"/>
        <w:ind w:left="360"/>
        <w:rPr>
          <w:color w:val="000000"/>
        </w:rPr>
      </w:pPr>
      <w:r>
        <w:rPr>
          <w:color w:val="000000"/>
        </w:rPr>
        <w:t>Research involving radiation will undergo administrative, expedited, or full review based on the effective dose for all proposed radiologic procedures and the proposed subject population. A dosimetrist will assist in determining the effective dose and the type of review required. The radiation page in the Buck-IRB application must be completed for IRB and HSRC review of new studies involving the research use of radiation and amendments to ongoing studies that involve changes to currently approved radiation doses or procedures.</w:t>
      </w:r>
    </w:p>
    <w:p w14:paraId="038B0B84" w14:textId="77777777" w:rsidR="00641904" w:rsidRPr="00641904" w:rsidRDefault="00641904" w:rsidP="00641904">
      <w:pPr>
        <w:spacing w:after="0" w:line="240" w:lineRule="auto"/>
        <w:ind w:left="360"/>
      </w:pPr>
    </w:p>
    <w:p w14:paraId="08457171" w14:textId="77777777" w:rsidR="00641904" w:rsidRPr="00641904" w:rsidRDefault="00641904" w:rsidP="00641904">
      <w:pPr>
        <w:spacing w:after="0" w:line="240" w:lineRule="auto"/>
        <w:ind w:left="900" w:hanging="540"/>
      </w:pPr>
      <w:r>
        <w:rPr>
          <w:b/>
          <w:color w:val="000000"/>
        </w:rPr>
        <w:t>6.1</w:t>
      </w:r>
      <w:r>
        <w:rPr>
          <w:b/>
          <w:color w:val="000000"/>
        </w:rPr>
        <w:tab/>
        <w:t>Types of Review</w:t>
      </w:r>
    </w:p>
    <w:p w14:paraId="6B1DAF26" w14:textId="77777777" w:rsidR="00641904" w:rsidRPr="00641904" w:rsidRDefault="00641904" w:rsidP="00641904">
      <w:pPr>
        <w:spacing w:after="0" w:line="240" w:lineRule="auto"/>
        <w:ind w:left="720" w:hanging="360"/>
      </w:pPr>
    </w:p>
    <w:p w14:paraId="6CD5405C" w14:textId="77777777" w:rsidR="00641904" w:rsidRPr="00641904" w:rsidRDefault="00641904" w:rsidP="00A07209">
      <w:pPr>
        <w:numPr>
          <w:ilvl w:val="0"/>
          <w:numId w:val="414"/>
        </w:numPr>
        <w:spacing w:after="0" w:line="240" w:lineRule="auto"/>
        <w:ind w:left="1260"/>
        <w:rPr>
          <w:color w:val="000000"/>
        </w:rPr>
      </w:pPr>
      <w:r>
        <w:rPr>
          <w:b/>
          <w:color w:val="000000"/>
        </w:rPr>
        <w:t>Administrative Review</w:t>
      </w:r>
      <w:r>
        <w:rPr>
          <w:color w:val="000000"/>
        </w:rPr>
        <w:t xml:space="preserve"> may be performed when the total effective dose for all proposed radiologic procedures (including repeat exposures) is 100 millirem (mrem) or less for all populations except children, pregnant women, and healthy volunteers. Administrative review will be performed by a dosimetrist or another member of the HSRC with appropriate expertise. Studies may be referred to the expedited HSRC review process at the administrative reviewer’s discretion.</w:t>
      </w:r>
    </w:p>
    <w:p w14:paraId="4C12F77E" w14:textId="77777777" w:rsidR="00641904" w:rsidRPr="00641904" w:rsidRDefault="00641904" w:rsidP="00641904">
      <w:pPr>
        <w:spacing w:after="0" w:line="240" w:lineRule="auto"/>
        <w:ind w:left="1080"/>
        <w:rPr>
          <w:color w:val="000000"/>
        </w:rPr>
      </w:pPr>
    </w:p>
    <w:p w14:paraId="0EAD702C" w14:textId="77777777" w:rsidR="00641904" w:rsidRPr="00641904" w:rsidRDefault="00641904" w:rsidP="00A07209">
      <w:pPr>
        <w:numPr>
          <w:ilvl w:val="0"/>
          <w:numId w:val="414"/>
        </w:numPr>
        <w:spacing w:after="60" w:line="240" w:lineRule="auto"/>
        <w:ind w:left="1260"/>
        <w:rPr>
          <w:color w:val="000000"/>
        </w:rPr>
      </w:pPr>
      <w:r>
        <w:rPr>
          <w:b/>
          <w:color w:val="000000"/>
        </w:rPr>
        <w:t>Expedited (Subcommittee) Review</w:t>
      </w:r>
      <w:r>
        <w:rPr>
          <w:color w:val="000000"/>
        </w:rPr>
        <w:t xml:space="preserve"> may be performed by one or more HSRC members with appropriate expertise. Studies may be referred to the convened HSRC for full committee review at the expedited reviewer’s discretion. Expedited review may be performed for either of the following:</w:t>
      </w:r>
    </w:p>
    <w:p w14:paraId="2EB501D5" w14:textId="77777777" w:rsidR="00641904" w:rsidRPr="00641904" w:rsidRDefault="00641904" w:rsidP="00A07209">
      <w:pPr>
        <w:numPr>
          <w:ilvl w:val="1"/>
          <w:numId w:val="414"/>
        </w:numPr>
        <w:spacing w:after="60" w:line="240" w:lineRule="auto"/>
        <w:rPr>
          <w:color w:val="000000"/>
        </w:rPr>
      </w:pPr>
      <w:r>
        <w:rPr>
          <w:color w:val="000000"/>
        </w:rPr>
        <w:t>Total effective doses of greater than 100 mrem but not greater than 5000 mrem (5 rem) for all populations except children, pregnant women, and healthy volunteers</w:t>
      </w:r>
    </w:p>
    <w:p w14:paraId="7114048B" w14:textId="77777777" w:rsidR="00641904" w:rsidRPr="00641904" w:rsidRDefault="00641904" w:rsidP="00A07209">
      <w:pPr>
        <w:numPr>
          <w:ilvl w:val="1"/>
          <w:numId w:val="414"/>
        </w:numPr>
        <w:spacing w:after="0" w:line="240" w:lineRule="auto"/>
        <w:rPr>
          <w:color w:val="000000"/>
        </w:rPr>
      </w:pPr>
      <w:r>
        <w:rPr>
          <w:color w:val="000000"/>
        </w:rPr>
        <w:t>Healthy volunteers receiving total effective doses of 100 mrem or less</w:t>
      </w:r>
    </w:p>
    <w:p w14:paraId="27FF433B" w14:textId="77777777" w:rsidR="00641904" w:rsidRPr="00641904" w:rsidRDefault="00641904" w:rsidP="00641904">
      <w:pPr>
        <w:spacing w:after="0" w:line="240" w:lineRule="auto"/>
        <w:ind w:left="1080"/>
        <w:rPr>
          <w:b/>
          <w:color w:val="000000"/>
        </w:rPr>
      </w:pPr>
    </w:p>
    <w:p w14:paraId="06C2F64B" w14:textId="77777777" w:rsidR="00641904" w:rsidRPr="00641904" w:rsidRDefault="00641904" w:rsidP="00A07209">
      <w:pPr>
        <w:numPr>
          <w:ilvl w:val="0"/>
          <w:numId w:val="414"/>
        </w:numPr>
        <w:spacing w:after="60" w:line="240" w:lineRule="auto"/>
        <w:ind w:left="1260"/>
        <w:rPr>
          <w:color w:val="000000"/>
        </w:rPr>
      </w:pPr>
      <w:r>
        <w:rPr>
          <w:b/>
          <w:color w:val="000000"/>
        </w:rPr>
        <w:t>Full (Convened) Review</w:t>
      </w:r>
      <w:r>
        <w:rPr>
          <w:color w:val="000000"/>
        </w:rPr>
        <w:t xml:space="preserve"> is conducted by the HSRC for research involving any of the following:</w:t>
      </w:r>
    </w:p>
    <w:p w14:paraId="006F5625"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Children</w:t>
      </w:r>
    </w:p>
    <w:p w14:paraId="4A487413"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Pregnant women</w:t>
      </w:r>
    </w:p>
    <w:p w14:paraId="5899E44E"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Healthy volunteers receiving total effective doses greater than 100 mrem</w:t>
      </w:r>
    </w:p>
    <w:p w14:paraId="22D85CC1" w14:textId="77777777" w:rsidR="00641904" w:rsidRPr="00641904" w:rsidRDefault="00641904" w:rsidP="00A07209">
      <w:pPr>
        <w:numPr>
          <w:ilvl w:val="0"/>
          <w:numId w:val="415"/>
        </w:numPr>
        <w:tabs>
          <w:tab w:val="num" w:pos="1800"/>
        </w:tabs>
        <w:spacing w:after="60" w:line="240" w:lineRule="auto"/>
        <w:ind w:left="1800"/>
        <w:rPr>
          <w:color w:val="000000"/>
        </w:rPr>
      </w:pPr>
      <w:r>
        <w:rPr>
          <w:color w:val="000000"/>
        </w:rPr>
        <w:t>Total effective doses greater than 5000 mrem (5 rem) for all other populations</w:t>
      </w:r>
    </w:p>
    <w:p w14:paraId="616B187A" w14:textId="77777777" w:rsidR="00641904" w:rsidRPr="00641904" w:rsidRDefault="00641904" w:rsidP="00641904">
      <w:pPr>
        <w:tabs>
          <w:tab w:val="num" w:pos="1800"/>
        </w:tabs>
        <w:spacing w:after="0" w:line="240" w:lineRule="auto"/>
        <w:ind w:left="1440"/>
        <w:rPr>
          <w:color w:val="000000"/>
        </w:rPr>
      </w:pPr>
    </w:p>
    <w:p w14:paraId="6496DB48" w14:textId="77777777" w:rsidR="00641904" w:rsidRPr="00641904" w:rsidRDefault="00641904" w:rsidP="00A07209">
      <w:pPr>
        <w:numPr>
          <w:ilvl w:val="1"/>
          <w:numId w:val="418"/>
        </w:numPr>
        <w:tabs>
          <w:tab w:val="num" w:pos="900"/>
        </w:tabs>
        <w:spacing w:after="0" w:line="240" w:lineRule="auto"/>
        <w:ind w:left="900" w:hanging="540"/>
        <w:rPr>
          <w:b/>
          <w:color w:val="000000"/>
        </w:rPr>
      </w:pPr>
      <w:r>
        <w:rPr>
          <w:b/>
          <w:color w:val="000000"/>
        </w:rPr>
        <w:t>Approval Procedures</w:t>
      </w:r>
    </w:p>
    <w:p w14:paraId="0A6746A1" w14:textId="77777777" w:rsidR="00641904" w:rsidRPr="00641904" w:rsidRDefault="00641904" w:rsidP="00641904">
      <w:pPr>
        <w:spacing w:after="0" w:line="240" w:lineRule="auto"/>
        <w:rPr>
          <w:b/>
          <w:color w:val="000000"/>
        </w:rPr>
      </w:pPr>
    </w:p>
    <w:p w14:paraId="370D506D" w14:textId="77777777" w:rsidR="00641904" w:rsidRPr="00641904" w:rsidRDefault="00641904" w:rsidP="00641904">
      <w:pPr>
        <w:spacing w:after="120" w:line="240" w:lineRule="auto"/>
        <w:ind w:left="900"/>
        <w:rPr>
          <w:color w:val="000000"/>
        </w:rPr>
      </w:pPr>
      <w:r>
        <w:rPr>
          <w:color w:val="000000"/>
        </w:rPr>
        <w:lastRenderedPageBreak/>
        <w:t>The HSRC may approve, require modifications (to secure approval), or disapprove the proposed research use of radiation in human subjects research.</w:t>
      </w:r>
    </w:p>
    <w:p w14:paraId="14D33972" w14:textId="77777777" w:rsidR="00641904" w:rsidRPr="00641904" w:rsidRDefault="00641904" w:rsidP="00641904">
      <w:pPr>
        <w:spacing w:after="60" w:line="240" w:lineRule="auto"/>
        <w:ind w:left="900"/>
        <w:rPr>
          <w:color w:val="000000"/>
        </w:rPr>
      </w:pPr>
      <w:r>
        <w:rPr>
          <w:color w:val="000000"/>
        </w:rPr>
        <w:t>The HSRC will consider the following guidelines to approve proposed radiologic procedures:</w:t>
      </w:r>
    </w:p>
    <w:p w14:paraId="064F87B6" w14:textId="77777777" w:rsidR="00641904" w:rsidRPr="00641904" w:rsidRDefault="00641904" w:rsidP="00A07209">
      <w:pPr>
        <w:numPr>
          <w:ilvl w:val="0"/>
          <w:numId w:val="417"/>
        </w:numPr>
        <w:tabs>
          <w:tab w:val="num" w:pos="1440"/>
        </w:tabs>
        <w:spacing w:after="60" w:line="240" w:lineRule="auto"/>
        <w:ind w:left="1440"/>
        <w:rPr>
          <w:color w:val="000000"/>
        </w:rPr>
      </w:pPr>
      <w:r>
        <w:rPr>
          <w:color w:val="000000"/>
        </w:rPr>
        <w:t>Radiation exposure is necessary and justified by the anticipated benefit to subjects (if any) and the importance of the information sought.</w:t>
      </w:r>
    </w:p>
    <w:p w14:paraId="3415F48F" w14:textId="77777777" w:rsidR="00641904" w:rsidRPr="00641904" w:rsidRDefault="00641904" w:rsidP="00A07209">
      <w:pPr>
        <w:numPr>
          <w:ilvl w:val="0"/>
          <w:numId w:val="417"/>
        </w:numPr>
        <w:tabs>
          <w:tab w:val="num" w:pos="1440"/>
        </w:tabs>
        <w:spacing w:after="60" w:line="240" w:lineRule="auto"/>
        <w:ind w:left="1440"/>
        <w:rPr>
          <w:color w:val="000000"/>
        </w:rPr>
      </w:pPr>
      <w:r>
        <w:rPr>
          <w:color w:val="000000"/>
        </w:rPr>
        <w:t>The research subsequently meets the requirements for approval by an IRB.</w:t>
      </w:r>
    </w:p>
    <w:p w14:paraId="4953E891" w14:textId="77777777" w:rsidR="00641904" w:rsidRPr="00641904" w:rsidRDefault="00641904" w:rsidP="00A07209">
      <w:pPr>
        <w:numPr>
          <w:ilvl w:val="0"/>
          <w:numId w:val="417"/>
        </w:numPr>
        <w:tabs>
          <w:tab w:val="num" w:pos="1440"/>
        </w:tabs>
        <w:spacing w:after="0" w:line="240" w:lineRule="auto"/>
        <w:ind w:left="1440"/>
        <w:rPr>
          <w:color w:val="000000"/>
        </w:rPr>
      </w:pPr>
      <w:r>
        <w:rPr>
          <w:color w:val="000000"/>
        </w:rPr>
        <w:t>Any additional relevant aspects of the study are appropriate, such as qualifications and training of investigators, location of procedure(s), procedures to ensure subject safety, etc.</w:t>
      </w:r>
    </w:p>
    <w:p w14:paraId="330DDB9E" w14:textId="77777777" w:rsidR="00641904" w:rsidRPr="00641904" w:rsidRDefault="00641904" w:rsidP="00641904">
      <w:pPr>
        <w:spacing w:after="0" w:line="240" w:lineRule="auto"/>
        <w:rPr>
          <w:color w:val="000000"/>
        </w:rPr>
      </w:pPr>
    </w:p>
    <w:p w14:paraId="35AF072E" w14:textId="77777777" w:rsidR="00641904" w:rsidRPr="00641904" w:rsidRDefault="00641904" w:rsidP="00A07209">
      <w:pPr>
        <w:numPr>
          <w:ilvl w:val="0"/>
          <w:numId w:val="420"/>
        </w:numPr>
        <w:spacing w:after="0" w:line="240" w:lineRule="auto"/>
        <w:rPr>
          <w:b/>
          <w:color w:val="000000"/>
        </w:rPr>
      </w:pPr>
      <w:r>
        <w:rPr>
          <w:b/>
          <w:color w:val="000000"/>
        </w:rPr>
        <w:t>Informed Consent</w:t>
      </w:r>
    </w:p>
    <w:p w14:paraId="16B32DD4" w14:textId="77777777" w:rsidR="00641904" w:rsidRPr="00641904" w:rsidRDefault="00641904" w:rsidP="00641904">
      <w:pPr>
        <w:spacing w:after="0" w:line="240" w:lineRule="auto"/>
        <w:rPr>
          <w:b/>
          <w:color w:val="000000"/>
        </w:rPr>
      </w:pPr>
    </w:p>
    <w:p w14:paraId="72F1E7BE" w14:textId="77777777" w:rsidR="00641904" w:rsidRPr="00641904" w:rsidRDefault="00641904" w:rsidP="00641904">
      <w:pPr>
        <w:spacing w:after="0" w:line="240" w:lineRule="auto"/>
        <w:ind w:left="360"/>
        <w:rPr>
          <w:color w:val="000000"/>
        </w:rPr>
      </w:pPr>
      <w:r>
        <w:rPr>
          <w:color w:val="000000"/>
        </w:rPr>
        <w:t>Informed consent is to be obtained from each subject or legally authorized representative (unless the requirement for consent is waived by the IRB). A description of the radiologic procedure(s) must be included in the consent process and document in accordance with HRPP policies [</w:t>
      </w:r>
      <w:hyperlink r:id="rId420" w:history="1">
        <w:r>
          <w:rPr>
            <w:color w:val="0000FF"/>
            <w:u w:val="single"/>
          </w:rPr>
          <w:t>Informed Consent Process and the Elements of Informed Consent</w:t>
        </w:r>
      </w:hyperlink>
      <w:r>
        <w:t>] and [</w:t>
      </w:r>
      <w:hyperlink r:id="rId421" w:history="1">
        <w:r>
          <w:rPr>
            <w:color w:val="0000FF"/>
            <w:u w:val="single"/>
          </w:rPr>
          <w:t>Documentation of the Informed Consent Process</w:t>
        </w:r>
      </w:hyperlink>
      <w:r>
        <w:t>]</w:t>
      </w:r>
      <w:r>
        <w:rPr>
          <w:color w:val="000000"/>
        </w:rPr>
        <w:t>. Radiation risk language based on radiation exposure estimated by the dose calculator (described below) must also be included.</w:t>
      </w:r>
    </w:p>
    <w:p w14:paraId="45545A09" w14:textId="77777777" w:rsidR="00641904" w:rsidRPr="00641904" w:rsidRDefault="00641904" w:rsidP="00641904">
      <w:pPr>
        <w:spacing w:after="0" w:line="240" w:lineRule="auto"/>
        <w:rPr>
          <w:color w:val="000000"/>
        </w:rPr>
      </w:pPr>
    </w:p>
    <w:p w14:paraId="500EE868" w14:textId="77777777" w:rsidR="00641904" w:rsidRPr="00641904" w:rsidRDefault="00641904" w:rsidP="00A07209">
      <w:pPr>
        <w:numPr>
          <w:ilvl w:val="0"/>
          <w:numId w:val="420"/>
        </w:numPr>
        <w:spacing w:after="0" w:line="240" w:lineRule="auto"/>
        <w:rPr>
          <w:color w:val="000000"/>
        </w:rPr>
      </w:pPr>
      <w:r>
        <w:rPr>
          <w:b/>
          <w:color w:val="000000"/>
        </w:rPr>
        <w:t>Dose Calculations and Risk Language</w:t>
      </w:r>
    </w:p>
    <w:p w14:paraId="66F6AF27" w14:textId="77777777" w:rsidR="00641904" w:rsidRPr="00641904" w:rsidRDefault="00641904" w:rsidP="00641904">
      <w:pPr>
        <w:spacing w:after="0" w:line="240" w:lineRule="auto"/>
        <w:ind w:left="720" w:hanging="360"/>
        <w:rPr>
          <w:color w:val="000000"/>
        </w:rPr>
      </w:pPr>
    </w:p>
    <w:p w14:paraId="20AA4F0D" w14:textId="77777777" w:rsidR="00641904" w:rsidRPr="00641904" w:rsidRDefault="00641904" w:rsidP="00A07209">
      <w:pPr>
        <w:numPr>
          <w:ilvl w:val="0"/>
          <w:numId w:val="421"/>
        </w:numPr>
        <w:spacing w:after="0" w:line="240" w:lineRule="auto"/>
        <w:ind w:left="1080"/>
        <w:contextualSpacing/>
      </w:pPr>
      <w:r>
        <w:t xml:space="preserve">Effective doses for proposed radiologic procedures are to be calculated using the dose calculator made available by </w:t>
      </w:r>
      <w:hyperlink r:id="rId422" w:history="1">
        <w:r>
          <w:rPr>
            <w:color w:val="0000FF"/>
            <w:u w:val="single"/>
          </w:rPr>
          <w:t>Radiation Dose Assessment Resource (RADAR)</w:t>
        </w:r>
      </w:hyperlink>
      <w:r>
        <w:rPr>
          <w:color w:val="0000FF"/>
        </w:rPr>
        <w:t>.</w:t>
      </w:r>
      <w:r>
        <w:t xml:space="preserve"> These calculations of effective doses are approximations. Values obtained from the calculator may require adjustment during HSRC review to more accurately reflect the radiologic procedures performed at The Ohio State University. Effective doses should be entered into the appropriate sections of the radiation page in the Buck-IRB application and a copy of the calculations uploaded with the application. Assistance with dose calculations can be obtained by contacting the Office of Environmental Health and Safety at 614-688-2599.</w:t>
      </w:r>
    </w:p>
    <w:p w14:paraId="40A75E12" w14:textId="77777777" w:rsidR="00641904" w:rsidRPr="00641904" w:rsidRDefault="00641904" w:rsidP="00641904">
      <w:pPr>
        <w:spacing w:after="0" w:line="240" w:lineRule="auto"/>
        <w:ind w:left="720"/>
        <w:contextualSpacing/>
      </w:pPr>
    </w:p>
    <w:p w14:paraId="6FD0A2CA" w14:textId="77777777" w:rsidR="00641904" w:rsidRPr="00641904" w:rsidRDefault="00641904" w:rsidP="00A07209">
      <w:pPr>
        <w:numPr>
          <w:ilvl w:val="0"/>
          <w:numId w:val="421"/>
        </w:numPr>
        <w:spacing w:after="0" w:line="240" w:lineRule="auto"/>
        <w:ind w:left="1080"/>
        <w:contextualSpacing/>
      </w:pPr>
      <w:r>
        <w:t xml:space="preserve">Risk language appropriate to the radiation exposure will be generated by the </w:t>
      </w:r>
      <w:hyperlink r:id="rId423" w:history="1">
        <w:r>
          <w:rPr>
            <w:color w:val="0000FF"/>
            <w:u w:val="single"/>
          </w:rPr>
          <w:t>RADAR</w:t>
        </w:r>
      </w:hyperlink>
      <w:r>
        <w:t xml:space="preserve"> dose calculator and must be added to the informed consent document prior to review.</w:t>
      </w:r>
    </w:p>
    <w:p w14:paraId="32021FD0" w14:textId="77777777" w:rsidR="00641904" w:rsidRPr="00641904" w:rsidRDefault="00641904" w:rsidP="00641904">
      <w:pPr>
        <w:spacing w:after="0" w:line="240" w:lineRule="auto"/>
        <w:ind w:left="720"/>
        <w:contextualSpacing/>
      </w:pPr>
    </w:p>
    <w:p w14:paraId="168B2EEE" w14:textId="77777777" w:rsidR="00641904" w:rsidRPr="00D41A48" w:rsidRDefault="00641904" w:rsidP="00A07209">
      <w:pPr>
        <w:numPr>
          <w:ilvl w:val="0"/>
          <w:numId w:val="421"/>
        </w:numPr>
        <w:spacing w:before="100" w:beforeAutospacing="1" w:after="100" w:afterAutospacing="1" w:line="240" w:lineRule="auto"/>
        <w:ind w:left="1080"/>
        <w:contextualSpacing/>
        <w:rPr>
          <w:color w:val="000000"/>
        </w:rPr>
      </w:pPr>
      <w:r>
        <w:t xml:space="preserve">Additional resources are available at </w:t>
      </w:r>
      <w:hyperlink r:id="rId424" w:history="1">
        <w:r>
          <w:rPr>
            <w:color w:val="0000FF"/>
            <w:u w:val="single"/>
          </w:rPr>
          <w:t>Effective Doses in Radiology and Diagnostic Nuclear Medicine: A Catalog</w:t>
        </w:r>
      </w:hyperlink>
      <w:r>
        <w:t>.</w:t>
      </w:r>
    </w:p>
    <w:p w14:paraId="7494150F" w14:textId="77777777" w:rsidR="00D41A48" w:rsidRPr="00641904" w:rsidRDefault="00D41A48" w:rsidP="00D41A48">
      <w:pPr>
        <w:spacing w:before="100" w:beforeAutospacing="1" w:after="100" w:afterAutospacing="1" w:line="240" w:lineRule="auto"/>
        <w:contextualSpacing/>
        <w:rPr>
          <w:color w:val="000000"/>
        </w:rPr>
      </w:pPr>
    </w:p>
    <w:p w14:paraId="6FF8CDEB" w14:textId="77777777" w:rsidR="00641904" w:rsidRPr="00641904" w:rsidRDefault="00641904" w:rsidP="00A07209">
      <w:pPr>
        <w:numPr>
          <w:ilvl w:val="0"/>
          <w:numId w:val="420"/>
        </w:numPr>
        <w:spacing w:after="0" w:line="240" w:lineRule="auto"/>
        <w:rPr>
          <w:color w:val="000000"/>
        </w:rPr>
      </w:pPr>
      <w:r>
        <w:rPr>
          <w:b/>
          <w:color w:val="000000"/>
        </w:rPr>
        <w:t>Additional Review Considerations</w:t>
      </w:r>
    </w:p>
    <w:p w14:paraId="370098BF" w14:textId="77777777" w:rsidR="00641904" w:rsidRPr="00641904" w:rsidRDefault="00641904" w:rsidP="00641904">
      <w:pPr>
        <w:spacing w:after="0" w:line="240" w:lineRule="auto"/>
        <w:ind w:left="360"/>
        <w:rPr>
          <w:b/>
          <w:color w:val="000000"/>
        </w:rPr>
      </w:pPr>
    </w:p>
    <w:p w14:paraId="2CF0B247" w14:textId="77777777" w:rsidR="00641904" w:rsidRPr="00641904" w:rsidRDefault="00641904" w:rsidP="00A07209">
      <w:pPr>
        <w:numPr>
          <w:ilvl w:val="1"/>
          <w:numId w:val="416"/>
        </w:numPr>
        <w:spacing w:after="0" w:line="240" w:lineRule="auto"/>
        <w:ind w:left="1080"/>
        <w:rPr>
          <w:color w:val="000000"/>
        </w:rPr>
      </w:pPr>
      <w:r>
        <w:rPr>
          <w:color w:val="000000"/>
        </w:rPr>
        <w:t>Changes to previously approved radiologic procedures or the addition of new procedures meeting the criteria for HSRC review described above (see “</w:t>
      </w:r>
      <w:hyperlink w:anchor="general" w:history="1">
        <w:r>
          <w:rPr>
            <w:color w:val="0000FF"/>
            <w:u w:val="single"/>
          </w:rPr>
          <w:t>General Information</w:t>
        </w:r>
      </w:hyperlink>
      <w:r>
        <w:rPr>
          <w:color w:val="000000"/>
        </w:rPr>
        <w:t>”) must be resubmitted to the HSRC for approval. The type of review will be determined based on the effective dose for all proposed radiologic procedures and the proposed subject population. Following HSRC approval, all such changes must also be approved by the IRB prior to initiation.</w:t>
      </w:r>
    </w:p>
    <w:p w14:paraId="28F40DEF" w14:textId="77777777" w:rsidR="00641904" w:rsidRPr="00641904" w:rsidRDefault="00641904" w:rsidP="00641904">
      <w:pPr>
        <w:spacing w:after="0" w:line="240" w:lineRule="auto"/>
        <w:ind w:left="720"/>
        <w:rPr>
          <w:color w:val="000000"/>
        </w:rPr>
      </w:pPr>
    </w:p>
    <w:p w14:paraId="35C74FE2" w14:textId="77777777" w:rsidR="00641904" w:rsidRPr="00641904" w:rsidRDefault="00641904" w:rsidP="00A07209">
      <w:pPr>
        <w:numPr>
          <w:ilvl w:val="1"/>
          <w:numId w:val="416"/>
        </w:numPr>
        <w:spacing w:after="0" w:line="240" w:lineRule="auto"/>
        <w:ind w:left="1080"/>
        <w:rPr>
          <w:color w:val="000000"/>
        </w:rPr>
      </w:pPr>
      <w:r>
        <w:rPr>
          <w:color w:val="000000"/>
        </w:rPr>
        <w:t>Adverse events and unanticipated problems involving risks to subjects or others that involve the research use of radiation will be reviewed by the HSRC and IRB. For more information on event reporting, see HRPP policy [</w:t>
      </w:r>
      <w:hyperlink r:id="rId425" w:history="1">
        <w:r>
          <w:rPr>
            <w:color w:val="0000FF"/>
            <w:u w:val="single"/>
          </w:rPr>
          <w:t>Event Reporting – Unanticipated Problems Involving Risks to Subjects or Others, Adverse Events, and Other Problems</w:t>
        </w:r>
      </w:hyperlink>
      <w:r>
        <w:rPr>
          <w:color w:val="000000"/>
        </w:rPr>
        <w:t>].</w:t>
      </w:r>
    </w:p>
    <w:p w14:paraId="3A506493" w14:textId="77777777" w:rsidR="00641904" w:rsidRPr="00641904" w:rsidRDefault="00641904" w:rsidP="00641904">
      <w:pPr>
        <w:spacing w:after="0" w:line="240" w:lineRule="auto"/>
        <w:rPr>
          <w:color w:val="000000"/>
        </w:rPr>
      </w:pPr>
    </w:p>
    <w:p w14:paraId="392F1C37" w14:textId="77777777" w:rsidR="00641904" w:rsidRPr="00641904" w:rsidRDefault="00641904" w:rsidP="00A07209">
      <w:pPr>
        <w:numPr>
          <w:ilvl w:val="1"/>
          <w:numId w:val="416"/>
        </w:numPr>
        <w:spacing w:after="0" w:line="240" w:lineRule="auto"/>
        <w:ind w:left="1080"/>
        <w:rPr>
          <w:color w:val="000000"/>
        </w:rPr>
      </w:pPr>
      <w:r>
        <w:rPr>
          <w:color w:val="000000"/>
        </w:rPr>
        <w:t>Continuing review of the research use of radiation by the HSRC is not required. However, the research is subject to the continuing review requirements of the IRBs as described by HRPP policies [</w:t>
      </w:r>
      <w:hyperlink r:id="rId426" w:history="1">
        <w:r>
          <w:rPr>
            <w:color w:val="0000FF"/>
            <w:u w:val="single"/>
          </w:rPr>
          <w:t>Review of Research by the Convened IRB</w:t>
        </w:r>
      </w:hyperlink>
      <w:r>
        <w:rPr>
          <w:color w:val="000000"/>
        </w:rPr>
        <w:t>] and [</w:t>
      </w:r>
      <w:hyperlink r:id="rId427" w:history="1">
        <w:r>
          <w:rPr>
            <w:color w:val="0000FF"/>
            <w:u w:val="single"/>
          </w:rPr>
          <w:t>Expedited and Administrative Review Procedures</w:t>
        </w:r>
      </w:hyperlink>
      <w:r>
        <w:rPr>
          <w:color w:val="000000"/>
        </w:rPr>
        <w:t>].</w:t>
      </w:r>
    </w:p>
    <w:p w14:paraId="5F5A4863" w14:textId="77777777" w:rsidR="00641904" w:rsidRPr="00641904" w:rsidRDefault="00641904" w:rsidP="00641904">
      <w:pPr>
        <w:spacing w:after="0" w:line="240" w:lineRule="auto"/>
        <w:ind w:left="360" w:hanging="360"/>
        <w:rPr>
          <w:b/>
        </w:rPr>
      </w:pPr>
    </w:p>
    <w:p w14:paraId="2597F913" w14:textId="77777777" w:rsidR="00641904" w:rsidRPr="00641904" w:rsidRDefault="00641904" w:rsidP="00A07209">
      <w:pPr>
        <w:numPr>
          <w:ilvl w:val="0"/>
          <w:numId w:val="420"/>
        </w:numPr>
        <w:spacing w:after="0" w:line="240" w:lineRule="auto"/>
        <w:ind w:hanging="540"/>
        <w:rPr>
          <w:b/>
        </w:rPr>
      </w:pPr>
      <w:r>
        <w:rPr>
          <w:b/>
        </w:rPr>
        <w:lastRenderedPageBreak/>
        <w:t>Applicable Regulations/Guidance</w:t>
      </w:r>
    </w:p>
    <w:p w14:paraId="523B1216" w14:textId="77777777" w:rsidR="00641904" w:rsidRPr="00641904" w:rsidRDefault="00641904" w:rsidP="00641904">
      <w:pPr>
        <w:spacing w:after="0" w:line="240" w:lineRule="auto"/>
        <w:rPr>
          <w:b/>
        </w:rPr>
      </w:pPr>
    </w:p>
    <w:p w14:paraId="3F31BB12" w14:textId="77777777" w:rsidR="00641904" w:rsidRPr="00641904" w:rsidRDefault="00641904" w:rsidP="00641904">
      <w:pPr>
        <w:spacing w:after="0" w:line="240" w:lineRule="auto"/>
        <w:ind w:left="360"/>
      </w:pPr>
      <w:r>
        <w:rPr>
          <w:color w:val="000000"/>
        </w:rPr>
        <w:t xml:space="preserve">21 CFR 50, 21 CFR 56, 45 CFR 46, Medical Use of RAM ODH OAC </w:t>
      </w:r>
      <w:hyperlink r:id="rId428" w:history="1">
        <w:r>
          <w:rPr>
            <w:color w:val="0000FF"/>
            <w:u w:val="single"/>
          </w:rPr>
          <w:t>3701:1-58</w:t>
        </w:r>
      </w:hyperlink>
      <w:r>
        <w:rPr>
          <w:color w:val="000000"/>
        </w:rPr>
        <w:t xml:space="preserve">, </w:t>
      </w:r>
      <w:r>
        <w:t xml:space="preserve">Radiation Generating Equipment OAC </w:t>
      </w:r>
      <w:hyperlink r:id="rId429" w:history="1">
        <w:r>
          <w:rPr>
            <w:color w:val="0000FF"/>
            <w:u w:val="single"/>
          </w:rPr>
          <w:t>3701:1-66</w:t>
        </w:r>
      </w:hyperlink>
      <w:r>
        <w:t xml:space="preserve">, Licensing and Safety Requirements for Irradiators </w:t>
      </w:r>
      <w:hyperlink r:id="rId430" w:history="1">
        <w:r>
          <w:rPr>
            <w:color w:val="0000FF"/>
            <w:u w:val="single"/>
          </w:rPr>
          <w:t>3701:1-52</w:t>
        </w:r>
      </w:hyperlink>
      <w:r>
        <w:rPr>
          <w:sz w:val="24"/>
          <w:szCs w:val="20"/>
        </w:rPr>
        <w:t xml:space="preserve"> </w:t>
      </w:r>
    </w:p>
    <w:p w14:paraId="71E27CA6" w14:textId="77777777" w:rsidR="00641904" w:rsidRPr="00641904" w:rsidRDefault="00641904" w:rsidP="00641904">
      <w:pPr>
        <w:spacing w:after="0" w:line="240" w:lineRule="auto"/>
        <w:ind w:left="360"/>
      </w:pPr>
    </w:p>
    <w:p w14:paraId="18D4E7B7" w14:textId="77777777" w:rsidR="00641904" w:rsidRPr="00641904" w:rsidRDefault="00472924" w:rsidP="00A07209">
      <w:pPr>
        <w:numPr>
          <w:ilvl w:val="0"/>
          <w:numId w:val="420"/>
        </w:numPr>
        <w:spacing w:after="0" w:line="240" w:lineRule="auto"/>
        <w:ind w:left="216"/>
        <w:rPr>
          <w:b/>
        </w:rPr>
      </w:pPr>
      <w:r>
        <w:rPr>
          <w:b/>
        </w:rPr>
        <w:t xml:space="preserve">  History</w:t>
      </w:r>
    </w:p>
    <w:p w14:paraId="3ACA1140" w14:textId="77777777" w:rsidR="00641904" w:rsidRPr="00641904" w:rsidRDefault="00641904" w:rsidP="00641904">
      <w:pPr>
        <w:spacing w:after="0" w:line="240" w:lineRule="auto"/>
        <w:rPr>
          <w:b/>
        </w:rPr>
      </w:pPr>
    </w:p>
    <w:p w14:paraId="75049FCF" w14:textId="77777777" w:rsidR="00641904" w:rsidRPr="00641904" w:rsidRDefault="00641904" w:rsidP="00D41A48">
      <w:pPr>
        <w:spacing w:after="0" w:line="240" w:lineRule="auto"/>
        <w:ind w:left="360"/>
      </w:pPr>
      <w:r>
        <w:t>Issued: 05/11/2009</w:t>
      </w:r>
    </w:p>
    <w:p w14:paraId="4D73C70D" w14:textId="77777777" w:rsidR="00641904" w:rsidRPr="00641904" w:rsidRDefault="00641904" w:rsidP="00D41A48">
      <w:pPr>
        <w:spacing w:after="0" w:line="240" w:lineRule="auto"/>
        <w:ind w:left="360"/>
      </w:pPr>
      <w:r>
        <w:t>Revised: 03/21/2011, 05/31/2012, 12/11/2015, 02/17/2020</w:t>
      </w:r>
    </w:p>
    <w:p w14:paraId="6DA82B7D" w14:textId="77777777" w:rsidR="003E4E60" w:rsidRPr="00E44AC3" w:rsidRDefault="00E44AC3" w:rsidP="00E44AC3">
      <w:pPr>
        <w:rPr>
          <w:b/>
          <w:bCs/>
          <w:i/>
          <w:iCs/>
        </w:rPr>
      </w:pPr>
      <w:r>
        <w:t xml:space="preserve">       Edited: 09/25/2009, 10/17/2016, 11/29/2021, 04/20/2022</w:t>
      </w:r>
    </w:p>
    <w:p w14:paraId="67995E95" w14:textId="77777777" w:rsidR="00076836" w:rsidRDefault="00076836" w:rsidP="00076836"/>
    <w:p w14:paraId="01CE63DB" w14:textId="77777777" w:rsidR="00076836" w:rsidRDefault="00076836" w:rsidP="00076836"/>
    <w:p w14:paraId="65D98759" w14:textId="77777777" w:rsidR="00076836" w:rsidRDefault="00076836" w:rsidP="00076836"/>
    <w:p w14:paraId="652A436A" w14:textId="77777777" w:rsidR="00076836" w:rsidRDefault="00076836" w:rsidP="00076836"/>
    <w:p w14:paraId="2169216F" w14:textId="77777777" w:rsidR="00076836" w:rsidRDefault="00076836" w:rsidP="00076836"/>
    <w:p w14:paraId="593476B0" w14:textId="77777777" w:rsidR="00076836" w:rsidRDefault="00076836" w:rsidP="00076836"/>
    <w:p w14:paraId="4CBA3632" w14:textId="77777777" w:rsidR="00076836" w:rsidRDefault="00076836" w:rsidP="00076836"/>
    <w:p w14:paraId="1EBE0A76" w14:textId="77777777" w:rsidR="00076836" w:rsidRDefault="00076836" w:rsidP="00076836"/>
    <w:p w14:paraId="7BA412BA" w14:textId="77777777" w:rsidR="00076836" w:rsidRDefault="00076836" w:rsidP="00076836"/>
    <w:p w14:paraId="606F5CCF" w14:textId="77777777" w:rsidR="00076836" w:rsidRDefault="00076836" w:rsidP="00076836"/>
    <w:p w14:paraId="2B485920" w14:textId="77777777" w:rsidR="00076836" w:rsidRDefault="00076836" w:rsidP="00076836"/>
    <w:p w14:paraId="118FF7FF" w14:textId="77777777" w:rsidR="00076836" w:rsidRDefault="00076836" w:rsidP="00076836"/>
    <w:p w14:paraId="5B299D2B" w14:textId="77777777" w:rsidR="00076836" w:rsidRDefault="00076836" w:rsidP="00076836"/>
    <w:p w14:paraId="667F68EA" w14:textId="77777777" w:rsidR="00076836" w:rsidRDefault="00076836" w:rsidP="00076836"/>
    <w:p w14:paraId="40E8C13C" w14:textId="77777777" w:rsidR="00076836" w:rsidRDefault="00076836" w:rsidP="00076836"/>
    <w:p w14:paraId="3C49E7AD" w14:textId="77777777" w:rsidR="00076836" w:rsidRDefault="00076836" w:rsidP="00076836"/>
    <w:p w14:paraId="7A499942" w14:textId="77777777" w:rsidR="00076836" w:rsidRDefault="00076836" w:rsidP="00076836"/>
    <w:p w14:paraId="748968C4" w14:textId="77777777" w:rsidR="00076836" w:rsidRDefault="00076836" w:rsidP="00076836"/>
    <w:p w14:paraId="5A6D6CF3" w14:textId="77777777" w:rsidR="007E62E1" w:rsidRDefault="007E62E1" w:rsidP="007E62E1">
      <w:pPr>
        <w:pStyle w:val="BodyText"/>
      </w:pPr>
    </w:p>
    <w:p w14:paraId="28F6ED99" w14:textId="77777777" w:rsidR="007E62E1" w:rsidRPr="007E62E1" w:rsidRDefault="007E62E1" w:rsidP="007E62E1">
      <w:pPr>
        <w:pStyle w:val="BodyText"/>
      </w:pPr>
    </w:p>
    <w:p w14:paraId="568527B4" w14:textId="77777777" w:rsidR="00076836" w:rsidRPr="00076836" w:rsidRDefault="00076836" w:rsidP="000F3010"/>
    <w:p w14:paraId="4D511203" w14:textId="77777777" w:rsidR="0084704B" w:rsidRPr="00D07BBE" w:rsidRDefault="0084704B" w:rsidP="00076836">
      <w:pPr>
        <w:pStyle w:val="Heading1"/>
      </w:pPr>
      <w:bookmarkStart w:id="397" w:name="AppendixC"/>
      <w:bookmarkStart w:id="398" w:name="_Toc212142231"/>
      <w:bookmarkStart w:id="399" w:name="_Toc225507771"/>
      <w:r>
        <w:lastRenderedPageBreak/>
        <w:t xml:space="preserve">Appendix C  </w:t>
      </w:r>
      <w:bookmarkEnd w:id="397"/>
      <w:r>
        <w:tab/>
        <w:t>Huron Toolkit Table of Contents</w:t>
      </w:r>
      <w:bookmarkEnd w:id="398"/>
      <w:bookmarkEnd w:id="399"/>
    </w:p>
    <w:p w14:paraId="3A2CCCF7" w14:textId="77777777" w:rsidR="0084704B" w:rsidRPr="0084704B" w:rsidRDefault="0084704B" w:rsidP="0084704B">
      <w:pPr>
        <w:spacing w:after="0"/>
        <w:jc w:val="center"/>
        <w:rPr>
          <w:b/>
          <w:bCs/>
          <w:sz w:val="28"/>
          <w:szCs w:val="28"/>
        </w:rPr>
      </w:pPr>
      <w:r>
        <w:rPr>
          <w:b/>
          <w:bCs/>
          <w:sz w:val="28"/>
          <w:szCs w:val="28"/>
        </w:rPr>
        <w:t>HRP-100 | Table of Contents</w:t>
      </w:r>
    </w:p>
    <w:p w14:paraId="63BFEB55" w14:textId="77777777" w:rsidR="0084704B" w:rsidRPr="0084704B" w:rsidRDefault="0084704B" w:rsidP="0084704B">
      <w:pPr>
        <w:spacing w:after="0"/>
        <w:rPr>
          <w:b/>
          <w:bCs/>
          <w:sz w:val="24"/>
          <w:szCs w:val="24"/>
        </w:rPr>
      </w:pPr>
    </w:p>
    <w:p w14:paraId="54B40048" w14:textId="77777777" w:rsidR="0084704B" w:rsidRPr="0084704B" w:rsidRDefault="0084704B" w:rsidP="0084704B">
      <w:pPr>
        <w:spacing w:after="0"/>
        <w:rPr>
          <w:sz w:val="24"/>
          <w:szCs w:val="24"/>
        </w:rPr>
      </w:pPr>
      <w:r>
        <w:rPr>
          <w:sz w:val="24"/>
          <w:szCs w:val="24"/>
        </w:rPr>
        <w:t>The section headings below represent the 5 tabs in the Huron Toolkit. Collectively, these materials are used as reference for study teams, researchers and reviewers to ensure IRB submissions comply with Ohio State requirements for human subject protection. Note that 800 series documents located within each tab are specific to sIRB review:</w:t>
      </w:r>
    </w:p>
    <w:p w14:paraId="187BB349" w14:textId="77777777" w:rsidR="0084704B" w:rsidRPr="0084704B" w:rsidRDefault="0084704B" w:rsidP="00A07209">
      <w:pPr>
        <w:numPr>
          <w:ilvl w:val="0"/>
          <w:numId w:val="62"/>
        </w:numPr>
        <w:spacing w:after="0"/>
        <w:contextualSpacing/>
        <w:rPr>
          <w:sz w:val="24"/>
          <w:szCs w:val="24"/>
        </w:rPr>
      </w:pPr>
      <w:hyperlink r:id="rId431" w:history="1">
        <w:r>
          <w:rPr>
            <w:b/>
            <w:bCs/>
            <w:color w:val="0563C1" w:themeColor="hyperlink"/>
            <w:sz w:val="24"/>
            <w:szCs w:val="24"/>
            <w:u w:val="single"/>
          </w:rPr>
          <w:t>Standard Operating Procedures</w:t>
        </w:r>
      </w:hyperlink>
      <w:r>
        <w:rPr>
          <w:sz w:val="24"/>
          <w:szCs w:val="24"/>
        </w:rPr>
        <w:t>: Standard Operating Procedures (SOPs) are used in conjunction with Ohio State HRRP policies.</w:t>
      </w:r>
    </w:p>
    <w:p w14:paraId="5C99A4ED" w14:textId="77777777" w:rsidR="0084704B" w:rsidRPr="0084704B" w:rsidRDefault="0084704B" w:rsidP="00A07209">
      <w:pPr>
        <w:numPr>
          <w:ilvl w:val="0"/>
          <w:numId w:val="62"/>
        </w:numPr>
        <w:spacing w:after="0"/>
        <w:contextualSpacing/>
        <w:rPr>
          <w:sz w:val="24"/>
          <w:szCs w:val="24"/>
        </w:rPr>
      </w:pPr>
      <w:hyperlink r:id="rId432" w:history="1">
        <w:r>
          <w:rPr>
            <w:b/>
            <w:bCs/>
            <w:color w:val="0563C1" w:themeColor="hyperlink"/>
            <w:sz w:val="24"/>
            <w:szCs w:val="24"/>
            <w:u w:val="single"/>
          </w:rPr>
          <w:t>General</w:t>
        </w:r>
      </w:hyperlink>
      <w:r>
        <w:rPr>
          <w:sz w:val="24"/>
          <w:szCs w:val="24"/>
        </w:rPr>
        <w:t xml:space="preserve">: General documents include Investigator Manuals which contain Ohio State-specific information.    </w:t>
      </w:r>
    </w:p>
    <w:p w14:paraId="0D58F4CA" w14:textId="77777777" w:rsidR="0084704B" w:rsidRPr="0084704B" w:rsidRDefault="0084704B" w:rsidP="00A07209">
      <w:pPr>
        <w:numPr>
          <w:ilvl w:val="0"/>
          <w:numId w:val="62"/>
        </w:numPr>
        <w:spacing w:after="0"/>
        <w:contextualSpacing/>
        <w:rPr>
          <w:sz w:val="24"/>
          <w:szCs w:val="24"/>
        </w:rPr>
      </w:pPr>
      <w:hyperlink r:id="rId433" w:history="1">
        <w:r>
          <w:rPr>
            <w:b/>
            <w:bCs/>
            <w:color w:val="0563C1" w:themeColor="hyperlink"/>
            <w:sz w:val="24"/>
            <w:szCs w:val="24"/>
            <w:u w:val="single"/>
          </w:rPr>
          <w:t>Worksheets</w:t>
        </w:r>
      </w:hyperlink>
      <w:r>
        <w:rPr>
          <w:sz w:val="24"/>
          <w:szCs w:val="24"/>
        </w:rPr>
        <w:t>: Worksheets are tools for the IRB reviewer, ORRP staff and researchers to provide guidance for research-related procedures. They are not required to be completed or retained. </w:t>
      </w:r>
    </w:p>
    <w:p w14:paraId="28B390F2" w14:textId="77777777" w:rsidR="0084704B" w:rsidRPr="0084704B" w:rsidRDefault="0084704B" w:rsidP="00A07209">
      <w:pPr>
        <w:numPr>
          <w:ilvl w:val="0"/>
          <w:numId w:val="62"/>
        </w:numPr>
        <w:spacing w:after="0"/>
        <w:contextualSpacing/>
        <w:rPr>
          <w:sz w:val="24"/>
          <w:szCs w:val="24"/>
        </w:rPr>
      </w:pPr>
      <w:hyperlink r:id="rId434" w:history="1">
        <w:r>
          <w:rPr>
            <w:b/>
            <w:bCs/>
            <w:color w:val="0563C1" w:themeColor="hyperlink"/>
            <w:sz w:val="24"/>
            <w:szCs w:val="24"/>
            <w:u w:val="single"/>
          </w:rPr>
          <w:t>Checklists</w:t>
        </w:r>
      </w:hyperlink>
      <w:r>
        <w:rPr>
          <w:sz w:val="24"/>
          <w:szCs w:val="24"/>
        </w:rPr>
        <w:t xml:space="preserve">: Checklists 410-441 are used by IRB reviewers to document regulatory decisions and must be completed and uploaded with their review. Checklists 401-402 are only used when the electronic system is unavailable. </w:t>
      </w:r>
    </w:p>
    <w:p w14:paraId="0BCC6A29" w14:textId="77777777" w:rsidR="0084704B" w:rsidRPr="0084704B" w:rsidRDefault="0084704B" w:rsidP="00A07209">
      <w:pPr>
        <w:numPr>
          <w:ilvl w:val="0"/>
          <w:numId w:val="62"/>
        </w:numPr>
        <w:spacing w:after="0"/>
        <w:contextualSpacing/>
        <w:rPr>
          <w:sz w:val="24"/>
          <w:szCs w:val="24"/>
        </w:rPr>
      </w:pPr>
      <w:hyperlink r:id="rId435" w:history="1">
        <w:r>
          <w:rPr>
            <w:b/>
            <w:bCs/>
            <w:color w:val="0563C1" w:themeColor="hyperlink"/>
            <w:sz w:val="24"/>
            <w:szCs w:val="24"/>
            <w:u w:val="single"/>
          </w:rPr>
          <w:t>Templates</w:t>
        </w:r>
      </w:hyperlink>
      <w:r>
        <w:rPr>
          <w:sz w:val="24"/>
          <w:szCs w:val="24"/>
        </w:rPr>
        <w:t xml:space="preserve">: This tab includes both Templates and Forms. </w:t>
      </w:r>
    </w:p>
    <w:p w14:paraId="3C115CFE" w14:textId="77777777" w:rsidR="0084704B" w:rsidRPr="0084704B" w:rsidRDefault="0084704B" w:rsidP="00A07209">
      <w:pPr>
        <w:numPr>
          <w:ilvl w:val="1"/>
          <w:numId w:val="62"/>
        </w:numPr>
        <w:spacing w:after="0"/>
        <w:contextualSpacing/>
        <w:rPr>
          <w:sz w:val="24"/>
          <w:szCs w:val="24"/>
        </w:rPr>
      </w:pPr>
      <w:r>
        <w:rPr>
          <w:sz w:val="24"/>
          <w:szCs w:val="24"/>
        </w:rPr>
        <w:t xml:space="preserve">Forms are used by researchers or reviewers to provide supplemental information. Forms 215-216 are required by researchers for Continuing Review and RNI submissions. </w:t>
      </w:r>
    </w:p>
    <w:p w14:paraId="01295BA9" w14:textId="77777777" w:rsidR="0084704B" w:rsidRPr="0084704B" w:rsidRDefault="0084704B" w:rsidP="00A07209">
      <w:pPr>
        <w:numPr>
          <w:ilvl w:val="1"/>
          <w:numId w:val="62"/>
        </w:numPr>
        <w:spacing w:after="0"/>
        <w:contextualSpacing/>
        <w:rPr>
          <w:sz w:val="24"/>
          <w:szCs w:val="24"/>
        </w:rPr>
      </w:pPr>
      <w:r>
        <w:rPr>
          <w:sz w:val="24"/>
          <w:szCs w:val="24"/>
        </w:rPr>
        <w:t xml:space="preserve">Templates are used by the researcher as a starting point for research submissions. </w:t>
      </w:r>
    </w:p>
    <w:p w14:paraId="2AAE1EA3" w14:textId="77777777" w:rsidR="0084704B" w:rsidRPr="0084704B" w:rsidRDefault="0084704B" w:rsidP="00A07209">
      <w:pPr>
        <w:numPr>
          <w:ilvl w:val="2"/>
          <w:numId w:val="62"/>
        </w:numPr>
        <w:spacing w:after="0"/>
        <w:contextualSpacing/>
        <w:rPr>
          <w:sz w:val="24"/>
          <w:szCs w:val="24"/>
        </w:rPr>
      </w:pPr>
      <w:r>
        <w:rPr>
          <w:sz w:val="24"/>
          <w:szCs w:val="24"/>
        </w:rPr>
        <w:t>Templates 503-510 are used for drafting new protocols. A protocol must accompany the SmartForm when submitting a study. Protocol appendices must also be submitted when applicable.</w:t>
      </w:r>
    </w:p>
    <w:p w14:paraId="74DA2E8D" w14:textId="77777777" w:rsidR="0084704B" w:rsidRPr="0084704B" w:rsidRDefault="0084704B" w:rsidP="00A07209">
      <w:pPr>
        <w:numPr>
          <w:ilvl w:val="2"/>
          <w:numId w:val="62"/>
        </w:numPr>
        <w:spacing w:after="0"/>
        <w:contextualSpacing/>
        <w:rPr>
          <w:sz w:val="24"/>
          <w:szCs w:val="24"/>
        </w:rPr>
      </w:pPr>
      <w:r>
        <w:rPr>
          <w:sz w:val="24"/>
          <w:szCs w:val="24"/>
        </w:rPr>
        <w:t xml:space="preserve">Templates 530-545 are specific for consent, combined consent-HIPAA and HIPAA research authorization while 546-553 provide guidance for template use.  </w:t>
      </w:r>
    </w:p>
    <w:p w14:paraId="7138CCAC" w14:textId="77777777" w:rsidR="0084704B" w:rsidRPr="0084704B" w:rsidRDefault="0084704B" w:rsidP="0084704B">
      <w:pPr>
        <w:spacing w:after="0"/>
      </w:pPr>
    </w:p>
    <w:p w14:paraId="2B10C4DE" w14:textId="73CFD841" w:rsidR="0084704B" w:rsidRPr="0084704B" w:rsidRDefault="0084704B" w:rsidP="007E62E1">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tabs>
          <w:tab w:val="left" w:pos="4365"/>
        </w:tabs>
        <w:spacing w:line="240" w:lineRule="auto"/>
        <w:rPr>
          <w:b/>
          <w:bCs/>
          <w:caps/>
          <w:sz w:val="24"/>
          <w:szCs w:val="24"/>
        </w:rPr>
      </w:pPr>
      <w:r>
        <w:rPr>
          <w:b/>
          <w:bCs/>
          <w:caps/>
          <w:sz w:val="24"/>
          <w:szCs w:val="24"/>
        </w:rPr>
        <w:t>Standard operating procedures</w:t>
      </w:r>
      <w:r w:rsidR="007E62E1">
        <w:rPr>
          <w:b/>
          <w:bCs/>
          <w:caps/>
          <w:sz w:val="24"/>
          <w:szCs w:val="24"/>
        </w:rPr>
        <w:t xml:space="preserve"> &amp; HRPP Policies </w:t>
      </w:r>
    </w:p>
    <w:p w14:paraId="6FAAD92D" w14:textId="5E097210" w:rsidR="004A077B" w:rsidRPr="00DB3776" w:rsidRDefault="004A077B" w:rsidP="006C3702">
      <w:pPr>
        <w:spacing w:after="120" w:line="276" w:lineRule="auto"/>
        <w:ind w:left="720"/>
        <w:rPr>
          <w:color w:val="061217"/>
        </w:rPr>
      </w:pPr>
      <w:hyperlink r:id="rId436" w:history="1">
        <w:r w:rsidRPr="00DB3776">
          <w:rPr>
            <w:color w:val="0563C1"/>
            <w:u w:val="single"/>
          </w:rPr>
          <w:t>HRP-021 - SOP - Pre-Review</w:t>
        </w:r>
      </w:hyperlink>
    </w:p>
    <w:p w14:paraId="085A9953" w14:textId="77777777" w:rsidR="004A077B" w:rsidRPr="004A077B" w:rsidRDefault="004A077B" w:rsidP="006C3702">
      <w:pPr>
        <w:spacing w:after="120" w:line="276" w:lineRule="auto"/>
        <w:ind w:left="720"/>
        <w:rPr>
          <w:color w:val="061217"/>
        </w:rPr>
      </w:pPr>
      <w:hyperlink r:id="rId437" w:history="1">
        <w:r w:rsidRPr="004A077B">
          <w:rPr>
            <w:color w:val="0563C1"/>
            <w:u w:val="single"/>
          </w:rPr>
          <w:t>HRP-027 - SOP - Emerg Use, Comp Use, Indiv Pt Access Post Rev</w:t>
        </w:r>
      </w:hyperlink>
    </w:p>
    <w:p w14:paraId="16B8AFF0" w14:textId="77777777" w:rsidR="004A077B" w:rsidRPr="004A077B" w:rsidRDefault="004A077B" w:rsidP="006C3702">
      <w:pPr>
        <w:spacing w:after="120" w:line="276" w:lineRule="auto"/>
        <w:ind w:left="720"/>
        <w:rPr>
          <w:color w:val="061217"/>
        </w:rPr>
      </w:pPr>
      <w:hyperlink r:id="rId438" w:history="1">
        <w:r w:rsidRPr="004A077B">
          <w:rPr>
            <w:color w:val="0563C1"/>
            <w:u w:val="single"/>
          </w:rPr>
          <w:t>HRP-032 - SOP - Non-Committee Review Conduct</w:t>
        </w:r>
      </w:hyperlink>
    </w:p>
    <w:p w14:paraId="46425929" w14:textId="77777777" w:rsidR="004A077B" w:rsidRPr="004A077B" w:rsidRDefault="004A077B" w:rsidP="006C3702">
      <w:pPr>
        <w:spacing w:after="120" w:line="276" w:lineRule="auto"/>
        <w:ind w:left="720"/>
        <w:rPr>
          <w:color w:val="061217"/>
        </w:rPr>
      </w:pPr>
      <w:hyperlink r:id="rId439" w:history="1">
        <w:r w:rsidRPr="004A077B">
          <w:rPr>
            <w:color w:val="0563C1"/>
            <w:u w:val="single"/>
          </w:rPr>
          <w:t>HRP-040 - SOP - IRB Meeting Preparation</w:t>
        </w:r>
      </w:hyperlink>
    </w:p>
    <w:p w14:paraId="7A6364F7" w14:textId="77777777" w:rsidR="004A077B" w:rsidRPr="004A077B" w:rsidRDefault="004A077B" w:rsidP="006C3702">
      <w:pPr>
        <w:spacing w:after="120" w:line="276" w:lineRule="auto"/>
        <w:ind w:left="720"/>
        <w:rPr>
          <w:color w:val="061217"/>
        </w:rPr>
      </w:pPr>
      <w:hyperlink r:id="rId440" w:history="1">
        <w:r w:rsidRPr="004A077B">
          <w:rPr>
            <w:color w:val="0563C1"/>
            <w:u w:val="single"/>
          </w:rPr>
          <w:t>HRP-041 - SOP - IRB Meeting Conduct</w:t>
        </w:r>
      </w:hyperlink>
    </w:p>
    <w:p w14:paraId="52254739" w14:textId="77777777" w:rsidR="004A077B" w:rsidRPr="004A077B" w:rsidRDefault="004A077B" w:rsidP="006C3702">
      <w:pPr>
        <w:spacing w:after="120" w:line="276" w:lineRule="auto"/>
        <w:ind w:left="720"/>
        <w:rPr>
          <w:color w:val="061217"/>
        </w:rPr>
      </w:pPr>
      <w:hyperlink r:id="rId441" w:history="1">
        <w:r w:rsidRPr="004A077B">
          <w:rPr>
            <w:color w:val="0563C1"/>
            <w:u w:val="single"/>
          </w:rPr>
          <w:t>HRP-043 - SOP - IRB Meeting Minutes</w:t>
        </w:r>
      </w:hyperlink>
    </w:p>
    <w:p w14:paraId="7B2A3A55" w14:textId="77777777" w:rsidR="004A077B" w:rsidRPr="004A077B" w:rsidRDefault="004A077B" w:rsidP="006C3702">
      <w:pPr>
        <w:spacing w:after="120" w:line="276" w:lineRule="auto"/>
        <w:ind w:left="720"/>
        <w:rPr>
          <w:color w:val="061217"/>
        </w:rPr>
      </w:pPr>
      <w:hyperlink r:id="rId442" w:history="1">
        <w:r w:rsidRPr="004A077B">
          <w:rPr>
            <w:color w:val="0563C1"/>
            <w:u w:val="single"/>
          </w:rPr>
          <w:t>HRP-044 - SOP - Not Otherwise Approvable Research</w:t>
        </w:r>
      </w:hyperlink>
    </w:p>
    <w:p w14:paraId="1E0CCCE9" w14:textId="77777777" w:rsidR="004A077B" w:rsidRPr="004A077B" w:rsidRDefault="004A077B" w:rsidP="006C3702">
      <w:pPr>
        <w:spacing w:after="120" w:line="276" w:lineRule="auto"/>
        <w:ind w:left="720"/>
        <w:rPr>
          <w:color w:val="061217"/>
        </w:rPr>
      </w:pPr>
      <w:hyperlink r:id="rId443" w:history="1">
        <w:r w:rsidRPr="004A077B">
          <w:rPr>
            <w:color w:val="0563C1"/>
            <w:u w:val="single"/>
          </w:rPr>
          <w:t>HRP-052 - SOP - Post-Review</w:t>
        </w:r>
      </w:hyperlink>
    </w:p>
    <w:p w14:paraId="6C1DCE33" w14:textId="77777777" w:rsidR="004A077B" w:rsidRPr="004A077B" w:rsidRDefault="004A077B" w:rsidP="006C3702">
      <w:pPr>
        <w:spacing w:after="120" w:line="276" w:lineRule="auto"/>
        <w:ind w:left="720"/>
        <w:rPr>
          <w:color w:val="061217"/>
        </w:rPr>
      </w:pPr>
      <w:hyperlink r:id="rId444" w:history="1">
        <w:r w:rsidRPr="004A077B">
          <w:rPr>
            <w:color w:val="0563C1"/>
            <w:u w:val="single"/>
          </w:rPr>
          <w:t>HRP-054 - SOP - Institutional Financial Conflicts of Interests</w:t>
        </w:r>
      </w:hyperlink>
    </w:p>
    <w:p w14:paraId="4E7C6646" w14:textId="77777777" w:rsidR="004A077B" w:rsidRPr="004A077B" w:rsidRDefault="004A077B" w:rsidP="006C3702">
      <w:pPr>
        <w:spacing w:after="120" w:line="276" w:lineRule="auto"/>
        <w:ind w:left="720"/>
        <w:rPr>
          <w:color w:val="061217"/>
        </w:rPr>
      </w:pPr>
      <w:hyperlink r:id="rId445" w:history="1">
        <w:r w:rsidRPr="004A077B">
          <w:rPr>
            <w:color w:val="0563C1"/>
            <w:u w:val="single"/>
          </w:rPr>
          <w:t>HRP-060 - SOP - Annual Evaluations of the HRPP</w:t>
        </w:r>
      </w:hyperlink>
    </w:p>
    <w:p w14:paraId="156C6D10" w14:textId="77777777" w:rsidR="004A077B" w:rsidRPr="004A077B" w:rsidRDefault="004A077B" w:rsidP="006C3702">
      <w:pPr>
        <w:spacing w:after="120" w:line="276" w:lineRule="auto"/>
        <w:ind w:left="720"/>
        <w:rPr>
          <w:color w:val="061217"/>
        </w:rPr>
      </w:pPr>
      <w:hyperlink r:id="rId446" w:history="1">
        <w:r w:rsidRPr="004A077B">
          <w:rPr>
            <w:color w:val="0563C1"/>
            <w:u w:val="single"/>
          </w:rPr>
          <w:t>HRP-061 - SOP - Post-Approval Monitoring</w:t>
        </w:r>
      </w:hyperlink>
    </w:p>
    <w:p w14:paraId="7BA0CC49" w14:textId="77777777" w:rsidR="004A077B" w:rsidRPr="004A077B" w:rsidRDefault="004A077B" w:rsidP="006C3702">
      <w:pPr>
        <w:spacing w:after="120" w:line="276" w:lineRule="auto"/>
        <w:ind w:left="720"/>
        <w:rPr>
          <w:color w:val="061217"/>
        </w:rPr>
      </w:pPr>
      <w:hyperlink r:id="rId447" w:history="1">
        <w:r w:rsidRPr="004A077B">
          <w:rPr>
            <w:color w:val="0563C1"/>
            <w:u w:val="single"/>
          </w:rPr>
          <w:t>HRP-062 - SOP - Periodic Tasks</w:t>
        </w:r>
      </w:hyperlink>
    </w:p>
    <w:p w14:paraId="62CA05AD" w14:textId="77777777" w:rsidR="004A077B" w:rsidRPr="004A077B" w:rsidRDefault="004A077B" w:rsidP="003E42DE">
      <w:pPr>
        <w:spacing w:after="120" w:line="276" w:lineRule="auto"/>
        <w:ind w:left="1440"/>
        <w:rPr>
          <w:color w:val="061217"/>
        </w:rPr>
      </w:pPr>
      <w:hyperlink r:id="rId448" w:history="1">
        <w:r w:rsidRPr="004A077B">
          <w:rPr>
            <w:color w:val="0563C1"/>
            <w:u w:val="single"/>
          </w:rPr>
          <w:t>HRP-063 - SOP - Expiration of IRB Approval</w:t>
        </w:r>
      </w:hyperlink>
    </w:p>
    <w:p w14:paraId="7B48B31B" w14:textId="77777777" w:rsidR="004A077B" w:rsidRPr="004A077B" w:rsidRDefault="004A077B" w:rsidP="003E42DE">
      <w:pPr>
        <w:spacing w:after="120" w:line="276" w:lineRule="auto"/>
        <w:ind w:left="1440"/>
        <w:rPr>
          <w:color w:val="061217"/>
        </w:rPr>
      </w:pPr>
      <w:hyperlink r:id="rId449" w:history="1">
        <w:r w:rsidRPr="004A077B">
          <w:rPr>
            <w:color w:val="0563C1"/>
            <w:u w:val="single"/>
          </w:rPr>
          <w:t>HRP-064 - SOP - NIH GDS Institutional Certification</w:t>
        </w:r>
      </w:hyperlink>
    </w:p>
    <w:p w14:paraId="2F0C1D47" w14:textId="77777777" w:rsidR="004A077B" w:rsidRPr="004A077B" w:rsidRDefault="004A077B" w:rsidP="003E42DE">
      <w:pPr>
        <w:spacing w:after="120" w:line="276" w:lineRule="auto"/>
        <w:ind w:left="1440"/>
        <w:rPr>
          <w:color w:val="061217"/>
        </w:rPr>
      </w:pPr>
      <w:hyperlink r:id="rId450" w:history="1">
        <w:r w:rsidRPr="004A077B">
          <w:rPr>
            <w:color w:val="0563C1"/>
            <w:u w:val="single"/>
          </w:rPr>
          <w:t>HRP-065 - SOP - Response Plan for Emergencies-Disasters Impacting the HRPP</w:t>
        </w:r>
      </w:hyperlink>
      <w:r w:rsidRPr="004A077B">
        <w:rPr>
          <w:color w:val="061217"/>
        </w:rPr>
        <w:t xml:space="preserve"> </w:t>
      </w:r>
    </w:p>
    <w:p w14:paraId="7ECBFA0A" w14:textId="77777777" w:rsidR="004A077B" w:rsidRPr="004A077B" w:rsidRDefault="004A077B" w:rsidP="003E42DE">
      <w:pPr>
        <w:spacing w:after="120" w:line="276" w:lineRule="auto"/>
        <w:ind w:left="1440"/>
        <w:rPr>
          <w:color w:val="061217"/>
        </w:rPr>
      </w:pPr>
      <w:hyperlink r:id="rId451" w:history="1">
        <w:r w:rsidRPr="004A077B">
          <w:rPr>
            <w:color w:val="0563C1"/>
            <w:u w:val="single"/>
          </w:rPr>
          <w:t>HRP-070 - SOP - IRB Records</w:t>
        </w:r>
      </w:hyperlink>
    </w:p>
    <w:p w14:paraId="72445C3F" w14:textId="77777777" w:rsidR="004A077B" w:rsidRPr="004A077B" w:rsidRDefault="004A077B" w:rsidP="003E42DE">
      <w:pPr>
        <w:spacing w:after="120" w:line="276" w:lineRule="auto"/>
        <w:ind w:left="1440"/>
        <w:rPr>
          <w:color w:val="061217"/>
        </w:rPr>
      </w:pPr>
      <w:hyperlink r:id="rId452" w:history="1">
        <w:r w:rsidRPr="004A077B">
          <w:rPr>
            <w:color w:val="0563C1"/>
            <w:u w:val="single"/>
          </w:rPr>
          <w:t>HRP-071 - SOP - Toolkit Management</w:t>
        </w:r>
      </w:hyperlink>
    </w:p>
    <w:p w14:paraId="4393DE96" w14:textId="77777777" w:rsidR="004A077B" w:rsidRPr="004A077B" w:rsidRDefault="004A077B" w:rsidP="003E42DE">
      <w:pPr>
        <w:spacing w:after="120" w:line="276" w:lineRule="auto"/>
        <w:ind w:left="1440"/>
        <w:rPr>
          <w:color w:val="061217"/>
        </w:rPr>
      </w:pPr>
      <w:hyperlink r:id="rId453" w:history="1">
        <w:r w:rsidRPr="004A077B">
          <w:rPr>
            <w:color w:val="0563C1"/>
            <w:u w:val="single"/>
          </w:rPr>
          <w:t>HRP-080 - SOP - IRB Formation</w:t>
        </w:r>
      </w:hyperlink>
    </w:p>
    <w:p w14:paraId="1ACF0A85" w14:textId="77777777" w:rsidR="004A077B" w:rsidRPr="004A077B" w:rsidRDefault="004A077B" w:rsidP="003E42DE">
      <w:pPr>
        <w:spacing w:after="120" w:line="276" w:lineRule="auto"/>
        <w:ind w:left="1440"/>
        <w:rPr>
          <w:color w:val="061217"/>
        </w:rPr>
      </w:pPr>
      <w:hyperlink r:id="rId454" w:history="1">
        <w:r w:rsidRPr="004A077B">
          <w:rPr>
            <w:color w:val="0563C1"/>
            <w:u w:val="single"/>
          </w:rPr>
          <w:t>HRP-081 - SOP - IRB Removal</w:t>
        </w:r>
      </w:hyperlink>
    </w:p>
    <w:p w14:paraId="13D3449F" w14:textId="77777777" w:rsidR="004A077B" w:rsidRPr="004A077B" w:rsidRDefault="004A077B" w:rsidP="003E42DE">
      <w:pPr>
        <w:spacing w:after="120" w:line="276" w:lineRule="auto"/>
        <w:ind w:left="1440"/>
        <w:rPr>
          <w:color w:val="061217"/>
        </w:rPr>
      </w:pPr>
      <w:hyperlink r:id="rId455" w:history="1">
        <w:r w:rsidRPr="004A077B">
          <w:rPr>
            <w:color w:val="0563C1"/>
            <w:u w:val="single"/>
          </w:rPr>
          <w:t>HRP-082 - SOP - IRB Membership Addition</w:t>
        </w:r>
      </w:hyperlink>
      <w:r w:rsidRPr="004A077B">
        <w:rPr>
          <w:color w:val="061217"/>
        </w:rPr>
        <w:t xml:space="preserve"> </w:t>
      </w:r>
    </w:p>
    <w:p w14:paraId="2AFC32FF" w14:textId="77777777" w:rsidR="004A077B" w:rsidRPr="004A077B" w:rsidRDefault="004A077B" w:rsidP="003E42DE">
      <w:pPr>
        <w:spacing w:after="120" w:line="276" w:lineRule="auto"/>
        <w:ind w:left="1440"/>
        <w:rPr>
          <w:color w:val="061217"/>
        </w:rPr>
      </w:pPr>
      <w:hyperlink r:id="rId456" w:history="1">
        <w:r w:rsidRPr="004A077B">
          <w:rPr>
            <w:color w:val="0563C1"/>
            <w:u w:val="single"/>
          </w:rPr>
          <w:t>HRP-083 - SOP - IRB Membership Removal</w:t>
        </w:r>
      </w:hyperlink>
    </w:p>
    <w:p w14:paraId="283D330F" w14:textId="77777777" w:rsidR="004A077B" w:rsidRPr="004A077B" w:rsidRDefault="004A077B" w:rsidP="003E42DE">
      <w:pPr>
        <w:spacing w:after="120" w:line="276" w:lineRule="auto"/>
        <w:ind w:left="1440"/>
        <w:rPr>
          <w:color w:val="061217"/>
        </w:rPr>
      </w:pPr>
      <w:hyperlink r:id="rId457" w:history="1">
        <w:r w:rsidRPr="004A077B">
          <w:rPr>
            <w:color w:val="0563C1"/>
            <w:u w:val="single"/>
          </w:rPr>
          <w:t>HRP-084 - SOP - IRB Meeting Scheduling and Notification</w:t>
        </w:r>
      </w:hyperlink>
    </w:p>
    <w:p w14:paraId="4EDC98CB" w14:textId="77777777" w:rsidR="004A077B" w:rsidRPr="004A077B" w:rsidRDefault="004A077B" w:rsidP="003E42DE">
      <w:pPr>
        <w:spacing w:after="120"/>
        <w:ind w:left="1440"/>
        <w:rPr>
          <w:color w:val="061217"/>
        </w:rPr>
      </w:pPr>
      <w:hyperlink r:id="rId458" w:history="1">
        <w:r w:rsidRPr="004A077B">
          <w:rPr>
            <w:color w:val="0563C1"/>
            <w:u w:val="single"/>
          </w:rPr>
          <w:t>HRP-601- HRPP Policy Research Involving Human Subjects</w:t>
        </w:r>
      </w:hyperlink>
    </w:p>
    <w:p w14:paraId="7FDE957C" w14:textId="77777777" w:rsidR="004A077B" w:rsidRPr="004A077B" w:rsidRDefault="004A077B" w:rsidP="003E42DE">
      <w:pPr>
        <w:spacing w:after="120"/>
        <w:ind w:left="1440"/>
        <w:rPr>
          <w:color w:val="061217"/>
        </w:rPr>
      </w:pPr>
      <w:hyperlink r:id="rId459" w:history="1">
        <w:r w:rsidRPr="004A077B">
          <w:rPr>
            <w:color w:val="0563C1"/>
            <w:u w:val="single"/>
          </w:rPr>
          <w:t>HRP-602- HRPP Policy Organizational Financial Conflict of Interest</w:t>
        </w:r>
      </w:hyperlink>
      <w:r w:rsidRPr="004A077B">
        <w:rPr>
          <w:color w:val="061217"/>
        </w:rPr>
        <w:t xml:space="preserve"> </w:t>
      </w:r>
    </w:p>
    <w:p w14:paraId="1919ABE9" w14:textId="77777777" w:rsidR="004A077B" w:rsidRPr="004A077B" w:rsidRDefault="004A077B" w:rsidP="003E42DE">
      <w:pPr>
        <w:spacing w:after="120"/>
        <w:ind w:left="1440"/>
        <w:rPr>
          <w:color w:val="061217"/>
        </w:rPr>
      </w:pPr>
      <w:hyperlink r:id="rId460" w:history="1">
        <w:r w:rsidRPr="004A077B">
          <w:rPr>
            <w:color w:val="0563C1"/>
            <w:u w:val="single"/>
          </w:rPr>
          <w:t>HRP-603- HRPP Policy Noncompliance</w:t>
        </w:r>
      </w:hyperlink>
    </w:p>
    <w:p w14:paraId="08E4D8D9" w14:textId="77777777" w:rsidR="004A077B" w:rsidRPr="004A077B" w:rsidRDefault="004A077B" w:rsidP="003E42DE">
      <w:pPr>
        <w:spacing w:after="120"/>
        <w:ind w:left="1440"/>
        <w:rPr>
          <w:color w:val="061217"/>
        </w:rPr>
      </w:pPr>
      <w:hyperlink r:id="rId461" w:history="1">
        <w:r w:rsidRPr="004A077B">
          <w:rPr>
            <w:color w:val="0563C1"/>
            <w:u w:val="single"/>
          </w:rPr>
          <w:t>HRP-604- HRPP Policy PI Responsibilities</w:t>
        </w:r>
      </w:hyperlink>
    </w:p>
    <w:p w14:paraId="4E5FB015" w14:textId="77777777" w:rsidR="004A077B" w:rsidRPr="004A077B" w:rsidRDefault="004A077B" w:rsidP="003E42DE">
      <w:pPr>
        <w:spacing w:after="120"/>
        <w:ind w:left="1440"/>
        <w:rPr>
          <w:color w:val="061217"/>
        </w:rPr>
      </w:pPr>
      <w:hyperlink r:id="rId462" w:history="1">
        <w:r w:rsidRPr="004A077B">
          <w:rPr>
            <w:color w:val="0563C1"/>
            <w:u w:val="single"/>
          </w:rPr>
          <w:t>HRP-605- HRPP Policy Human Researc</w:t>
        </w:r>
        <w:r w:rsidRPr="004A077B">
          <w:rPr>
            <w:color w:val="0563C1"/>
            <w:u w:val="single"/>
          </w:rPr>
          <w:t>h</w:t>
        </w:r>
        <w:r w:rsidRPr="004A077B">
          <w:rPr>
            <w:color w:val="0563C1"/>
            <w:u w:val="single"/>
          </w:rPr>
          <w:t xml:space="preserve"> Protection Program Policies and Procedures</w:t>
        </w:r>
      </w:hyperlink>
    </w:p>
    <w:p w14:paraId="47F2F8C2" w14:textId="77777777" w:rsidR="004A077B" w:rsidRPr="004A077B" w:rsidRDefault="004A077B" w:rsidP="003E42DE">
      <w:pPr>
        <w:spacing w:after="120"/>
        <w:ind w:left="1440"/>
        <w:rPr>
          <w:color w:val="061217"/>
        </w:rPr>
      </w:pPr>
      <w:hyperlink r:id="rId463" w:history="1">
        <w:r w:rsidRPr="004A077B">
          <w:rPr>
            <w:color w:val="0563C1"/>
            <w:u w:val="single"/>
          </w:rPr>
          <w:t>HRP-606- HRPP Policy Quality Improvement Activities</w:t>
        </w:r>
      </w:hyperlink>
    </w:p>
    <w:p w14:paraId="4F3E103B" w14:textId="77777777" w:rsidR="004A077B" w:rsidRPr="004A077B" w:rsidRDefault="004A077B" w:rsidP="003E42DE">
      <w:pPr>
        <w:spacing w:after="120"/>
        <w:ind w:left="1440"/>
        <w:rPr>
          <w:color w:val="061217"/>
        </w:rPr>
      </w:pPr>
      <w:hyperlink r:id="rId464" w:history="1">
        <w:r w:rsidRPr="004A077B">
          <w:rPr>
            <w:color w:val="0563C1"/>
            <w:u w:val="single"/>
          </w:rPr>
          <w:t>HRP-607-HRPP Policy Exempt Research</w:t>
        </w:r>
      </w:hyperlink>
    </w:p>
    <w:p w14:paraId="1B01748A" w14:textId="77777777" w:rsidR="004A077B" w:rsidRPr="004A077B" w:rsidRDefault="004A077B" w:rsidP="003E42DE">
      <w:pPr>
        <w:spacing w:after="120"/>
        <w:ind w:left="1440"/>
        <w:rPr>
          <w:color w:val="061217"/>
        </w:rPr>
      </w:pPr>
      <w:hyperlink r:id="rId465" w:history="1">
        <w:r w:rsidRPr="004A077B">
          <w:rPr>
            <w:color w:val="0563C1"/>
            <w:u w:val="single"/>
          </w:rPr>
          <w:t>HRP-608-HRPP Policy Board Assignment and Reviewer Assignment</w:t>
        </w:r>
      </w:hyperlink>
      <w:r w:rsidRPr="004A077B">
        <w:rPr>
          <w:color w:val="061217"/>
        </w:rPr>
        <w:t xml:space="preserve"> </w:t>
      </w:r>
    </w:p>
    <w:p w14:paraId="21E08217" w14:textId="77777777" w:rsidR="004A077B" w:rsidRPr="004A077B" w:rsidRDefault="004A077B" w:rsidP="003E42DE">
      <w:pPr>
        <w:spacing w:after="120"/>
        <w:ind w:left="1440"/>
        <w:rPr>
          <w:color w:val="0563C1"/>
          <w:u w:val="single"/>
        </w:rPr>
      </w:pPr>
      <w:r w:rsidRPr="004A077B">
        <w:rPr>
          <w:color w:val="061217"/>
        </w:rPr>
        <w:fldChar w:fldCharType="begin"/>
      </w:r>
      <w:r w:rsidRPr="004A077B">
        <w:rPr>
          <w:color w:val="061217"/>
        </w:rPr>
        <w:instrText>HYPERLINK "https://go.osu.edu/hrp609"</w:instrText>
      </w:r>
      <w:r w:rsidRPr="004A077B">
        <w:rPr>
          <w:color w:val="061217"/>
        </w:rPr>
      </w:r>
      <w:r w:rsidRPr="004A077B">
        <w:rPr>
          <w:color w:val="061217"/>
        </w:rPr>
        <w:fldChar w:fldCharType="separate"/>
      </w:r>
      <w:r w:rsidRPr="004A077B">
        <w:rPr>
          <w:color w:val="0563C1"/>
          <w:u w:val="single"/>
        </w:rPr>
        <w:t>HRP-609-HRPP Policy Review of Research by the Convened IRB</w:t>
      </w:r>
    </w:p>
    <w:p w14:paraId="3CEB696C" w14:textId="77777777" w:rsidR="004A077B" w:rsidRPr="004A077B" w:rsidRDefault="004A077B" w:rsidP="003E42DE">
      <w:pPr>
        <w:spacing w:after="120"/>
        <w:ind w:left="1440"/>
        <w:rPr>
          <w:color w:val="061217"/>
        </w:rPr>
      </w:pPr>
      <w:r w:rsidRPr="004A077B">
        <w:rPr>
          <w:color w:val="061217"/>
        </w:rPr>
        <w:fldChar w:fldCharType="end"/>
      </w:r>
      <w:hyperlink r:id="rId466" w:history="1">
        <w:r w:rsidRPr="004A077B">
          <w:rPr>
            <w:color w:val="0563C1"/>
            <w:u w:val="single"/>
          </w:rPr>
          <w:t>HRP-610-HRPP Policy IRB Actions and Communications</w:t>
        </w:r>
      </w:hyperlink>
    </w:p>
    <w:p w14:paraId="2E382F80" w14:textId="77777777" w:rsidR="004A077B" w:rsidRPr="004A077B" w:rsidRDefault="004A077B" w:rsidP="003E42DE">
      <w:pPr>
        <w:spacing w:after="120"/>
        <w:ind w:left="1440"/>
        <w:rPr>
          <w:color w:val="061217"/>
        </w:rPr>
      </w:pPr>
      <w:hyperlink r:id="rId467" w:history="1">
        <w:r w:rsidRPr="004A077B">
          <w:rPr>
            <w:color w:val="0563C1"/>
            <w:u w:val="single"/>
          </w:rPr>
          <w:t>HRP-611-HRPP Policy Expedited and Administrative Review Procedures</w:t>
        </w:r>
      </w:hyperlink>
    </w:p>
    <w:p w14:paraId="3C82FE1E" w14:textId="77777777" w:rsidR="004A077B" w:rsidRPr="004A077B" w:rsidRDefault="004A077B" w:rsidP="003E42DE">
      <w:pPr>
        <w:spacing w:after="120"/>
        <w:ind w:left="1440"/>
        <w:rPr>
          <w:color w:val="061217"/>
        </w:rPr>
      </w:pPr>
      <w:hyperlink r:id="rId468" w:history="1">
        <w:r w:rsidRPr="004A077B">
          <w:rPr>
            <w:color w:val="0563C1"/>
            <w:u w:val="single"/>
          </w:rPr>
          <w:t>HRP-612-HRPP Policy Suspension and Termination</w:t>
        </w:r>
      </w:hyperlink>
    </w:p>
    <w:p w14:paraId="085B9CB8" w14:textId="77777777" w:rsidR="004A077B" w:rsidRPr="004A077B" w:rsidRDefault="004A077B" w:rsidP="003E42DE">
      <w:pPr>
        <w:spacing w:after="120"/>
        <w:ind w:left="1440"/>
        <w:rPr>
          <w:color w:val="0563C1"/>
          <w:u w:val="single"/>
        </w:rPr>
      </w:pPr>
      <w:r w:rsidRPr="004A077B">
        <w:rPr>
          <w:color w:val="061217"/>
        </w:rPr>
        <w:fldChar w:fldCharType="begin"/>
      </w:r>
      <w:r w:rsidRPr="004A077B">
        <w:rPr>
          <w:color w:val="061217"/>
        </w:rPr>
        <w:instrText>HYPERLINK "https://go.osu.edu/hrp613"</w:instrText>
      </w:r>
      <w:r w:rsidRPr="004A077B">
        <w:rPr>
          <w:color w:val="061217"/>
        </w:rPr>
      </w:r>
      <w:r w:rsidRPr="004A077B">
        <w:rPr>
          <w:color w:val="061217"/>
        </w:rPr>
        <w:fldChar w:fldCharType="separate"/>
      </w:r>
      <w:r w:rsidRPr="004A077B">
        <w:rPr>
          <w:color w:val="0563C1"/>
          <w:u w:val="single"/>
        </w:rPr>
        <w:t>HRP-613-HRPP Policy Recruiting Methods</w:t>
      </w:r>
    </w:p>
    <w:p w14:paraId="3D97EDD3" w14:textId="77777777" w:rsidR="004A077B" w:rsidRPr="004A077B" w:rsidRDefault="004A077B" w:rsidP="003E42DE">
      <w:pPr>
        <w:spacing w:after="120"/>
        <w:ind w:left="1440"/>
        <w:rPr>
          <w:color w:val="061217"/>
        </w:rPr>
      </w:pPr>
      <w:r w:rsidRPr="004A077B">
        <w:rPr>
          <w:color w:val="061217"/>
        </w:rPr>
        <w:fldChar w:fldCharType="end"/>
      </w:r>
      <w:hyperlink r:id="rId469" w:history="1">
        <w:r w:rsidRPr="004A077B">
          <w:rPr>
            <w:color w:val="0563C1"/>
            <w:u w:val="single"/>
          </w:rPr>
          <w:t>HRP-614-HRPP Policy Privacy and Confidentiality</w:t>
        </w:r>
      </w:hyperlink>
    </w:p>
    <w:p w14:paraId="088B8D39" w14:textId="77777777" w:rsidR="004A077B" w:rsidRPr="004A077B" w:rsidRDefault="004A077B" w:rsidP="003E42DE">
      <w:pPr>
        <w:spacing w:after="120"/>
        <w:ind w:left="1440"/>
        <w:rPr>
          <w:color w:val="061217"/>
        </w:rPr>
      </w:pPr>
      <w:hyperlink r:id="rId470" w:history="1">
        <w:r w:rsidRPr="004A077B">
          <w:rPr>
            <w:color w:val="0563C1"/>
            <w:u w:val="single"/>
          </w:rPr>
          <w:t>HRP-615-HRPP Policy Informed Consent Process</w:t>
        </w:r>
      </w:hyperlink>
    </w:p>
    <w:p w14:paraId="6CB587D0" w14:textId="77777777" w:rsidR="004A077B" w:rsidRPr="004A077B" w:rsidRDefault="004A077B" w:rsidP="003E42DE">
      <w:pPr>
        <w:spacing w:after="120"/>
        <w:ind w:left="1440"/>
        <w:rPr>
          <w:color w:val="061217"/>
        </w:rPr>
      </w:pPr>
      <w:hyperlink r:id="rId471" w:history="1">
        <w:r w:rsidRPr="004A077B">
          <w:rPr>
            <w:color w:val="0563C1"/>
            <w:u w:val="single"/>
          </w:rPr>
          <w:t>HRP-616-HRPP Policy Documentation of Informed Consent</w:t>
        </w:r>
      </w:hyperlink>
    </w:p>
    <w:p w14:paraId="0B283B0A" w14:textId="77777777" w:rsidR="004A077B" w:rsidRPr="004A077B" w:rsidRDefault="004A077B" w:rsidP="003E42DE">
      <w:pPr>
        <w:spacing w:after="120"/>
        <w:ind w:left="1440"/>
        <w:rPr>
          <w:color w:val="061217"/>
        </w:rPr>
      </w:pPr>
      <w:hyperlink r:id="rId472" w:history="1">
        <w:r w:rsidRPr="004A077B">
          <w:rPr>
            <w:color w:val="0563C1"/>
            <w:u w:val="single"/>
          </w:rPr>
          <w:t>HRP-617-HRPP Policy Assent and Parental Permission</w:t>
        </w:r>
      </w:hyperlink>
    </w:p>
    <w:p w14:paraId="216DA781" w14:textId="77777777" w:rsidR="004A077B" w:rsidRPr="004A077B" w:rsidRDefault="004A077B" w:rsidP="003E42DE">
      <w:pPr>
        <w:spacing w:after="120"/>
        <w:ind w:left="1440"/>
        <w:rPr>
          <w:color w:val="061217"/>
        </w:rPr>
      </w:pPr>
      <w:hyperlink r:id="rId473" w:history="1">
        <w:r w:rsidRPr="004A077B">
          <w:rPr>
            <w:color w:val="0563C1"/>
            <w:u w:val="single"/>
          </w:rPr>
          <w:t>HRP-618-HRPP Policy Short Form Consent</w:t>
        </w:r>
      </w:hyperlink>
    </w:p>
    <w:p w14:paraId="06BFD489" w14:textId="77777777" w:rsidR="004A077B" w:rsidRPr="004A077B" w:rsidRDefault="004A077B" w:rsidP="003E42DE">
      <w:pPr>
        <w:spacing w:after="120"/>
        <w:ind w:left="1440"/>
        <w:rPr>
          <w:color w:val="061217"/>
        </w:rPr>
      </w:pPr>
      <w:hyperlink r:id="rId474" w:history="1">
        <w:r w:rsidRPr="004A077B">
          <w:rPr>
            <w:color w:val="0563C1"/>
            <w:u w:val="single"/>
          </w:rPr>
          <w:t>HRP-619-HRPP Policy Data and Safety Monitoring</w:t>
        </w:r>
      </w:hyperlink>
    </w:p>
    <w:p w14:paraId="084948FD" w14:textId="77777777" w:rsidR="004A077B" w:rsidRPr="004A077B" w:rsidRDefault="004A077B" w:rsidP="003E42DE">
      <w:pPr>
        <w:spacing w:after="120"/>
        <w:ind w:left="1440"/>
        <w:rPr>
          <w:color w:val="061217"/>
        </w:rPr>
      </w:pPr>
      <w:hyperlink r:id="rId475" w:history="1">
        <w:r w:rsidRPr="004A077B">
          <w:rPr>
            <w:color w:val="0563C1"/>
            <w:u w:val="single"/>
          </w:rPr>
          <w:t>HRP-620-HRPP Policy Event Reporting</w:t>
        </w:r>
      </w:hyperlink>
    </w:p>
    <w:p w14:paraId="7E81D4BE" w14:textId="77777777" w:rsidR="004A077B" w:rsidRPr="004A077B" w:rsidRDefault="004A077B" w:rsidP="003E42DE">
      <w:pPr>
        <w:spacing w:after="120"/>
        <w:ind w:left="1440"/>
        <w:rPr>
          <w:color w:val="061217"/>
        </w:rPr>
      </w:pPr>
      <w:hyperlink r:id="rId476" w:history="1">
        <w:r w:rsidRPr="004A077B">
          <w:rPr>
            <w:color w:val="0563C1"/>
            <w:u w:val="single"/>
          </w:rPr>
          <w:t>HRP-621-HRPP Policy Research Involving Pregnant Women</w:t>
        </w:r>
      </w:hyperlink>
    </w:p>
    <w:p w14:paraId="55CB7E20" w14:textId="77777777" w:rsidR="004A077B" w:rsidRPr="004A077B" w:rsidRDefault="004A077B" w:rsidP="003E42DE">
      <w:pPr>
        <w:spacing w:after="120"/>
        <w:ind w:left="1440"/>
        <w:rPr>
          <w:color w:val="061217"/>
        </w:rPr>
      </w:pPr>
      <w:hyperlink r:id="rId477" w:history="1">
        <w:r w:rsidRPr="004A077B">
          <w:rPr>
            <w:color w:val="0563C1"/>
            <w:u w:val="single"/>
          </w:rPr>
          <w:t>HRP-622-HRPP Policy Research Involving Prisoners</w:t>
        </w:r>
      </w:hyperlink>
    </w:p>
    <w:p w14:paraId="7AB26A43" w14:textId="77777777" w:rsidR="004A077B" w:rsidRPr="004A077B" w:rsidRDefault="004A077B" w:rsidP="003E42DE">
      <w:pPr>
        <w:spacing w:after="120"/>
        <w:ind w:left="1440"/>
        <w:rPr>
          <w:color w:val="061217"/>
        </w:rPr>
      </w:pPr>
      <w:hyperlink r:id="rId478" w:history="1">
        <w:r w:rsidRPr="004A077B">
          <w:rPr>
            <w:color w:val="0563C1"/>
            <w:u w:val="single"/>
          </w:rPr>
          <w:t>HRP-623-HRPP Policy Research Involving Children</w:t>
        </w:r>
      </w:hyperlink>
    </w:p>
    <w:p w14:paraId="29A387F9" w14:textId="77777777" w:rsidR="004A077B" w:rsidRPr="004A077B" w:rsidRDefault="004A077B" w:rsidP="003E42DE">
      <w:pPr>
        <w:spacing w:after="120"/>
        <w:ind w:left="1440"/>
        <w:rPr>
          <w:color w:val="061217"/>
        </w:rPr>
      </w:pPr>
      <w:hyperlink r:id="rId479" w:history="1">
        <w:r w:rsidRPr="004A077B">
          <w:rPr>
            <w:color w:val="0563C1"/>
            <w:u w:val="single"/>
          </w:rPr>
          <w:t>HRP-624-HRPP Policy Vulnerable Populations</w:t>
        </w:r>
      </w:hyperlink>
    </w:p>
    <w:p w14:paraId="01A42A36" w14:textId="77777777" w:rsidR="004A077B" w:rsidRPr="004A077B" w:rsidRDefault="004A077B" w:rsidP="006C3702">
      <w:pPr>
        <w:spacing w:after="120"/>
        <w:ind w:left="720"/>
        <w:rPr>
          <w:color w:val="061217"/>
        </w:rPr>
      </w:pPr>
      <w:hyperlink r:id="rId480" w:history="1">
        <w:r w:rsidRPr="004A077B">
          <w:rPr>
            <w:color w:val="0563C1"/>
            <w:u w:val="single"/>
          </w:rPr>
          <w:t>HRP-625-HRPP Policy Research Involving Investigational Drugs</w:t>
        </w:r>
      </w:hyperlink>
    </w:p>
    <w:p w14:paraId="11F4096D" w14:textId="77777777" w:rsidR="004A077B" w:rsidRPr="004A077B" w:rsidRDefault="004A077B" w:rsidP="006C3702">
      <w:pPr>
        <w:spacing w:after="120"/>
        <w:ind w:left="720"/>
        <w:rPr>
          <w:color w:val="061217"/>
        </w:rPr>
      </w:pPr>
      <w:hyperlink r:id="rId481" w:history="1">
        <w:r w:rsidRPr="004A077B">
          <w:rPr>
            <w:color w:val="0563C1"/>
            <w:u w:val="single"/>
          </w:rPr>
          <w:t>HRP-626-HRPP Policy Research Involving Medical Devices</w:t>
        </w:r>
      </w:hyperlink>
    </w:p>
    <w:p w14:paraId="5A1A49BA" w14:textId="77777777" w:rsidR="004A077B" w:rsidRPr="004A077B" w:rsidRDefault="004A077B" w:rsidP="006C3702">
      <w:pPr>
        <w:spacing w:after="120"/>
        <w:ind w:left="720"/>
        <w:rPr>
          <w:color w:val="061217"/>
        </w:rPr>
      </w:pPr>
      <w:hyperlink r:id="rId482" w:history="1">
        <w:r w:rsidRPr="004A077B">
          <w:rPr>
            <w:color w:val="0563C1"/>
            <w:u w:val="single"/>
          </w:rPr>
          <w:t>HRP-627-HRPP Policy Research Involving Data and or Biospecimens</w:t>
        </w:r>
      </w:hyperlink>
    </w:p>
    <w:p w14:paraId="3D8B5394" w14:textId="77777777" w:rsidR="004A077B" w:rsidRPr="004A077B" w:rsidRDefault="004A077B" w:rsidP="006C3702">
      <w:pPr>
        <w:spacing w:after="120"/>
        <w:ind w:left="720"/>
        <w:rPr>
          <w:color w:val="061217"/>
        </w:rPr>
      </w:pPr>
      <w:hyperlink r:id="rId483" w:history="1">
        <w:r w:rsidRPr="004A077B">
          <w:rPr>
            <w:color w:val="0563C1"/>
            <w:u w:val="single"/>
          </w:rPr>
          <w:t>HRP-628-HRPP Policy Planned Emergency Research</w:t>
        </w:r>
      </w:hyperlink>
    </w:p>
    <w:p w14:paraId="25121F3F" w14:textId="77777777" w:rsidR="004A077B" w:rsidRPr="004A077B" w:rsidRDefault="004A077B" w:rsidP="006C3702">
      <w:pPr>
        <w:spacing w:after="120"/>
        <w:ind w:left="720"/>
        <w:rPr>
          <w:color w:val="061217"/>
        </w:rPr>
      </w:pPr>
      <w:hyperlink r:id="rId484" w:history="1">
        <w:r w:rsidRPr="004A077B">
          <w:rPr>
            <w:color w:val="0563C1"/>
            <w:u w:val="single"/>
          </w:rPr>
          <w:t>HRP-629-HRPP Policy Emergency Use of Investigational Drugs, Biologics, or Devices</w:t>
        </w:r>
      </w:hyperlink>
      <w:r w:rsidRPr="004A077B">
        <w:rPr>
          <w:color w:val="061217"/>
        </w:rPr>
        <w:t xml:space="preserve"> </w:t>
      </w:r>
    </w:p>
    <w:p w14:paraId="43457C7E" w14:textId="77777777" w:rsidR="004A077B" w:rsidRPr="004A077B" w:rsidRDefault="004A077B" w:rsidP="006C3702">
      <w:pPr>
        <w:spacing w:after="120"/>
        <w:ind w:left="720"/>
        <w:rPr>
          <w:color w:val="061217"/>
        </w:rPr>
      </w:pPr>
      <w:hyperlink r:id="rId485" w:history="1">
        <w:r w:rsidRPr="004A077B">
          <w:rPr>
            <w:color w:val="0563C1"/>
            <w:u w:val="single"/>
          </w:rPr>
          <w:t>HRP-630-HRPP Policy IRB Composition</w:t>
        </w:r>
      </w:hyperlink>
    </w:p>
    <w:p w14:paraId="5BC5C7FC" w14:textId="77777777" w:rsidR="004A077B" w:rsidRPr="004A077B" w:rsidRDefault="004A077B" w:rsidP="006C3702">
      <w:pPr>
        <w:spacing w:after="120"/>
        <w:ind w:left="720"/>
        <w:rPr>
          <w:color w:val="061217"/>
        </w:rPr>
      </w:pPr>
      <w:hyperlink r:id="rId486" w:history="1">
        <w:r w:rsidRPr="004A077B">
          <w:rPr>
            <w:color w:val="0563C1"/>
            <w:u w:val="single"/>
          </w:rPr>
          <w:t>HRP-631-HRPP Policy IRB Member and Consultant COI</w:t>
        </w:r>
      </w:hyperlink>
    </w:p>
    <w:p w14:paraId="4D96030F" w14:textId="77777777" w:rsidR="004A077B" w:rsidRPr="004A077B" w:rsidRDefault="004A077B" w:rsidP="006C3702">
      <w:pPr>
        <w:spacing w:after="120"/>
        <w:ind w:left="720"/>
        <w:rPr>
          <w:color w:val="061217"/>
        </w:rPr>
      </w:pPr>
      <w:hyperlink r:id="rId487" w:history="1">
        <w:r w:rsidRPr="004A077B">
          <w:rPr>
            <w:color w:val="0563C1"/>
            <w:u w:val="single"/>
          </w:rPr>
          <w:t>HRP-632-HRPP Policy IRB Reporting</w:t>
        </w:r>
      </w:hyperlink>
    </w:p>
    <w:p w14:paraId="0F00419A" w14:textId="77777777" w:rsidR="004A077B" w:rsidRPr="004A077B" w:rsidRDefault="004A077B" w:rsidP="006C3702">
      <w:pPr>
        <w:spacing w:after="120"/>
        <w:ind w:left="720"/>
        <w:rPr>
          <w:color w:val="061217"/>
        </w:rPr>
      </w:pPr>
      <w:hyperlink r:id="rId488" w:history="1">
        <w:r w:rsidRPr="004A077B">
          <w:rPr>
            <w:color w:val="0563C1"/>
            <w:u w:val="single"/>
          </w:rPr>
          <w:t>HRP-633-HRPP Policy IRB Recordkeeping</w:t>
        </w:r>
      </w:hyperlink>
    </w:p>
    <w:p w14:paraId="17E15AAF" w14:textId="77777777" w:rsidR="004A077B" w:rsidRPr="004A077B" w:rsidRDefault="004A077B" w:rsidP="006C3702">
      <w:pPr>
        <w:spacing w:after="120"/>
        <w:ind w:left="720"/>
        <w:rPr>
          <w:color w:val="061217"/>
        </w:rPr>
      </w:pPr>
      <w:hyperlink r:id="rId489" w:history="1">
        <w:r w:rsidRPr="004A077B">
          <w:rPr>
            <w:color w:val="0563C1"/>
            <w:u w:val="single"/>
          </w:rPr>
          <w:t>HRP-634-HRPP Policy Research Involving Radiation</w:t>
        </w:r>
      </w:hyperlink>
    </w:p>
    <w:p w14:paraId="3B60A5B8" w14:textId="77777777" w:rsidR="004A077B" w:rsidRPr="004A077B" w:rsidRDefault="004A077B" w:rsidP="006C3702">
      <w:pPr>
        <w:spacing w:after="120" w:line="276" w:lineRule="auto"/>
        <w:ind w:left="720"/>
        <w:rPr>
          <w:color w:val="061217"/>
          <w:szCs w:val="20"/>
        </w:rPr>
      </w:pPr>
      <w:hyperlink r:id="rId490" w:history="1">
        <w:r w:rsidRPr="004A077B">
          <w:rPr>
            <w:color w:val="0563C1"/>
            <w:szCs w:val="20"/>
            <w:u w:val="single"/>
          </w:rPr>
          <w:t>HRP-801 - SOP - Establishing Authorization Agreements</w:t>
        </w:r>
      </w:hyperlink>
    </w:p>
    <w:p w14:paraId="05C25BE3" w14:textId="77777777" w:rsidR="004A077B" w:rsidRPr="004A077B" w:rsidRDefault="004A077B" w:rsidP="006C3702">
      <w:pPr>
        <w:spacing w:after="120" w:line="276" w:lineRule="auto"/>
        <w:ind w:left="720"/>
        <w:rPr>
          <w:color w:val="061217"/>
          <w:szCs w:val="20"/>
        </w:rPr>
      </w:pPr>
      <w:hyperlink r:id="rId491" w:history="1">
        <w:r w:rsidRPr="004A077B">
          <w:rPr>
            <w:color w:val="0563C1"/>
            <w:szCs w:val="20"/>
            <w:u w:val="single"/>
          </w:rPr>
          <w:t>HRP-802 - SOP - Institutional Profile Management</w:t>
        </w:r>
      </w:hyperlink>
    </w:p>
    <w:p w14:paraId="0C4BD75A" w14:textId="77777777" w:rsidR="004A077B" w:rsidRPr="004A077B" w:rsidRDefault="004A077B" w:rsidP="006C3702">
      <w:pPr>
        <w:spacing w:after="120" w:line="276" w:lineRule="auto"/>
        <w:ind w:left="720"/>
        <w:rPr>
          <w:color w:val="061217"/>
          <w:szCs w:val="20"/>
        </w:rPr>
      </w:pPr>
      <w:hyperlink r:id="rId492" w:history="1">
        <w:r w:rsidRPr="004A077B">
          <w:rPr>
            <w:color w:val="0563C1"/>
            <w:szCs w:val="20"/>
            <w:u w:val="single"/>
          </w:rPr>
          <w:t>HRP-804 - SOP - External IRB Post-Review</w:t>
        </w:r>
      </w:hyperlink>
      <w:r w:rsidRPr="004A077B">
        <w:rPr>
          <w:color w:val="061217"/>
          <w:szCs w:val="20"/>
        </w:rPr>
        <w:t xml:space="preserve"> </w:t>
      </w:r>
    </w:p>
    <w:p w14:paraId="549160E6" w14:textId="77777777" w:rsidR="004A077B" w:rsidRPr="004A077B" w:rsidRDefault="004A077B" w:rsidP="006C3702">
      <w:pPr>
        <w:spacing w:after="120" w:line="276" w:lineRule="auto"/>
        <w:ind w:left="720"/>
        <w:rPr>
          <w:color w:val="061217"/>
          <w:szCs w:val="20"/>
        </w:rPr>
      </w:pPr>
      <w:hyperlink r:id="rId493" w:history="1">
        <w:r w:rsidRPr="004A077B">
          <w:rPr>
            <w:color w:val="0563C1"/>
            <w:szCs w:val="20"/>
            <w:u w:val="single"/>
          </w:rPr>
          <w:t>HRP-805 - SOP - External IRB Updates</w:t>
        </w:r>
      </w:hyperlink>
      <w:r w:rsidRPr="004A077B">
        <w:rPr>
          <w:color w:val="061217"/>
          <w:szCs w:val="20"/>
        </w:rPr>
        <w:t xml:space="preserve"> </w:t>
      </w:r>
    </w:p>
    <w:p w14:paraId="683F4326" w14:textId="77777777" w:rsidR="004A077B" w:rsidRPr="004A077B" w:rsidRDefault="004A077B" w:rsidP="006C3702">
      <w:pPr>
        <w:spacing w:after="120" w:line="276" w:lineRule="auto"/>
        <w:ind w:left="720"/>
        <w:rPr>
          <w:b/>
          <w:bCs/>
          <w:color w:val="061217"/>
          <w:sz w:val="24"/>
          <w:szCs w:val="24"/>
        </w:rPr>
      </w:pPr>
      <w:hyperlink r:id="rId494" w:history="1">
        <w:r w:rsidRPr="004A077B">
          <w:rPr>
            <w:color w:val="0563C1"/>
            <w:szCs w:val="20"/>
            <w:u w:val="single"/>
          </w:rPr>
          <w:t>HRP-806 - SOP - Review Request to Rely on External IRB</w:t>
        </w:r>
      </w:hyperlink>
    </w:p>
    <w:p w14:paraId="3D5D3F28" w14:textId="5E0002B6" w:rsidR="0084704B" w:rsidRPr="0084704B" w:rsidRDefault="0084704B" w:rsidP="0084704B">
      <w:pPr>
        <w:spacing w:after="0"/>
        <w:rPr>
          <w:sz w:val="24"/>
          <w:szCs w:val="24"/>
        </w:rPr>
        <w:sectPr w:rsidR="0084704B" w:rsidRPr="0084704B" w:rsidSect="0084704B">
          <w:headerReference w:type="default" r:id="rId495"/>
          <w:footerReference w:type="default" r:id="rId496"/>
          <w:headerReference w:type="first" r:id="rId497"/>
          <w:footerReference w:type="first" r:id="rId498"/>
          <w:type w:val="continuous"/>
          <w:pgSz w:w="12240" w:h="15840"/>
          <w:pgMar w:top="720" w:right="720" w:bottom="720" w:left="720" w:header="720" w:footer="720" w:gutter="0"/>
          <w:cols w:space="720"/>
          <w:titlePg/>
          <w:docGrid w:linePitch="360"/>
        </w:sectPr>
      </w:pPr>
    </w:p>
    <w:p w14:paraId="1682C855" w14:textId="77777777" w:rsidR="0084704B" w:rsidRPr="0084704B" w:rsidRDefault="0084704B" w:rsidP="0084704B">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General</w:t>
      </w:r>
    </w:p>
    <w:p w14:paraId="324C1A61" w14:textId="77777777" w:rsidR="0084704B" w:rsidRPr="0084704B" w:rsidRDefault="0084704B" w:rsidP="0084704B">
      <w:pPr>
        <w:spacing w:after="120" w:line="324" w:lineRule="auto"/>
        <w:ind w:left="288" w:hanging="288"/>
        <w:rPr>
          <w:sz w:val="24"/>
        </w:rPr>
        <w:sectPr w:rsidR="0084704B" w:rsidRPr="0084704B" w:rsidSect="0084704B">
          <w:type w:val="continuous"/>
          <w:pgSz w:w="12240" w:h="15840"/>
          <w:pgMar w:top="720" w:right="720" w:bottom="720" w:left="720" w:header="720" w:footer="720" w:gutter="0"/>
          <w:cols w:space="720"/>
          <w:docGrid w:linePitch="360"/>
        </w:sectPr>
      </w:pPr>
    </w:p>
    <w:p w14:paraId="2C9CC93D" w14:textId="77777777" w:rsidR="0084704B" w:rsidRPr="0084704B" w:rsidRDefault="0084704B" w:rsidP="006C3702">
      <w:pPr>
        <w:spacing w:after="120" w:line="276" w:lineRule="auto"/>
        <w:ind w:left="720"/>
      </w:pPr>
      <w:r>
        <w:t xml:space="preserve">HRP-100 - Huron HRPP Toolkit Table of Contents </w:t>
      </w:r>
    </w:p>
    <w:p w14:paraId="15E10660" w14:textId="77777777" w:rsidR="0084704B" w:rsidRPr="0084704B" w:rsidRDefault="0084704B" w:rsidP="006C3702">
      <w:pPr>
        <w:spacing w:after="120" w:line="276" w:lineRule="auto"/>
        <w:ind w:left="720"/>
      </w:pPr>
      <w:hyperlink r:id="rId499" w:history="1">
        <w:r>
          <w:rPr>
            <w:color w:val="0563C1" w:themeColor="hyperlink"/>
            <w:u w:val="single"/>
          </w:rPr>
          <w:t>HRP-103 - Investigator Manual</w:t>
        </w:r>
      </w:hyperlink>
    </w:p>
    <w:p w14:paraId="74BE42D9" w14:textId="77777777" w:rsidR="0084704B" w:rsidRPr="0084704B" w:rsidRDefault="0084704B" w:rsidP="006C3702">
      <w:pPr>
        <w:spacing w:after="120" w:line="276" w:lineRule="auto"/>
        <w:ind w:left="720"/>
      </w:pPr>
      <w:hyperlink r:id="rId500" w:history="1">
        <w:r>
          <w:rPr>
            <w:color w:val="0563C1" w:themeColor="hyperlink"/>
            <w:u w:val="single"/>
          </w:rPr>
          <w:t>HRP-103p - Investigator Manual - pSite</w:t>
        </w:r>
      </w:hyperlink>
    </w:p>
    <w:p w14:paraId="421784F4" w14:textId="77777777" w:rsidR="0084704B" w:rsidRPr="0084704B" w:rsidRDefault="0084704B" w:rsidP="0084704B">
      <w:pPr>
        <w:spacing w:after="120" w:line="324" w:lineRule="auto"/>
        <w:sectPr w:rsidR="0084704B" w:rsidRPr="0084704B" w:rsidSect="0084704B">
          <w:type w:val="continuous"/>
          <w:pgSz w:w="12240" w:h="15840"/>
          <w:pgMar w:top="720" w:right="720" w:bottom="720" w:left="720" w:header="720" w:footer="720" w:gutter="0"/>
          <w:cols w:space="720"/>
          <w:docGrid w:linePitch="360"/>
        </w:sectPr>
      </w:pPr>
    </w:p>
    <w:p w14:paraId="1B5463E1" w14:textId="77777777" w:rsidR="0084704B" w:rsidRPr="0084704B" w:rsidRDefault="0084704B" w:rsidP="0084704B">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worksheets</w:t>
      </w:r>
    </w:p>
    <w:p w14:paraId="0F885D0C" w14:textId="77777777" w:rsidR="0084704B" w:rsidRPr="0084704B" w:rsidRDefault="0084704B" w:rsidP="0084704B">
      <w:pPr>
        <w:spacing w:after="120" w:line="324" w:lineRule="auto"/>
        <w:contextualSpacing/>
        <w:rPr>
          <w:sz w:val="24"/>
        </w:rPr>
        <w:sectPr w:rsidR="0084704B" w:rsidRPr="0084704B" w:rsidSect="0084704B">
          <w:type w:val="continuous"/>
          <w:pgSz w:w="12240" w:h="15840"/>
          <w:pgMar w:top="720" w:right="720" w:bottom="720" w:left="720" w:header="720" w:footer="720" w:gutter="0"/>
          <w:cols w:space="720"/>
          <w:docGrid w:linePitch="360"/>
        </w:sectPr>
      </w:pPr>
    </w:p>
    <w:p w14:paraId="7D665293" w14:textId="77777777" w:rsidR="0084704B" w:rsidRPr="0084704B" w:rsidRDefault="0084704B" w:rsidP="006C3702">
      <w:pPr>
        <w:spacing w:after="120" w:line="276" w:lineRule="auto"/>
        <w:ind w:left="720"/>
      </w:pPr>
      <w:hyperlink r:id="rId501" w:history="1">
        <w:r>
          <w:rPr>
            <w:color w:val="0563C1" w:themeColor="hyperlink"/>
            <w:u w:val="single"/>
          </w:rPr>
          <w:t>HRP-301 - WORKSHEET - Review Materials</w:t>
        </w:r>
      </w:hyperlink>
    </w:p>
    <w:p w14:paraId="597ABA9A" w14:textId="77777777" w:rsidR="0084704B" w:rsidRPr="0084704B" w:rsidRDefault="0084704B" w:rsidP="006C3702">
      <w:pPr>
        <w:spacing w:after="120" w:line="276" w:lineRule="auto"/>
        <w:ind w:left="720"/>
      </w:pPr>
      <w:hyperlink r:id="rId502" w:history="1">
        <w:r>
          <w:rPr>
            <w:color w:val="0563C1" w:themeColor="hyperlink"/>
            <w:u w:val="single"/>
          </w:rPr>
          <w:t>HRP-302 - WORKSHEET - Approval Intervals</w:t>
        </w:r>
      </w:hyperlink>
    </w:p>
    <w:p w14:paraId="545580AF" w14:textId="77777777" w:rsidR="0084704B" w:rsidRPr="0084704B" w:rsidRDefault="0084704B" w:rsidP="006C3702">
      <w:pPr>
        <w:spacing w:after="120" w:line="276" w:lineRule="auto"/>
        <w:ind w:left="720"/>
      </w:pPr>
      <w:hyperlink r:id="rId503" w:history="1">
        <w:r>
          <w:rPr>
            <w:color w:val="0563C1" w:themeColor="hyperlink"/>
            <w:u w:val="single"/>
          </w:rPr>
          <w:t>HRP-303 - WORKSHEET - Communication of Review Results</w:t>
        </w:r>
      </w:hyperlink>
    </w:p>
    <w:p w14:paraId="6F369223" w14:textId="77777777" w:rsidR="0084704B" w:rsidRDefault="0084704B" w:rsidP="006C3702">
      <w:pPr>
        <w:spacing w:after="120" w:line="276" w:lineRule="auto"/>
        <w:ind w:left="720"/>
      </w:pPr>
      <w:hyperlink r:id="rId504" w:history="1">
        <w:r>
          <w:rPr>
            <w:color w:val="0563C1" w:themeColor="hyperlink"/>
            <w:u w:val="single"/>
          </w:rPr>
          <w:t>HRP-311 - WORKSHEET - Engagement Determination</w:t>
        </w:r>
      </w:hyperlink>
    </w:p>
    <w:p w14:paraId="1B913D61" w14:textId="77777777" w:rsidR="00692221" w:rsidRDefault="00692221" w:rsidP="006C3702">
      <w:pPr>
        <w:pStyle w:val="PrimarySectionText-HCG"/>
        <w:spacing w:line="276" w:lineRule="auto"/>
        <w:ind w:left="720" w:firstLine="0"/>
      </w:pPr>
      <w:hyperlink r:id="rId505" w:history="1">
        <w:r>
          <w:rPr>
            <w:rStyle w:val="Hyperlink"/>
            <w:sz w:val="22"/>
          </w:rPr>
          <w:t>HRP-322 - WORKSHEET - Emergency Use</w:t>
        </w:r>
      </w:hyperlink>
    </w:p>
    <w:p w14:paraId="2DEC8509" w14:textId="77777777" w:rsidR="00692221" w:rsidRPr="00692221" w:rsidRDefault="00692221" w:rsidP="006C3702">
      <w:pPr>
        <w:pStyle w:val="PrimarySectionText-HCG"/>
        <w:spacing w:line="276" w:lineRule="auto"/>
        <w:ind w:left="720" w:firstLine="0"/>
        <w:rPr>
          <w:sz w:val="22"/>
        </w:rPr>
      </w:pPr>
      <w:hyperlink r:id="rId506" w:history="1">
        <w:r>
          <w:rPr>
            <w:rStyle w:val="Hyperlink"/>
            <w:sz w:val="22"/>
          </w:rPr>
          <w:t>HRP-325 - WORKSHEET - Device Compassionate Use</w:t>
        </w:r>
      </w:hyperlink>
    </w:p>
    <w:p w14:paraId="65B87918" w14:textId="77777777" w:rsidR="0084704B" w:rsidRPr="0084704B" w:rsidRDefault="0084704B" w:rsidP="006C3702">
      <w:pPr>
        <w:spacing w:after="120" w:line="276" w:lineRule="auto"/>
        <w:ind w:left="720"/>
        <w:rPr>
          <w:szCs w:val="20"/>
        </w:rPr>
      </w:pPr>
      <w:hyperlink r:id="rId507" w:history="1">
        <w:r>
          <w:rPr>
            <w:color w:val="0563C1" w:themeColor="hyperlink"/>
            <w:szCs w:val="20"/>
            <w:u w:val="single"/>
          </w:rPr>
          <w:t>HRP-830 - WORKSHEET - Communication and Responsibilities</w:t>
        </w:r>
      </w:hyperlink>
    </w:p>
    <w:p w14:paraId="765084FF" w14:textId="77777777" w:rsidR="0084704B" w:rsidRDefault="0084704B" w:rsidP="006C3702">
      <w:pPr>
        <w:spacing w:after="120" w:line="276" w:lineRule="auto"/>
        <w:ind w:left="720"/>
      </w:pPr>
      <w:hyperlink r:id="rId508" w:history="1">
        <w:r>
          <w:rPr>
            <w:color w:val="0563C1" w:themeColor="hyperlink"/>
            <w:szCs w:val="20"/>
            <w:u w:val="single"/>
          </w:rPr>
          <w:t>HRP-832 - WORKSHEET - Considerations for Relying on an External IRB</w:t>
        </w:r>
      </w:hyperlink>
    </w:p>
    <w:p w14:paraId="44415AA9" w14:textId="77777777" w:rsidR="00463B72" w:rsidRPr="00DB3776" w:rsidRDefault="00463B72" w:rsidP="00463B72">
      <w:pPr>
        <w:pBdr>
          <w:top w:val="single" w:sz="4" w:space="1" w:color="AAAEB7"/>
          <w:left w:val="single" w:sz="4" w:space="3" w:color="AAAEB7"/>
          <w:bottom w:val="single" w:sz="4" w:space="1" w:color="AAAEB7"/>
          <w:right w:val="single" w:sz="4" w:space="4" w:color="AAAEB7"/>
        </w:pBdr>
        <w:shd w:val="clear" w:color="auto" w:fill="D8DAD9"/>
        <w:tabs>
          <w:tab w:val="left" w:pos="2595"/>
        </w:tabs>
        <w:spacing w:line="240" w:lineRule="auto"/>
        <w:rPr>
          <w:b/>
          <w:bCs/>
          <w:caps/>
          <w:color w:val="061217"/>
          <w:sz w:val="24"/>
          <w:szCs w:val="24"/>
        </w:rPr>
      </w:pPr>
      <w:r w:rsidRPr="00DB3776">
        <w:rPr>
          <w:b/>
          <w:bCs/>
          <w:caps/>
          <w:color w:val="061217"/>
          <w:sz w:val="24"/>
          <w:szCs w:val="24"/>
        </w:rPr>
        <w:t>checklists</w:t>
      </w:r>
      <w:r w:rsidRPr="00DB3776">
        <w:rPr>
          <w:b/>
          <w:bCs/>
          <w:caps/>
          <w:color w:val="061217"/>
          <w:sz w:val="24"/>
          <w:szCs w:val="24"/>
        </w:rPr>
        <w:tab/>
      </w:r>
    </w:p>
    <w:p w14:paraId="37B224EE" w14:textId="43C42337" w:rsidR="00463B72" w:rsidRPr="00463B72" w:rsidRDefault="00463B72" w:rsidP="00463B72">
      <w:pPr>
        <w:pStyle w:val="BodyText"/>
        <w:sectPr w:rsidR="00463B72" w:rsidRPr="00463B72" w:rsidSect="0084704B">
          <w:type w:val="continuous"/>
          <w:pgSz w:w="12240" w:h="15840"/>
          <w:pgMar w:top="720" w:right="720" w:bottom="720" w:left="720" w:header="720" w:footer="720" w:gutter="0"/>
          <w:cols w:space="720"/>
          <w:docGrid w:linePitch="360"/>
        </w:sectPr>
      </w:pPr>
    </w:p>
    <w:p w14:paraId="4C49820E" w14:textId="3BE5EAC5" w:rsidR="0084704B" w:rsidRPr="0084704B" w:rsidRDefault="0084704B" w:rsidP="004A077B">
      <w:pPr>
        <w:spacing w:after="120" w:line="276" w:lineRule="auto"/>
      </w:pPr>
      <w:hyperlink r:id="rId509" w:history="1">
        <w:r>
          <w:rPr>
            <w:color w:val="0563C1" w:themeColor="hyperlink"/>
            <w:u w:val="single"/>
          </w:rPr>
          <w:t>HRP-401 - CHECKLIST - Pre-Review</w:t>
        </w:r>
      </w:hyperlink>
    </w:p>
    <w:p w14:paraId="3B0F3B76" w14:textId="77777777" w:rsidR="0084704B" w:rsidRPr="0084704B" w:rsidRDefault="0084704B" w:rsidP="004A077B">
      <w:pPr>
        <w:spacing w:after="120" w:line="276" w:lineRule="auto"/>
      </w:pPr>
      <w:hyperlink r:id="rId510" w:history="1">
        <w:r>
          <w:rPr>
            <w:color w:val="0563C1" w:themeColor="hyperlink"/>
            <w:u w:val="single"/>
          </w:rPr>
          <w:t>HRP-402 - CHECKLIST - Non-Committee Review</w:t>
        </w:r>
      </w:hyperlink>
    </w:p>
    <w:p w14:paraId="5268F8AE" w14:textId="77777777" w:rsidR="0084704B" w:rsidRPr="0084704B" w:rsidRDefault="0084704B" w:rsidP="004A077B">
      <w:pPr>
        <w:spacing w:after="120" w:line="276" w:lineRule="auto"/>
      </w:pPr>
      <w:hyperlink r:id="rId511" w:history="1">
        <w:r>
          <w:rPr>
            <w:color w:val="0563C1" w:themeColor="hyperlink"/>
            <w:u w:val="single"/>
          </w:rPr>
          <w:t>HRP-410 - CHECKLIST - Waiver or Alteration of Consent Process</w:t>
        </w:r>
      </w:hyperlink>
    </w:p>
    <w:p w14:paraId="20190ABF" w14:textId="77777777" w:rsidR="0084704B" w:rsidRPr="0084704B" w:rsidRDefault="0084704B" w:rsidP="003E42DE">
      <w:pPr>
        <w:spacing w:after="120" w:line="276" w:lineRule="auto"/>
        <w:ind w:left="720"/>
      </w:pPr>
      <w:hyperlink r:id="rId512" w:history="1">
        <w:r>
          <w:rPr>
            <w:color w:val="0563C1" w:themeColor="hyperlink"/>
            <w:u w:val="single"/>
          </w:rPr>
          <w:t>HRP-411 - CHECKLIST - Waiver of Written Documentation of Consent</w:t>
        </w:r>
      </w:hyperlink>
    </w:p>
    <w:p w14:paraId="7BBE0B90" w14:textId="77777777" w:rsidR="0084704B" w:rsidRPr="0084704B" w:rsidRDefault="0084704B" w:rsidP="003E42DE">
      <w:pPr>
        <w:spacing w:after="120" w:line="276" w:lineRule="auto"/>
        <w:ind w:left="720"/>
      </w:pPr>
      <w:hyperlink r:id="rId513" w:history="1">
        <w:r>
          <w:rPr>
            <w:color w:val="0563C1" w:themeColor="hyperlink"/>
            <w:u w:val="single"/>
          </w:rPr>
          <w:t>HRP-412 - CHECKLIST - Pregnant Women</w:t>
        </w:r>
      </w:hyperlink>
    </w:p>
    <w:p w14:paraId="44CE8CC5" w14:textId="77777777" w:rsidR="0084704B" w:rsidRPr="0084704B" w:rsidRDefault="0084704B" w:rsidP="003E42DE">
      <w:pPr>
        <w:spacing w:after="120" w:line="276" w:lineRule="auto"/>
        <w:ind w:left="720"/>
      </w:pPr>
      <w:hyperlink r:id="rId514" w:history="1">
        <w:r>
          <w:rPr>
            <w:color w:val="0563C1" w:themeColor="hyperlink"/>
            <w:u w:val="single"/>
          </w:rPr>
          <w:t>HRP-413 - CHECKLIST - Non-Viable Neonates</w:t>
        </w:r>
      </w:hyperlink>
    </w:p>
    <w:p w14:paraId="42FB4C57" w14:textId="77777777" w:rsidR="0084704B" w:rsidRPr="0084704B" w:rsidRDefault="0084704B" w:rsidP="003E42DE">
      <w:pPr>
        <w:spacing w:after="120" w:line="276" w:lineRule="auto"/>
        <w:ind w:left="720"/>
      </w:pPr>
      <w:hyperlink r:id="rId515" w:history="1">
        <w:r>
          <w:rPr>
            <w:color w:val="0563C1" w:themeColor="hyperlink"/>
            <w:u w:val="single"/>
          </w:rPr>
          <w:t>HRP-414 - CHECKLIST - Neonates of Uncertain Viability</w:t>
        </w:r>
      </w:hyperlink>
    </w:p>
    <w:p w14:paraId="3DAC793A" w14:textId="77777777" w:rsidR="0084704B" w:rsidRPr="0084704B" w:rsidRDefault="0084704B" w:rsidP="003E42DE">
      <w:pPr>
        <w:spacing w:after="120" w:line="276" w:lineRule="auto"/>
        <w:ind w:left="720"/>
      </w:pPr>
      <w:hyperlink r:id="rId516" w:history="1">
        <w:r>
          <w:rPr>
            <w:color w:val="0563C1" w:themeColor="hyperlink"/>
            <w:u w:val="single"/>
          </w:rPr>
          <w:t>HRP-415 - CHECKLIST - Prisoners</w:t>
        </w:r>
      </w:hyperlink>
    </w:p>
    <w:p w14:paraId="1CB374D3" w14:textId="77777777" w:rsidR="0084704B" w:rsidRPr="0084704B" w:rsidRDefault="0084704B" w:rsidP="003E42DE">
      <w:pPr>
        <w:spacing w:after="120" w:line="276" w:lineRule="auto"/>
        <w:ind w:left="720"/>
      </w:pPr>
      <w:hyperlink r:id="rId517" w:history="1">
        <w:r>
          <w:rPr>
            <w:color w:val="0563C1" w:themeColor="hyperlink"/>
            <w:u w:val="single"/>
          </w:rPr>
          <w:t>HRP-416 - CHECKLIST - Children</w:t>
        </w:r>
      </w:hyperlink>
    </w:p>
    <w:p w14:paraId="2B957275" w14:textId="77777777" w:rsidR="0084704B" w:rsidRPr="0084704B" w:rsidRDefault="0084704B" w:rsidP="003E42DE">
      <w:pPr>
        <w:spacing w:after="120" w:line="276" w:lineRule="auto"/>
        <w:ind w:left="720"/>
      </w:pPr>
      <w:hyperlink r:id="rId518" w:history="1">
        <w:r>
          <w:rPr>
            <w:color w:val="0563C1" w:themeColor="hyperlink"/>
            <w:u w:val="single"/>
          </w:rPr>
          <w:t>HRP-417 - CHECKLIST - Adults With Impaired Decision-Making Capacity</w:t>
        </w:r>
      </w:hyperlink>
    </w:p>
    <w:p w14:paraId="1F54C800" w14:textId="77777777" w:rsidR="0084704B" w:rsidRPr="0084704B" w:rsidRDefault="0084704B" w:rsidP="003E42DE">
      <w:pPr>
        <w:spacing w:after="120" w:line="276" w:lineRule="auto"/>
        <w:ind w:left="720"/>
      </w:pPr>
      <w:hyperlink r:id="rId519" w:history="1">
        <w:r>
          <w:rPr>
            <w:color w:val="0563C1" w:themeColor="hyperlink"/>
            <w:u w:val="single"/>
          </w:rPr>
          <w:t>HRP-418 - CHECKLIST - Non-Significant Risk Device</w:t>
        </w:r>
      </w:hyperlink>
    </w:p>
    <w:p w14:paraId="12896525" w14:textId="77777777" w:rsidR="0084704B" w:rsidRPr="0084704B" w:rsidRDefault="0084704B" w:rsidP="003E42DE">
      <w:pPr>
        <w:spacing w:after="120" w:line="276" w:lineRule="auto"/>
        <w:ind w:left="720"/>
      </w:pPr>
      <w:hyperlink r:id="rId520" w:history="1">
        <w:r>
          <w:rPr>
            <w:color w:val="0563C1" w:themeColor="hyperlink"/>
            <w:u w:val="single"/>
          </w:rPr>
          <w:t>HRP-419 - CHECKLIST - Waiver of Consent Process for Emergency Research</w:t>
        </w:r>
      </w:hyperlink>
    </w:p>
    <w:p w14:paraId="3BF9F84F" w14:textId="77777777" w:rsidR="0084704B" w:rsidRPr="0084704B" w:rsidRDefault="0084704B" w:rsidP="003E42DE">
      <w:pPr>
        <w:spacing w:after="120" w:line="276" w:lineRule="auto"/>
        <w:ind w:left="720"/>
      </w:pPr>
      <w:hyperlink r:id="rId521" w:history="1">
        <w:r>
          <w:rPr>
            <w:color w:val="0563C1" w:themeColor="hyperlink"/>
            <w:u w:val="single"/>
          </w:rPr>
          <w:t>HRP-441 - CHECKLIST - HIPAA Waiver of Authorization</w:t>
        </w:r>
      </w:hyperlink>
    </w:p>
    <w:p w14:paraId="7FB7CD8E" w14:textId="77777777" w:rsidR="0084704B" w:rsidRPr="0084704B" w:rsidRDefault="0084704B" w:rsidP="009626F3">
      <w:pPr>
        <w:pBdr>
          <w:top w:val="single" w:sz="4" w:space="1" w:color="AAAEB7" w:themeColor="background2" w:themeShade="BF"/>
          <w:left w:val="single" w:sz="4" w:space="4" w:color="AAAEB7" w:themeColor="background2" w:themeShade="BF"/>
          <w:bottom w:val="single" w:sz="4" w:space="1" w:color="AAAEB7" w:themeColor="background2" w:themeShade="BF"/>
          <w:right w:val="single" w:sz="4" w:space="4" w:color="AAAEB7" w:themeColor="background2" w:themeShade="BF"/>
        </w:pBdr>
        <w:shd w:val="pct12" w:color="auto" w:fill="auto"/>
        <w:spacing w:line="240" w:lineRule="auto"/>
        <w:rPr>
          <w:b/>
          <w:bCs/>
          <w:caps/>
          <w:sz w:val="24"/>
          <w:szCs w:val="24"/>
        </w:rPr>
      </w:pPr>
      <w:r>
        <w:rPr>
          <w:b/>
          <w:bCs/>
          <w:caps/>
          <w:sz w:val="24"/>
          <w:szCs w:val="24"/>
        </w:rPr>
        <w:t>TEMPLATES</w:t>
      </w:r>
    </w:p>
    <w:p w14:paraId="4955BF24" w14:textId="77777777" w:rsidR="0084704B" w:rsidRPr="0084704B" w:rsidRDefault="0084704B" w:rsidP="003E42DE">
      <w:pPr>
        <w:spacing w:after="120" w:line="276" w:lineRule="auto"/>
        <w:ind w:left="720"/>
      </w:pPr>
      <w:hyperlink r:id="rId522" w:history="1">
        <w:r>
          <w:rPr>
            <w:color w:val="0563C1" w:themeColor="hyperlink"/>
            <w:u w:val="single"/>
          </w:rPr>
          <w:t>HRP-215 - FORM - Continuing Review Supplement</w:t>
        </w:r>
      </w:hyperlink>
    </w:p>
    <w:p w14:paraId="799299F9" w14:textId="77777777" w:rsidR="0084704B" w:rsidRPr="0084704B" w:rsidRDefault="0084704B" w:rsidP="003E42DE">
      <w:pPr>
        <w:spacing w:after="120" w:line="276" w:lineRule="auto"/>
        <w:ind w:left="720"/>
      </w:pPr>
      <w:hyperlink r:id="rId523" w:history="1">
        <w:r>
          <w:rPr>
            <w:color w:val="0563C1" w:themeColor="hyperlink"/>
            <w:u w:val="single"/>
          </w:rPr>
          <w:t>HRP-216 - FORM - RNI Supplemental Information Form</w:t>
        </w:r>
      </w:hyperlink>
    </w:p>
    <w:p w14:paraId="0829D3C1" w14:textId="77777777" w:rsidR="0084704B" w:rsidRPr="0084704B" w:rsidRDefault="0084704B" w:rsidP="003E42DE">
      <w:pPr>
        <w:spacing w:after="120" w:line="276" w:lineRule="auto"/>
        <w:ind w:left="720"/>
      </w:pPr>
      <w:hyperlink r:id="rId524" w:history="1">
        <w:r>
          <w:rPr>
            <w:color w:val="0563C1" w:themeColor="hyperlink"/>
            <w:u w:val="single"/>
          </w:rPr>
          <w:t>HRP-217 - FORM - Supplemental Review Form</w:t>
        </w:r>
      </w:hyperlink>
    </w:p>
    <w:p w14:paraId="47AD54FA" w14:textId="77777777" w:rsidR="0084704B" w:rsidRPr="0084704B" w:rsidRDefault="0084704B" w:rsidP="003E42DE">
      <w:pPr>
        <w:spacing w:after="120" w:line="276" w:lineRule="auto"/>
        <w:ind w:left="720"/>
      </w:pPr>
      <w:hyperlink r:id="rId525" w:history="1">
        <w:r>
          <w:rPr>
            <w:color w:val="0563C1" w:themeColor="hyperlink"/>
            <w:u w:val="single"/>
          </w:rPr>
          <w:t>HRP-503 - Template - Protocol - Biomedical and Cancer Research</w:t>
        </w:r>
      </w:hyperlink>
    </w:p>
    <w:p w14:paraId="5FA1C7B2" w14:textId="77777777" w:rsidR="0084704B" w:rsidRPr="0084704B" w:rsidRDefault="0084704B" w:rsidP="003E42DE">
      <w:pPr>
        <w:spacing w:after="120" w:line="276" w:lineRule="auto"/>
        <w:ind w:left="720"/>
      </w:pPr>
      <w:hyperlink r:id="rId526" w:history="1">
        <w:r>
          <w:rPr>
            <w:color w:val="0563C1" w:themeColor="hyperlink"/>
            <w:u w:val="single"/>
          </w:rPr>
          <w:t>HRP-503a - Template - Protocol - Behavioral and Social Sciences Research</w:t>
        </w:r>
      </w:hyperlink>
    </w:p>
    <w:p w14:paraId="5C76DF70" w14:textId="77777777" w:rsidR="0084704B" w:rsidRPr="0084704B" w:rsidRDefault="0084704B" w:rsidP="003E42DE">
      <w:pPr>
        <w:spacing w:after="120" w:line="276" w:lineRule="auto"/>
        <w:ind w:left="720"/>
      </w:pPr>
      <w:hyperlink r:id="rId527" w:history="1">
        <w:r>
          <w:rPr>
            <w:color w:val="0563C1" w:themeColor="hyperlink"/>
            <w:u w:val="single"/>
          </w:rPr>
          <w:t>HRP-503b - Template - Protocol - Secondary Research</w:t>
        </w:r>
      </w:hyperlink>
    </w:p>
    <w:p w14:paraId="5766BB7B" w14:textId="77777777" w:rsidR="0084704B" w:rsidRPr="0084704B" w:rsidRDefault="0084704B" w:rsidP="003E42DE">
      <w:pPr>
        <w:spacing w:after="120" w:line="276" w:lineRule="auto"/>
        <w:ind w:left="720"/>
      </w:pPr>
      <w:hyperlink r:id="rId528" w:history="1">
        <w:r>
          <w:rPr>
            <w:color w:val="0563C1" w:themeColor="hyperlink"/>
            <w:u w:val="single"/>
          </w:rPr>
          <w:t>HRP-503c - Template - Protocol - Exempt Research</w:t>
        </w:r>
      </w:hyperlink>
    </w:p>
    <w:p w14:paraId="1B3337D3" w14:textId="77777777" w:rsidR="0084704B" w:rsidRPr="0084704B" w:rsidRDefault="0084704B" w:rsidP="003E42DE">
      <w:pPr>
        <w:spacing w:after="120" w:line="276" w:lineRule="auto"/>
        <w:ind w:left="720"/>
      </w:pPr>
      <w:hyperlink r:id="rId529" w:history="1">
        <w:r>
          <w:rPr>
            <w:color w:val="0563C1" w:themeColor="hyperlink"/>
            <w:u w:val="single"/>
          </w:rPr>
          <w:t>HRP-504 - Template - Protocol - External IRB Site Supplement</w:t>
        </w:r>
      </w:hyperlink>
    </w:p>
    <w:p w14:paraId="16F160D6" w14:textId="77777777" w:rsidR="0084704B" w:rsidRPr="0084704B" w:rsidRDefault="0084704B" w:rsidP="003E42DE">
      <w:pPr>
        <w:spacing w:after="120" w:line="276" w:lineRule="auto"/>
        <w:ind w:left="720"/>
      </w:pPr>
      <w:hyperlink r:id="rId530" w:history="1">
        <w:r>
          <w:rPr>
            <w:color w:val="0563C1" w:themeColor="hyperlink"/>
            <w:u w:val="single"/>
          </w:rPr>
          <w:t>HRP-505 - Template - Protocol - Ohio State IRB Site Supplement</w:t>
        </w:r>
      </w:hyperlink>
    </w:p>
    <w:p w14:paraId="451CBAA6" w14:textId="77777777" w:rsidR="0084704B" w:rsidRPr="0084704B" w:rsidRDefault="0084704B" w:rsidP="003E42DE">
      <w:pPr>
        <w:spacing w:after="120" w:line="276" w:lineRule="auto"/>
        <w:ind w:left="720"/>
      </w:pPr>
      <w:hyperlink r:id="rId531" w:history="1">
        <w:r>
          <w:rPr>
            <w:color w:val="0563C1" w:themeColor="hyperlink"/>
            <w:u w:val="single"/>
          </w:rPr>
          <w:t>HRP-506 - Template - Cover Letter Legacy Studies</w:t>
        </w:r>
      </w:hyperlink>
    </w:p>
    <w:p w14:paraId="7A314206" w14:textId="77777777" w:rsidR="0084704B" w:rsidRPr="0084704B" w:rsidRDefault="0084704B" w:rsidP="003E42DE">
      <w:pPr>
        <w:spacing w:after="120" w:line="276" w:lineRule="auto"/>
        <w:ind w:left="720"/>
      </w:pPr>
      <w:hyperlink r:id="rId532" w:history="1">
        <w:r>
          <w:rPr>
            <w:color w:val="0563C1" w:themeColor="hyperlink"/>
            <w:u w:val="single"/>
          </w:rPr>
          <w:t>HRP-510 Appendix A - Adults with Impaired Decision-Making Capacity</w:t>
        </w:r>
      </w:hyperlink>
    </w:p>
    <w:p w14:paraId="4EBEEA92" w14:textId="77777777" w:rsidR="0084704B" w:rsidRPr="0084704B" w:rsidRDefault="0084704B" w:rsidP="003E42DE">
      <w:pPr>
        <w:spacing w:after="120" w:line="276" w:lineRule="auto"/>
        <w:ind w:left="720"/>
      </w:pPr>
      <w:hyperlink r:id="rId533" w:history="1">
        <w:r>
          <w:rPr>
            <w:color w:val="0563C1" w:themeColor="hyperlink"/>
            <w:u w:val="single"/>
          </w:rPr>
          <w:t>HRP-510 Appendix B - Alteration of HIPAA Research Authorization</w:t>
        </w:r>
      </w:hyperlink>
    </w:p>
    <w:p w14:paraId="0D39CFC3" w14:textId="77777777" w:rsidR="0084704B" w:rsidRPr="0084704B" w:rsidRDefault="0084704B" w:rsidP="003E42DE">
      <w:pPr>
        <w:spacing w:after="120" w:line="276" w:lineRule="auto"/>
        <w:ind w:left="720"/>
      </w:pPr>
      <w:hyperlink r:id="rId534" w:history="1">
        <w:r>
          <w:rPr>
            <w:color w:val="0563C1" w:themeColor="hyperlink"/>
            <w:u w:val="single"/>
          </w:rPr>
          <w:t>HRP-510 Appendix C - Children</w:t>
        </w:r>
      </w:hyperlink>
    </w:p>
    <w:p w14:paraId="7DE434D1" w14:textId="77777777" w:rsidR="0084704B" w:rsidRPr="0084704B" w:rsidRDefault="0084704B" w:rsidP="003E42DE">
      <w:pPr>
        <w:spacing w:after="120" w:line="276" w:lineRule="auto"/>
        <w:ind w:left="720"/>
      </w:pPr>
      <w:hyperlink r:id="rId535" w:history="1">
        <w:r>
          <w:rPr>
            <w:color w:val="0563C1" w:themeColor="hyperlink"/>
            <w:u w:val="single"/>
          </w:rPr>
          <w:t>HRP-510 Appendix D - Deception</w:t>
        </w:r>
      </w:hyperlink>
      <w:r>
        <w:t xml:space="preserve"> </w:t>
      </w:r>
    </w:p>
    <w:p w14:paraId="36CB32FB" w14:textId="77777777" w:rsidR="0084704B" w:rsidRPr="0084704B" w:rsidRDefault="0084704B" w:rsidP="003E42DE">
      <w:pPr>
        <w:spacing w:after="120" w:line="276" w:lineRule="auto"/>
        <w:ind w:left="720"/>
      </w:pPr>
      <w:hyperlink r:id="rId536" w:history="1">
        <w:r>
          <w:rPr>
            <w:color w:val="0563C1" w:themeColor="hyperlink"/>
            <w:u w:val="single"/>
          </w:rPr>
          <w:t>HRP-510 Appendix E - Expedited Review - Initial Review</w:t>
        </w:r>
      </w:hyperlink>
    </w:p>
    <w:p w14:paraId="2C6FA72B" w14:textId="77777777" w:rsidR="0084704B" w:rsidRPr="0084704B" w:rsidRDefault="0084704B" w:rsidP="003E42DE">
      <w:pPr>
        <w:spacing w:after="120" w:line="276" w:lineRule="auto"/>
        <w:ind w:left="720"/>
      </w:pPr>
      <w:hyperlink r:id="rId537" w:history="1">
        <w:r>
          <w:rPr>
            <w:color w:val="0563C1" w:themeColor="hyperlink"/>
            <w:u w:val="single"/>
          </w:rPr>
          <w:t>HRP-510 Appendix F - Full Waiver of HIPAA Research Authorization</w:t>
        </w:r>
      </w:hyperlink>
    </w:p>
    <w:p w14:paraId="526CEA3F" w14:textId="77777777" w:rsidR="0084704B" w:rsidRPr="0084704B" w:rsidRDefault="0084704B" w:rsidP="003E42DE">
      <w:pPr>
        <w:spacing w:after="120" w:line="276" w:lineRule="auto"/>
        <w:ind w:left="720"/>
      </w:pPr>
      <w:hyperlink r:id="rId538" w:history="1">
        <w:r>
          <w:rPr>
            <w:color w:val="0563C1" w:themeColor="hyperlink"/>
            <w:u w:val="single"/>
          </w:rPr>
          <w:t>HRP-510 Appendix G - Genetic Testing</w:t>
        </w:r>
      </w:hyperlink>
    </w:p>
    <w:p w14:paraId="3763539F" w14:textId="77777777" w:rsidR="0084704B" w:rsidRPr="0084704B" w:rsidRDefault="0084704B" w:rsidP="003E42DE">
      <w:pPr>
        <w:spacing w:after="120" w:line="276" w:lineRule="auto"/>
        <w:ind w:left="720"/>
      </w:pPr>
      <w:hyperlink r:id="rId539" w:history="1">
        <w:r>
          <w:rPr>
            <w:color w:val="0563C1" w:themeColor="hyperlink"/>
            <w:u w:val="single"/>
          </w:rPr>
          <w:t>HRP-510 Appendix H - Multi-site Research</w:t>
        </w:r>
      </w:hyperlink>
    </w:p>
    <w:p w14:paraId="788BC157" w14:textId="77777777" w:rsidR="0084704B" w:rsidRPr="0084704B" w:rsidRDefault="0084704B" w:rsidP="003E42DE">
      <w:pPr>
        <w:spacing w:after="120" w:line="276" w:lineRule="auto"/>
        <w:ind w:left="720"/>
      </w:pPr>
      <w:hyperlink r:id="rId540" w:history="1">
        <w:r>
          <w:rPr>
            <w:color w:val="0563C1" w:themeColor="hyperlink"/>
            <w:u w:val="single"/>
          </w:rPr>
          <w:t>HRP-510 Appendix I - Neonate of Uncertain Viability</w:t>
        </w:r>
      </w:hyperlink>
    </w:p>
    <w:p w14:paraId="24852ADB" w14:textId="77777777" w:rsidR="0084704B" w:rsidRPr="0084704B" w:rsidRDefault="0084704B" w:rsidP="003E42DE">
      <w:pPr>
        <w:spacing w:after="120" w:line="276" w:lineRule="auto"/>
        <w:ind w:left="720"/>
      </w:pPr>
      <w:hyperlink r:id="rId541" w:history="1">
        <w:r>
          <w:rPr>
            <w:color w:val="0563C1" w:themeColor="hyperlink"/>
            <w:u w:val="single"/>
          </w:rPr>
          <w:t>HRP-510 Appendix J - Non-English Speaking Individuals</w:t>
        </w:r>
      </w:hyperlink>
    </w:p>
    <w:p w14:paraId="23C9DDF7" w14:textId="77777777" w:rsidR="0084704B" w:rsidRPr="0084704B" w:rsidRDefault="0084704B" w:rsidP="003E42DE">
      <w:pPr>
        <w:spacing w:after="120" w:line="276" w:lineRule="auto"/>
        <w:ind w:left="720"/>
      </w:pPr>
      <w:hyperlink r:id="rId542" w:history="1">
        <w:r>
          <w:rPr>
            <w:color w:val="0563C1" w:themeColor="hyperlink"/>
            <w:u w:val="single"/>
          </w:rPr>
          <w:t>HRP-510 Appendix K - Nonviable Neonates</w:t>
        </w:r>
      </w:hyperlink>
    </w:p>
    <w:p w14:paraId="12550E5F" w14:textId="77777777" w:rsidR="0084704B" w:rsidRPr="0084704B" w:rsidRDefault="0084704B" w:rsidP="003E42DE">
      <w:pPr>
        <w:spacing w:after="120" w:line="276" w:lineRule="auto"/>
        <w:ind w:left="720"/>
      </w:pPr>
      <w:hyperlink r:id="rId543" w:history="1">
        <w:r>
          <w:rPr>
            <w:color w:val="0563C1" w:themeColor="hyperlink"/>
            <w:u w:val="single"/>
          </w:rPr>
          <w:t>HRP-510 Appendix L - Partial Waiver of HIPAA Research Authorization</w:t>
        </w:r>
      </w:hyperlink>
    </w:p>
    <w:p w14:paraId="64150A7B" w14:textId="77777777" w:rsidR="0084704B" w:rsidRPr="0084704B" w:rsidRDefault="0084704B" w:rsidP="003E42DE">
      <w:pPr>
        <w:spacing w:after="120" w:line="276" w:lineRule="auto"/>
        <w:ind w:left="720"/>
      </w:pPr>
      <w:hyperlink r:id="rId544" w:history="1">
        <w:r>
          <w:rPr>
            <w:color w:val="0563C1" w:themeColor="hyperlink"/>
            <w:u w:val="single"/>
          </w:rPr>
          <w:t>HRP-510 Appendix M - Pregnant Women and Fetuses</w:t>
        </w:r>
      </w:hyperlink>
    </w:p>
    <w:p w14:paraId="164004D3" w14:textId="77777777" w:rsidR="0084704B" w:rsidRPr="0084704B" w:rsidRDefault="0084704B" w:rsidP="003E42DE">
      <w:pPr>
        <w:spacing w:after="120" w:line="276" w:lineRule="auto"/>
        <w:ind w:left="720"/>
      </w:pPr>
      <w:hyperlink r:id="rId545" w:history="1">
        <w:r>
          <w:rPr>
            <w:color w:val="0563C1" w:themeColor="hyperlink"/>
            <w:u w:val="single"/>
          </w:rPr>
          <w:t>HRP-510 Appen dix N - Prisoners</w:t>
        </w:r>
      </w:hyperlink>
    </w:p>
    <w:p w14:paraId="3105DAF6" w14:textId="77777777" w:rsidR="0084704B" w:rsidRPr="0084704B" w:rsidRDefault="0084704B" w:rsidP="003E42DE">
      <w:pPr>
        <w:spacing w:after="120" w:line="276" w:lineRule="auto"/>
        <w:ind w:left="720"/>
      </w:pPr>
      <w:hyperlink r:id="rId546" w:history="1">
        <w:r>
          <w:rPr>
            <w:color w:val="0563C1" w:themeColor="hyperlink"/>
            <w:u w:val="single"/>
          </w:rPr>
          <w:t>HRP-510 Appendix O - Radiation</w:t>
        </w:r>
      </w:hyperlink>
    </w:p>
    <w:p w14:paraId="48ADCDB5" w14:textId="77777777" w:rsidR="0084704B" w:rsidRPr="0084704B" w:rsidRDefault="0084704B" w:rsidP="003E42DE">
      <w:pPr>
        <w:spacing w:after="120" w:line="276" w:lineRule="auto"/>
        <w:ind w:left="720"/>
      </w:pPr>
      <w:hyperlink r:id="rId547" w:history="1">
        <w:r>
          <w:rPr>
            <w:color w:val="0563C1" w:themeColor="hyperlink"/>
            <w:u w:val="single"/>
          </w:rPr>
          <w:t>HRP-510 Appendix P - Repositories</w:t>
        </w:r>
      </w:hyperlink>
    </w:p>
    <w:p w14:paraId="4EB97763" w14:textId="77777777" w:rsidR="0084704B" w:rsidRPr="0084704B" w:rsidRDefault="0084704B" w:rsidP="003E42DE">
      <w:pPr>
        <w:spacing w:after="120" w:line="276" w:lineRule="auto"/>
        <w:ind w:left="720"/>
      </w:pPr>
      <w:hyperlink r:id="rId548" w:history="1">
        <w:r>
          <w:rPr>
            <w:color w:val="0563C1" w:themeColor="hyperlink"/>
            <w:u w:val="single"/>
          </w:rPr>
          <w:t>HRP-510 Appendix Q - Waiver of Consent &amp; Parental Permission Documentation</w:t>
        </w:r>
      </w:hyperlink>
    </w:p>
    <w:p w14:paraId="3C25FA9D" w14:textId="77777777" w:rsidR="0084704B" w:rsidRPr="0084704B" w:rsidRDefault="0084704B" w:rsidP="003E42DE">
      <w:pPr>
        <w:spacing w:after="120" w:line="276" w:lineRule="auto"/>
        <w:ind w:left="720"/>
      </w:pPr>
      <w:hyperlink r:id="rId549" w:history="1">
        <w:r>
          <w:rPr>
            <w:color w:val="0563C1" w:themeColor="hyperlink"/>
            <w:u w:val="single"/>
          </w:rPr>
          <w:t>HRP-510 Appendix R - Waiver of Parental Permission Process</w:t>
        </w:r>
      </w:hyperlink>
    </w:p>
    <w:p w14:paraId="180C3739" w14:textId="77777777" w:rsidR="0084704B" w:rsidRPr="0084704B" w:rsidRDefault="0084704B" w:rsidP="003E42DE">
      <w:pPr>
        <w:spacing w:after="120" w:line="276" w:lineRule="auto"/>
        <w:ind w:left="720"/>
      </w:pPr>
      <w:hyperlink r:id="rId550" w:history="1">
        <w:r>
          <w:rPr>
            <w:color w:val="0563C1" w:themeColor="hyperlink"/>
            <w:u w:val="single"/>
          </w:rPr>
          <w:t>HRP-510 Appendix S - Waiver or Alteration of Informed Consent Process</w:t>
        </w:r>
      </w:hyperlink>
    </w:p>
    <w:p w14:paraId="27AF458C" w14:textId="77777777" w:rsidR="0084704B" w:rsidRPr="0084704B" w:rsidRDefault="0084704B" w:rsidP="003E42DE">
      <w:pPr>
        <w:spacing w:after="120" w:line="276" w:lineRule="auto"/>
        <w:ind w:left="720"/>
      </w:pPr>
      <w:hyperlink r:id="rId551" w:history="1">
        <w:r>
          <w:rPr>
            <w:color w:val="0563C1" w:themeColor="hyperlink"/>
            <w:u w:val="single"/>
          </w:rPr>
          <w:t>HRP-510 Appendix T - Exempt Research</w:t>
        </w:r>
      </w:hyperlink>
    </w:p>
    <w:p w14:paraId="0A0BDC69" w14:textId="77777777" w:rsidR="0084704B" w:rsidRPr="0084704B" w:rsidRDefault="0084704B" w:rsidP="003E42DE">
      <w:pPr>
        <w:spacing w:after="120" w:line="276" w:lineRule="auto"/>
        <w:ind w:left="720"/>
      </w:pPr>
      <w:hyperlink r:id="rId552" w:history="1">
        <w:r>
          <w:rPr>
            <w:color w:val="0563C1" w:themeColor="hyperlink"/>
            <w:u w:val="single"/>
          </w:rPr>
          <w:t>HRP-510 Appendix U - Drugs</w:t>
        </w:r>
      </w:hyperlink>
    </w:p>
    <w:p w14:paraId="041365BD" w14:textId="77777777" w:rsidR="0084704B" w:rsidRPr="0084704B" w:rsidRDefault="0084704B" w:rsidP="003E42DE">
      <w:pPr>
        <w:spacing w:after="120" w:line="276" w:lineRule="auto"/>
        <w:ind w:left="720"/>
      </w:pPr>
      <w:hyperlink r:id="rId553" w:history="1">
        <w:r>
          <w:rPr>
            <w:color w:val="0563C1" w:themeColor="hyperlink"/>
            <w:u w:val="single"/>
          </w:rPr>
          <w:t>HRP-510 Appendix V - Devices</w:t>
        </w:r>
      </w:hyperlink>
    </w:p>
    <w:p w14:paraId="7732C2F9" w14:textId="77777777" w:rsidR="0084704B" w:rsidRPr="0084704B" w:rsidRDefault="0084704B" w:rsidP="003E42DE">
      <w:pPr>
        <w:spacing w:after="120" w:line="276" w:lineRule="auto"/>
        <w:ind w:left="720"/>
      </w:pPr>
      <w:hyperlink r:id="rId554" w:history="1">
        <w:r>
          <w:rPr>
            <w:color w:val="0563C1" w:themeColor="hyperlink"/>
            <w:u w:val="single"/>
          </w:rPr>
          <w:t>HRP-530 Combined Consent and Authorization Template_BBC</w:t>
        </w:r>
      </w:hyperlink>
    </w:p>
    <w:p w14:paraId="716EB6F3" w14:textId="77777777" w:rsidR="0084704B" w:rsidRPr="0084704B" w:rsidRDefault="0084704B" w:rsidP="003E42DE">
      <w:pPr>
        <w:spacing w:after="120" w:line="276" w:lineRule="auto"/>
        <w:ind w:left="720"/>
      </w:pPr>
      <w:hyperlink r:id="rId555" w:history="1">
        <w:r>
          <w:rPr>
            <w:color w:val="0563C1" w:themeColor="hyperlink"/>
            <w:u w:val="single"/>
          </w:rPr>
          <w:t>HRP-531 Consent Template_BC</w:t>
        </w:r>
      </w:hyperlink>
    </w:p>
    <w:p w14:paraId="3F6D8914" w14:textId="77777777" w:rsidR="0084704B" w:rsidRPr="0084704B" w:rsidRDefault="0084704B" w:rsidP="003E42DE">
      <w:pPr>
        <w:spacing w:after="120" w:line="276" w:lineRule="auto"/>
        <w:ind w:left="720"/>
      </w:pPr>
      <w:hyperlink r:id="rId556" w:history="1">
        <w:r>
          <w:rPr>
            <w:color w:val="0563C1" w:themeColor="hyperlink"/>
            <w:u w:val="single"/>
          </w:rPr>
          <w:t>HRP-532 Consent-Template_BSS</w:t>
        </w:r>
      </w:hyperlink>
    </w:p>
    <w:p w14:paraId="6830A765" w14:textId="77777777" w:rsidR="0084704B" w:rsidRPr="0084704B" w:rsidRDefault="0084704B" w:rsidP="003E42DE">
      <w:pPr>
        <w:spacing w:after="120" w:line="276" w:lineRule="auto"/>
        <w:ind w:left="720"/>
      </w:pPr>
      <w:hyperlink r:id="rId557" w:history="1">
        <w:r>
          <w:rPr>
            <w:color w:val="0563C1" w:themeColor="hyperlink"/>
            <w:u w:val="single"/>
          </w:rPr>
          <w:t>HRP-533 ICF - Verbal Script Template</w:t>
        </w:r>
      </w:hyperlink>
    </w:p>
    <w:p w14:paraId="2D92B372" w14:textId="77777777" w:rsidR="0084704B" w:rsidRPr="0084704B" w:rsidRDefault="0084704B" w:rsidP="003E42DE">
      <w:pPr>
        <w:spacing w:after="120" w:line="276" w:lineRule="auto"/>
        <w:ind w:left="720"/>
      </w:pPr>
      <w:hyperlink r:id="rId558" w:history="1">
        <w:r>
          <w:rPr>
            <w:color w:val="0563C1" w:themeColor="hyperlink"/>
            <w:u w:val="single"/>
          </w:rPr>
          <w:t>HRP-534 Consent Addendum Template</w:t>
        </w:r>
      </w:hyperlink>
    </w:p>
    <w:p w14:paraId="6FFAE983" w14:textId="77777777" w:rsidR="0084704B" w:rsidRPr="0084704B" w:rsidRDefault="0084704B" w:rsidP="003E42DE">
      <w:pPr>
        <w:spacing w:after="120" w:line="276" w:lineRule="auto"/>
        <w:ind w:left="720"/>
      </w:pPr>
      <w:hyperlink r:id="rId559" w:history="1">
        <w:r>
          <w:rPr>
            <w:color w:val="0563C1" w:themeColor="hyperlink"/>
            <w:u w:val="single"/>
          </w:rPr>
          <w:t>HRP-535 Consent-Template_Exempt</w:t>
        </w:r>
      </w:hyperlink>
    </w:p>
    <w:p w14:paraId="07DD4346" w14:textId="77777777" w:rsidR="0084704B" w:rsidRPr="0084704B" w:rsidRDefault="0084704B" w:rsidP="003E42DE">
      <w:pPr>
        <w:spacing w:after="120" w:line="276" w:lineRule="auto"/>
        <w:ind w:left="720"/>
      </w:pPr>
      <w:hyperlink r:id="rId560" w:history="1">
        <w:r>
          <w:rPr>
            <w:color w:val="0563C1" w:themeColor="hyperlink"/>
            <w:u w:val="single"/>
          </w:rPr>
          <w:t>HRP-536 Consent-Template-Online_Exempt</w:t>
        </w:r>
      </w:hyperlink>
    </w:p>
    <w:p w14:paraId="4E6A917F" w14:textId="77777777" w:rsidR="0084704B" w:rsidRPr="0084704B" w:rsidRDefault="0084704B" w:rsidP="003E42DE">
      <w:pPr>
        <w:spacing w:after="120" w:line="276" w:lineRule="auto"/>
        <w:ind w:left="720"/>
      </w:pPr>
      <w:hyperlink r:id="rId561" w:history="1">
        <w:r>
          <w:rPr>
            <w:color w:val="0563C1" w:themeColor="hyperlink"/>
            <w:u w:val="single"/>
          </w:rPr>
          <w:t>HRP-537 Example-Online-Consent-Script</w:t>
        </w:r>
      </w:hyperlink>
    </w:p>
    <w:p w14:paraId="695C9066" w14:textId="77777777" w:rsidR="0084704B" w:rsidRPr="0084704B" w:rsidRDefault="0084704B" w:rsidP="003E42DE">
      <w:pPr>
        <w:spacing w:after="120" w:line="276" w:lineRule="auto"/>
        <w:ind w:left="720"/>
      </w:pPr>
      <w:hyperlink r:id="rId562" w:history="1">
        <w:r>
          <w:rPr>
            <w:color w:val="0563C1" w:themeColor="hyperlink"/>
            <w:u w:val="single"/>
          </w:rPr>
          <w:t>HRP-538 Parental Permission Template Combined HIPAA_BBC</w:t>
        </w:r>
      </w:hyperlink>
    </w:p>
    <w:p w14:paraId="1F1C7C0A" w14:textId="77777777" w:rsidR="0084704B" w:rsidRPr="0084704B" w:rsidRDefault="0084704B" w:rsidP="003E42DE">
      <w:pPr>
        <w:spacing w:after="120" w:line="276" w:lineRule="auto"/>
        <w:ind w:left="720"/>
      </w:pPr>
      <w:hyperlink r:id="rId563" w:history="1">
        <w:r>
          <w:rPr>
            <w:color w:val="0563C1" w:themeColor="hyperlink"/>
            <w:u w:val="single"/>
          </w:rPr>
          <w:t>HRP-539 Parental Permission Template_BC</w:t>
        </w:r>
      </w:hyperlink>
    </w:p>
    <w:p w14:paraId="22CF3D16" w14:textId="77777777" w:rsidR="0084704B" w:rsidRPr="0084704B" w:rsidRDefault="0084704B" w:rsidP="003E42DE">
      <w:pPr>
        <w:spacing w:after="120" w:line="276" w:lineRule="auto"/>
        <w:ind w:left="720"/>
      </w:pPr>
      <w:hyperlink r:id="rId564" w:history="1">
        <w:r>
          <w:rPr>
            <w:color w:val="0563C1" w:themeColor="hyperlink"/>
            <w:u w:val="single"/>
          </w:rPr>
          <w:t>HRP-540 Parental-Permission Template_BSS</w:t>
        </w:r>
      </w:hyperlink>
    </w:p>
    <w:p w14:paraId="03674A57" w14:textId="77777777" w:rsidR="0084704B" w:rsidRPr="0084704B" w:rsidRDefault="0084704B" w:rsidP="003E42DE">
      <w:pPr>
        <w:spacing w:after="120" w:line="276" w:lineRule="auto"/>
        <w:ind w:left="720"/>
      </w:pPr>
      <w:hyperlink r:id="rId565" w:history="1">
        <w:r>
          <w:rPr>
            <w:color w:val="0563C1" w:themeColor="hyperlink"/>
            <w:u w:val="single"/>
          </w:rPr>
          <w:t>HRP-541 Assent Template_BC</w:t>
        </w:r>
      </w:hyperlink>
    </w:p>
    <w:p w14:paraId="2C9B9AD0" w14:textId="77777777" w:rsidR="0084704B" w:rsidRPr="0084704B" w:rsidRDefault="0084704B" w:rsidP="003E42DE">
      <w:pPr>
        <w:spacing w:after="120" w:line="276" w:lineRule="auto"/>
        <w:ind w:left="720"/>
      </w:pPr>
      <w:hyperlink r:id="rId566" w:history="1">
        <w:r>
          <w:rPr>
            <w:color w:val="0563C1" w:themeColor="hyperlink"/>
            <w:u w:val="single"/>
          </w:rPr>
          <w:t>HRP-542 Assent Template_BSS</w:t>
        </w:r>
      </w:hyperlink>
    </w:p>
    <w:p w14:paraId="688EE1AC" w14:textId="77777777" w:rsidR="0084704B" w:rsidRPr="0084704B" w:rsidRDefault="0084704B" w:rsidP="003E42DE">
      <w:pPr>
        <w:spacing w:after="120" w:line="276" w:lineRule="auto"/>
        <w:ind w:left="720"/>
      </w:pPr>
      <w:hyperlink r:id="rId567" w:history="1">
        <w:r>
          <w:rPr>
            <w:color w:val="0563C1" w:themeColor="hyperlink"/>
            <w:u w:val="single"/>
          </w:rPr>
          <w:t>HRP-543 Sample Contact Information Card</w:t>
        </w:r>
      </w:hyperlink>
    </w:p>
    <w:p w14:paraId="4C746198" w14:textId="77777777" w:rsidR="0084704B" w:rsidRPr="0084704B" w:rsidRDefault="0084704B" w:rsidP="003E42DE">
      <w:pPr>
        <w:spacing w:after="120" w:line="276" w:lineRule="auto"/>
        <w:ind w:left="720"/>
      </w:pPr>
      <w:hyperlink r:id="rId568" w:history="1">
        <w:r>
          <w:rPr>
            <w:color w:val="0563C1" w:themeColor="hyperlink"/>
            <w:u w:val="single"/>
          </w:rPr>
          <w:t>HRP-544 Short Form Consent Template_English</w:t>
        </w:r>
      </w:hyperlink>
    </w:p>
    <w:p w14:paraId="27D0E374" w14:textId="77777777" w:rsidR="0084704B" w:rsidRPr="0084704B" w:rsidRDefault="0084704B" w:rsidP="003E42DE">
      <w:pPr>
        <w:spacing w:after="120" w:line="276" w:lineRule="auto"/>
        <w:ind w:left="720"/>
      </w:pPr>
      <w:hyperlink r:id="rId569" w:history="1">
        <w:r>
          <w:rPr>
            <w:color w:val="0563C1" w:themeColor="hyperlink"/>
            <w:u w:val="single"/>
          </w:rPr>
          <w:t>HRP-544a Short Form Consent Template_English FINAL-Ara</w:t>
        </w:r>
      </w:hyperlink>
    </w:p>
    <w:p w14:paraId="13B2ADD0" w14:textId="77777777" w:rsidR="0084704B" w:rsidRPr="0084704B" w:rsidRDefault="0084704B" w:rsidP="003E42DE">
      <w:pPr>
        <w:spacing w:after="120" w:line="276" w:lineRule="auto"/>
        <w:ind w:left="720"/>
      </w:pPr>
      <w:hyperlink r:id="rId570" w:history="1">
        <w:r>
          <w:rPr>
            <w:color w:val="0563C1" w:themeColor="hyperlink"/>
            <w:u w:val="single"/>
          </w:rPr>
          <w:t>HRP-544b Short Form Consent Template_English FINAL-Cebuano</w:t>
        </w:r>
      </w:hyperlink>
    </w:p>
    <w:p w14:paraId="48C2C1C7" w14:textId="77777777" w:rsidR="0084704B" w:rsidRPr="0084704B" w:rsidRDefault="0084704B" w:rsidP="003E42DE">
      <w:pPr>
        <w:spacing w:after="120" w:line="276" w:lineRule="auto"/>
        <w:ind w:left="720"/>
      </w:pPr>
      <w:hyperlink r:id="rId571" w:history="1">
        <w:r>
          <w:rPr>
            <w:color w:val="0563C1" w:themeColor="hyperlink"/>
            <w:u w:val="single"/>
          </w:rPr>
          <w:t>HRP-544c Short Form Consent Template_English FINAL-French</w:t>
        </w:r>
      </w:hyperlink>
    </w:p>
    <w:p w14:paraId="7290D87D" w14:textId="77777777" w:rsidR="0084704B" w:rsidRPr="0084704B" w:rsidRDefault="0084704B" w:rsidP="003E42DE">
      <w:pPr>
        <w:spacing w:after="120" w:line="276" w:lineRule="auto"/>
        <w:ind w:left="720"/>
      </w:pPr>
      <w:hyperlink r:id="rId572" w:history="1">
        <w:r>
          <w:rPr>
            <w:color w:val="0563C1" w:themeColor="hyperlink"/>
            <w:u w:val="single"/>
          </w:rPr>
          <w:t>HRP-544d Short Form Consent Template_English FINAL-Ger</w:t>
        </w:r>
      </w:hyperlink>
    </w:p>
    <w:p w14:paraId="39CE3483" w14:textId="77777777" w:rsidR="0084704B" w:rsidRPr="0084704B" w:rsidRDefault="0084704B" w:rsidP="003E42DE">
      <w:pPr>
        <w:spacing w:after="120" w:line="276" w:lineRule="auto"/>
        <w:ind w:left="720"/>
      </w:pPr>
      <w:hyperlink r:id="rId573" w:history="1">
        <w:r>
          <w:rPr>
            <w:color w:val="0563C1" w:themeColor="hyperlink"/>
            <w:u w:val="single"/>
          </w:rPr>
          <w:t>HRP-544e Short Form Consent Template_English FINAL-Jpn</w:t>
        </w:r>
      </w:hyperlink>
    </w:p>
    <w:p w14:paraId="36C15E3B" w14:textId="77777777" w:rsidR="0084704B" w:rsidRPr="0084704B" w:rsidRDefault="0084704B" w:rsidP="003E42DE">
      <w:pPr>
        <w:spacing w:after="120" w:line="276" w:lineRule="auto"/>
        <w:ind w:left="720"/>
      </w:pPr>
      <w:hyperlink r:id="rId574" w:history="1">
        <w:r>
          <w:rPr>
            <w:color w:val="0563C1" w:themeColor="hyperlink"/>
            <w:u w:val="single"/>
          </w:rPr>
          <w:t>HRP-544f Short Form Consent Template_English FINAL-Khmer</w:t>
        </w:r>
      </w:hyperlink>
    </w:p>
    <w:p w14:paraId="3348D2B4" w14:textId="574E6389" w:rsidR="0084704B" w:rsidRPr="0084704B" w:rsidRDefault="0084704B" w:rsidP="003E42DE">
      <w:pPr>
        <w:spacing w:after="120" w:line="276" w:lineRule="auto"/>
        <w:ind w:left="720"/>
      </w:pPr>
      <w:hyperlink r:id="rId575" w:history="1">
        <w:r>
          <w:rPr>
            <w:color w:val="0563C1" w:themeColor="hyperlink"/>
            <w:u w:val="single"/>
          </w:rPr>
          <w:t>HRP-544g Short</w:t>
        </w:r>
        <w:r w:rsidR="003E42DE">
          <w:rPr>
            <w:color w:val="0563C1" w:themeColor="hyperlink"/>
            <w:u w:val="single"/>
          </w:rPr>
          <w:t xml:space="preserve"> </w:t>
        </w:r>
        <w:r>
          <w:rPr>
            <w:color w:val="0563C1" w:themeColor="hyperlink"/>
            <w:u w:val="single"/>
          </w:rPr>
          <w:t>Form</w:t>
        </w:r>
        <w:r w:rsidR="003E42DE">
          <w:rPr>
            <w:color w:val="0563C1" w:themeColor="hyperlink"/>
            <w:u w:val="single"/>
          </w:rPr>
          <w:t xml:space="preserve"> </w:t>
        </w:r>
        <w:r>
          <w:rPr>
            <w:color w:val="0563C1" w:themeColor="hyperlink"/>
            <w:u w:val="single"/>
          </w:rPr>
          <w:t>Consen</w:t>
        </w:r>
        <w:r w:rsidR="003E42DE">
          <w:rPr>
            <w:color w:val="0563C1" w:themeColor="hyperlink"/>
            <w:u w:val="single"/>
          </w:rPr>
          <w:t xml:space="preserve">t </w:t>
        </w:r>
        <w:r>
          <w:rPr>
            <w:color w:val="0563C1" w:themeColor="hyperlink"/>
            <w:u w:val="single"/>
          </w:rPr>
          <w:t>Template_English FINAL-Korean</w:t>
        </w:r>
      </w:hyperlink>
    </w:p>
    <w:p w14:paraId="0BC811FE" w14:textId="77777777" w:rsidR="0084704B" w:rsidRPr="0084704B" w:rsidRDefault="0084704B" w:rsidP="003E42DE">
      <w:pPr>
        <w:spacing w:after="120" w:line="276" w:lineRule="auto"/>
        <w:ind w:left="720"/>
      </w:pPr>
      <w:hyperlink r:id="rId576" w:history="1">
        <w:r>
          <w:rPr>
            <w:color w:val="0563C1" w:themeColor="hyperlink"/>
            <w:u w:val="single"/>
          </w:rPr>
          <w:t>HRP-544h Short Form Consent Template_English FINAL-Lao</w:t>
        </w:r>
      </w:hyperlink>
    </w:p>
    <w:p w14:paraId="15670582" w14:textId="77777777" w:rsidR="0084704B" w:rsidRPr="0084704B" w:rsidRDefault="0084704B" w:rsidP="003E42DE">
      <w:pPr>
        <w:spacing w:after="120" w:line="276" w:lineRule="auto"/>
        <w:ind w:left="720"/>
      </w:pPr>
      <w:hyperlink r:id="rId577" w:history="1">
        <w:r>
          <w:rPr>
            <w:color w:val="0563C1" w:themeColor="hyperlink"/>
            <w:u w:val="single"/>
          </w:rPr>
          <w:t>HRP-544i Short Form Consent Template_English FINAL-Nepali</w:t>
        </w:r>
      </w:hyperlink>
    </w:p>
    <w:p w14:paraId="2C4B039A" w14:textId="77777777" w:rsidR="0084704B" w:rsidRPr="0084704B" w:rsidRDefault="0084704B" w:rsidP="003E42DE">
      <w:pPr>
        <w:spacing w:after="120" w:line="276" w:lineRule="auto"/>
        <w:ind w:left="720"/>
        <w:rPr>
          <w:color w:val="0563C1" w:themeColor="hyperlink"/>
          <w:u w:val="single"/>
        </w:rPr>
      </w:pPr>
      <w:r>
        <w:fldChar w:fldCharType="begin"/>
      </w:r>
      <w:r>
        <w:instrText>HYPERLINK "https://osuirb.huronresearchsuite.com/IRB/sd/Doc/0/J8UJ9FNRI88UUCKFCTLOULIG00/HRP-544j%20ShortFormConsentTemplate_English%20%20FINAL-Ru.rtf"</w:instrText>
      </w:r>
      <w:r>
        <w:fldChar w:fldCharType="separate"/>
      </w:r>
      <w:r>
        <w:rPr>
          <w:color w:val="0563C1" w:themeColor="hyperlink"/>
          <w:u w:val="single"/>
        </w:rPr>
        <w:t>HRP-544j Short Form Consent Template_English FINAL-Ru</w:t>
      </w:r>
    </w:p>
    <w:p w14:paraId="54D5E756" w14:textId="77777777" w:rsidR="0084704B" w:rsidRPr="0084704B" w:rsidRDefault="0084704B" w:rsidP="003E42DE">
      <w:pPr>
        <w:spacing w:after="120" w:line="276" w:lineRule="auto"/>
        <w:ind w:left="720"/>
      </w:pPr>
      <w:r>
        <w:fldChar w:fldCharType="end"/>
      </w:r>
      <w:hyperlink r:id="rId578" w:history="1">
        <w:r>
          <w:rPr>
            <w:color w:val="0563C1" w:themeColor="hyperlink"/>
            <w:u w:val="single"/>
          </w:rPr>
          <w:t>HRP-544k Short Form Consent Template_English FINAL-SiChi</w:t>
        </w:r>
      </w:hyperlink>
    </w:p>
    <w:p w14:paraId="2D18B785" w14:textId="77777777" w:rsidR="0084704B" w:rsidRPr="0084704B" w:rsidRDefault="0084704B" w:rsidP="003E42DE">
      <w:pPr>
        <w:spacing w:after="120" w:line="276" w:lineRule="auto"/>
        <w:ind w:left="720"/>
      </w:pPr>
      <w:hyperlink r:id="rId579" w:history="1">
        <w:r>
          <w:rPr>
            <w:color w:val="0563C1" w:themeColor="hyperlink"/>
            <w:u w:val="single"/>
          </w:rPr>
          <w:t>HRP-544l Short Form Consent Template_English FINAL-Som</w:t>
        </w:r>
      </w:hyperlink>
    </w:p>
    <w:p w14:paraId="284524A9" w14:textId="77777777" w:rsidR="0084704B" w:rsidRPr="0084704B" w:rsidRDefault="0084704B" w:rsidP="003E42DE">
      <w:pPr>
        <w:spacing w:after="120" w:line="276" w:lineRule="auto"/>
        <w:ind w:left="720"/>
      </w:pPr>
      <w:hyperlink r:id="rId580" w:history="1">
        <w:r>
          <w:rPr>
            <w:color w:val="0563C1" w:themeColor="hyperlink"/>
            <w:u w:val="single"/>
          </w:rPr>
          <w:t>HRP-544m Short Form Consent Template_English FINAL-Sp</w:t>
        </w:r>
      </w:hyperlink>
    </w:p>
    <w:p w14:paraId="7F9C3BD6" w14:textId="77777777" w:rsidR="0084704B" w:rsidRPr="0084704B" w:rsidRDefault="0084704B" w:rsidP="003E42DE">
      <w:pPr>
        <w:spacing w:after="120" w:line="276" w:lineRule="auto"/>
        <w:ind w:left="720"/>
      </w:pPr>
      <w:hyperlink r:id="rId581" w:history="1">
        <w:r>
          <w:rPr>
            <w:color w:val="0563C1" w:themeColor="hyperlink"/>
            <w:u w:val="single"/>
          </w:rPr>
          <w:t>HRP-544n Short Form Consent Template_English FINAL-Swa</w:t>
        </w:r>
      </w:hyperlink>
    </w:p>
    <w:p w14:paraId="27B075C8" w14:textId="77777777" w:rsidR="0084704B" w:rsidRPr="0084704B" w:rsidRDefault="0084704B" w:rsidP="003E42DE">
      <w:pPr>
        <w:spacing w:after="120" w:line="276" w:lineRule="auto"/>
        <w:ind w:left="720"/>
      </w:pPr>
      <w:hyperlink r:id="rId582" w:history="1">
        <w:r>
          <w:rPr>
            <w:color w:val="0563C1" w:themeColor="hyperlink"/>
            <w:u w:val="single"/>
          </w:rPr>
          <w:t>HRP-544o Short Form Consent Template_English FINAL-TrChi</w:t>
        </w:r>
      </w:hyperlink>
    </w:p>
    <w:p w14:paraId="37A34902" w14:textId="77777777" w:rsidR="0084704B" w:rsidRPr="0084704B" w:rsidRDefault="0084704B" w:rsidP="003E42DE">
      <w:pPr>
        <w:spacing w:after="120" w:line="276" w:lineRule="auto"/>
        <w:ind w:left="720"/>
      </w:pPr>
      <w:hyperlink r:id="rId583" w:history="1">
        <w:r>
          <w:rPr>
            <w:color w:val="0563C1" w:themeColor="hyperlink"/>
            <w:u w:val="single"/>
          </w:rPr>
          <w:t>HRP-544p Short Form Consent Template_English FINAL-Vietnamese</w:t>
        </w:r>
      </w:hyperlink>
    </w:p>
    <w:p w14:paraId="0E3492EB" w14:textId="77777777" w:rsidR="0084704B" w:rsidRPr="0084704B" w:rsidRDefault="0084704B" w:rsidP="003E42DE">
      <w:pPr>
        <w:spacing w:after="120" w:line="276" w:lineRule="auto"/>
        <w:ind w:left="720"/>
      </w:pPr>
      <w:hyperlink r:id="rId584" w:history="1">
        <w:r>
          <w:rPr>
            <w:color w:val="0563C1" w:themeColor="hyperlink"/>
            <w:u w:val="single"/>
          </w:rPr>
          <w:t>HRP-544q Short Form Consent Template_English FINAL_Kin</w:t>
        </w:r>
      </w:hyperlink>
    </w:p>
    <w:p w14:paraId="11F4F5E6" w14:textId="77777777" w:rsidR="0084704B" w:rsidRPr="0084704B" w:rsidRDefault="0084704B" w:rsidP="003E42DE">
      <w:pPr>
        <w:spacing w:after="120" w:line="276" w:lineRule="auto"/>
        <w:ind w:left="720"/>
      </w:pPr>
      <w:hyperlink r:id="rId585" w:history="1">
        <w:r>
          <w:rPr>
            <w:color w:val="0563C1" w:themeColor="hyperlink"/>
            <w:u w:val="single"/>
          </w:rPr>
          <w:t>HRP-545 HIPAA Research Authorization Form</w:t>
        </w:r>
      </w:hyperlink>
    </w:p>
    <w:p w14:paraId="7D8A38B1" w14:textId="77777777" w:rsidR="0084704B" w:rsidRPr="0084704B" w:rsidRDefault="0084704B" w:rsidP="003E42DE">
      <w:pPr>
        <w:spacing w:after="120" w:line="276" w:lineRule="auto"/>
        <w:ind w:left="720"/>
      </w:pPr>
      <w:hyperlink r:id="rId586" w:history="1">
        <w:r>
          <w:rPr>
            <w:color w:val="0563C1" w:themeColor="hyperlink"/>
            <w:u w:val="single"/>
          </w:rPr>
          <w:t>HRP-546 HIPAA Auth Instructions</w:t>
        </w:r>
      </w:hyperlink>
    </w:p>
    <w:p w14:paraId="3AADCAB9" w14:textId="77777777" w:rsidR="0084704B" w:rsidRPr="0084704B" w:rsidRDefault="0084704B" w:rsidP="003E42DE">
      <w:pPr>
        <w:spacing w:after="120" w:line="276" w:lineRule="auto"/>
        <w:ind w:left="720"/>
      </w:pPr>
      <w:hyperlink r:id="rId587" w:history="1">
        <w:r>
          <w:rPr>
            <w:color w:val="0563C1" w:themeColor="hyperlink"/>
            <w:u w:val="single"/>
          </w:rPr>
          <w:t>HRP-550 Guidance for Combined-Consent-and-HIPAA Template</w:t>
        </w:r>
      </w:hyperlink>
    </w:p>
    <w:p w14:paraId="3846EEC1" w14:textId="77777777" w:rsidR="0084704B" w:rsidRPr="0084704B" w:rsidRDefault="0084704B" w:rsidP="003E42DE">
      <w:pPr>
        <w:spacing w:after="120" w:line="276" w:lineRule="auto"/>
        <w:ind w:left="720"/>
      </w:pPr>
      <w:hyperlink r:id="rId588" w:history="1">
        <w:r>
          <w:rPr>
            <w:color w:val="0563C1" w:themeColor="hyperlink"/>
            <w:u w:val="single"/>
          </w:rPr>
          <w:t>HRP-551 Guidance for Consent Templates BC</w:t>
        </w:r>
      </w:hyperlink>
    </w:p>
    <w:p w14:paraId="144229E6" w14:textId="77777777" w:rsidR="0084704B" w:rsidRPr="0084704B" w:rsidRDefault="0084704B" w:rsidP="003E42DE">
      <w:pPr>
        <w:spacing w:after="120" w:line="276" w:lineRule="auto"/>
        <w:ind w:left="720"/>
      </w:pPr>
      <w:hyperlink r:id="rId589" w:history="1">
        <w:r>
          <w:rPr>
            <w:color w:val="0563C1" w:themeColor="hyperlink"/>
            <w:u w:val="single"/>
          </w:rPr>
          <w:t>HRP-552 GuidanceforConsentTemplates_BSS</w:t>
        </w:r>
      </w:hyperlink>
    </w:p>
    <w:p w14:paraId="494E107B" w14:textId="77777777" w:rsidR="0084704B" w:rsidRDefault="0084704B" w:rsidP="003E42DE">
      <w:pPr>
        <w:spacing w:after="120" w:line="276" w:lineRule="auto"/>
        <w:ind w:left="720"/>
      </w:pPr>
      <w:hyperlink r:id="rId590" w:history="1">
        <w:r>
          <w:rPr>
            <w:color w:val="0563C1" w:themeColor="hyperlink"/>
            <w:u w:val="single"/>
          </w:rPr>
          <w:t>HRP-553 GuidanceforConsentTemplates_Exempt</w:t>
        </w:r>
      </w:hyperlink>
    </w:p>
    <w:p w14:paraId="52DB13CD" w14:textId="77777777" w:rsidR="009C5B3E" w:rsidRDefault="009C5B3E" w:rsidP="003E42DE">
      <w:pPr>
        <w:spacing w:after="120" w:line="276" w:lineRule="auto"/>
        <w:ind w:left="720"/>
      </w:pPr>
      <w:hyperlink r:id="rId591" w:history="1">
        <w:r>
          <w:rPr>
            <w:rStyle w:val="Hyperlink"/>
          </w:rPr>
          <w:t>HRP-811 - FORM - Basic Site Information</w:t>
        </w:r>
      </w:hyperlink>
    </w:p>
    <w:p w14:paraId="39938680" w14:textId="77777777" w:rsidR="009C5B3E" w:rsidRDefault="009C5B3E" w:rsidP="003E42DE">
      <w:pPr>
        <w:spacing w:after="120" w:line="276" w:lineRule="auto"/>
        <w:ind w:left="720"/>
      </w:pPr>
      <w:hyperlink r:id="rId592" w:history="1">
        <w:r>
          <w:rPr>
            <w:rStyle w:val="Hyperlink"/>
          </w:rPr>
          <w:t>HRP-812 - FORM - Site Continuing Review</w:t>
        </w:r>
      </w:hyperlink>
    </w:p>
    <w:p w14:paraId="6B9BACF8" w14:textId="77777777" w:rsidR="009C5B3E" w:rsidRDefault="009C5B3E" w:rsidP="003E42DE">
      <w:pPr>
        <w:spacing w:after="120" w:line="276" w:lineRule="auto"/>
        <w:ind w:left="720"/>
      </w:pPr>
      <w:hyperlink r:id="rId593" w:history="1">
        <w:r>
          <w:rPr>
            <w:rStyle w:val="Hyperlink"/>
          </w:rPr>
          <w:t>HRP-813 - FORM - Site Modification</w:t>
        </w:r>
      </w:hyperlink>
    </w:p>
    <w:p w14:paraId="4E47A971" w14:textId="77777777" w:rsidR="009C5B3E" w:rsidRDefault="009C5B3E" w:rsidP="003E42DE">
      <w:pPr>
        <w:spacing w:after="120" w:line="276" w:lineRule="auto"/>
        <w:ind w:left="720"/>
      </w:pPr>
      <w:hyperlink r:id="rId594" w:history="1">
        <w:r>
          <w:rPr>
            <w:rStyle w:val="Hyperlink"/>
          </w:rPr>
          <w:t>HRP-814 - FORM - Site Reportable New Information</w:t>
        </w:r>
      </w:hyperlink>
    </w:p>
    <w:p w14:paraId="2E3C3DED" w14:textId="77777777" w:rsidR="009C5B3E" w:rsidRPr="0084704B" w:rsidRDefault="009C5B3E" w:rsidP="003E42DE">
      <w:pPr>
        <w:spacing w:after="120" w:line="276" w:lineRule="auto"/>
        <w:ind w:left="720"/>
      </w:pPr>
      <w:hyperlink r:id="rId595" w:history="1">
        <w:r>
          <w:rPr>
            <w:rStyle w:val="Hyperlink"/>
          </w:rPr>
          <w:t>HRP-815 - FORM - Institutional Profile</w:t>
        </w:r>
      </w:hyperlink>
    </w:p>
    <w:p w14:paraId="582079D3" w14:textId="77777777" w:rsidR="0084704B" w:rsidRDefault="009C5B3E" w:rsidP="003E42DE">
      <w:pPr>
        <w:spacing w:after="120" w:line="276" w:lineRule="auto"/>
        <w:ind w:left="1008" w:hanging="288"/>
        <w:rPr>
          <w:szCs w:val="20"/>
        </w:rPr>
      </w:pPr>
      <w:hyperlink r:id="rId596" w:history="1">
        <w:r>
          <w:rPr>
            <w:rStyle w:val="Hyperlink"/>
            <w:szCs w:val="20"/>
          </w:rPr>
          <w:t>HRP-816 - FORM - External IRB Study Update 4.28.2025</w:t>
        </w:r>
      </w:hyperlink>
    </w:p>
    <w:p w14:paraId="70EE6D7D" w14:textId="77777777" w:rsidR="009C5B3E" w:rsidRDefault="009C5B3E" w:rsidP="003E42DE">
      <w:pPr>
        <w:spacing w:after="120" w:line="276" w:lineRule="auto"/>
        <w:ind w:left="1008" w:hanging="288"/>
        <w:rPr>
          <w:szCs w:val="20"/>
        </w:rPr>
      </w:pPr>
      <w:hyperlink r:id="rId597" w:history="1">
        <w:r>
          <w:rPr>
            <w:rStyle w:val="Hyperlink"/>
            <w:szCs w:val="20"/>
          </w:rPr>
          <w:t>HRP-834 - NCI CIRB Consent Guidance - OSU Boilerplate-language_English</w:t>
        </w:r>
      </w:hyperlink>
    </w:p>
    <w:p w14:paraId="05EB4C73" w14:textId="77777777" w:rsidR="009C5B3E" w:rsidRPr="0084704B" w:rsidRDefault="009C5B3E" w:rsidP="003E42DE">
      <w:pPr>
        <w:spacing w:after="120" w:line="276" w:lineRule="auto"/>
        <w:ind w:left="1008" w:hanging="288"/>
        <w:rPr>
          <w:szCs w:val="20"/>
        </w:rPr>
      </w:pPr>
      <w:hyperlink r:id="rId598" w:history="1">
        <w:r>
          <w:rPr>
            <w:rStyle w:val="Hyperlink"/>
            <w:szCs w:val="20"/>
          </w:rPr>
          <w:t>HRP-835 - NCI CIRB Consent Guidance - OSU Boilerplate-language_Spanish 7.20.2023</w:t>
        </w:r>
      </w:hyperlink>
    </w:p>
    <w:p w14:paraId="2EE08AF4" w14:textId="77777777" w:rsidR="35DA8075" w:rsidRPr="003F5675" w:rsidRDefault="35DA8075" w:rsidP="001F749B"/>
    <w:sectPr w:rsidR="35DA8075" w:rsidRPr="003F5675">
      <w:headerReference w:type="default" r:id="rId599"/>
      <w:footerReference w:type="default" r:id="rId600"/>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4CDC19" w14:textId="77777777" w:rsidR="00230D3F" w:rsidRDefault="00230D3F" w:rsidP="0033496A">
      <w:pPr>
        <w:spacing w:after="0" w:line="240" w:lineRule="auto"/>
      </w:pPr>
      <w:r>
        <w:separator/>
      </w:r>
    </w:p>
  </w:endnote>
  <w:endnote w:type="continuationSeparator" w:id="0">
    <w:p w14:paraId="7D0BCE48" w14:textId="77777777" w:rsidR="00230D3F" w:rsidRDefault="00230D3F" w:rsidP="0033496A">
      <w:pPr>
        <w:spacing w:after="0" w:line="240" w:lineRule="auto"/>
      </w:pPr>
      <w:r>
        <w:continuationSeparator/>
      </w:r>
    </w:p>
  </w:endnote>
  <w:endnote w:type="continuationNotice" w:id="1">
    <w:p w14:paraId="1326CEF6" w14:textId="77777777" w:rsidR="00230D3F" w:rsidRDefault="00230D3F">
      <w:pPr>
        <w:spacing w:after="0" w:line="240" w:lineRule="auto"/>
      </w:pPr>
    </w:p>
  </w:endnote>
  <w:endnote w:id="2">
    <w:p w14:paraId="72EADF00" w14:textId="54FECE09" w:rsidR="00B85FD6" w:rsidRDefault="00B85FD6" w:rsidP="00B85FD6">
      <w:pPr>
        <w:pStyle w:val="EndnoteText"/>
        <w:rPr>
          <w:sz w:val="18"/>
          <w:szCs w:val="18"/>
        </w:rPr>
      </w:pPr>
      <w:r w:rsidRPr="00B85FD6">
        <w:rPr>
          <w:sz w:val="18"/>
          <w:szCs w:val="18"/>
          <w:vertAlign w:val="superscript"/>
        </w:rPr>
        <w:endnoteRef/>
      </w:r>
      <w:r w:rsidRPr="00B85FD6">
        <w:rPr>
          <w:sz w:val="18"/>
          <w:szCs w:val="18"/>
        </w:rPr>
        <w:t>This document satisfies AAHRPP element I.1.A, I.1.C-I.1.E, I-3, I.4.C, I.5.C, I.5.D, I.6.B, I.7.A-I.7.C, I-9, II.2.A, II.2.C, II.2.G, II.2.E-II.2.E.2, II.2.F-II.2.F.3, II.2.I, II.3.C-II.3.C.1, II.3.E, II.3.F, II.3.G, II.4.A, II.4.B, II.5.A, II.5.B, III.1.A, III.1.B, III.1.D, III.1.E, III.1.F, III.2.A, III.2.C, III.2.D</w:t>
      </w:r>
    </w:p>
    <w:p w14:paraId="5026C62D" w14:textId="4C79ACE6" w:rsidR="004521D0" w:rsidRDefault="004B5D1B">
      <w:pPr>
        <w:pStyle w:val="EndnoteText"/>
        <w:rPr>
          <w:sz w:val="18"/>
          <w:szCs w:val="18"/>
        </w:rPr>
      </w:pPr>
      <w:r>
        <w:rPr>
          <w:rStyle w:val="EndnoteReference"/>
          <w:sz w:val="18"/>
          <w:szCs w:val="18"/>
        </w:rPr>
        <w:endnoteRef/>
      </w:r>
      <w:r>
        <w:rPr>
          <w:sz w:val="18"/>
          <w:szCs w:val="18"/>
        </w:rPr>
        <w:t xml:space="preserve"> </w:t>
      </w:r>
      <w:hyperlink r:id="rId1" w:history="1">
        <w:r>
          <w:rPr>
            <w:rStyle w:val="Hyperlink"/>
            <w:sz w:val="18"/>
            <w:szCs w:val="18"/>
          </w:rPr>
          <w:t>http://www.hhs.gov/ohrp/policy/subjectwithdrawal.html</w:t>
        </w:r>
      </w:hyperlink>
    </w:p>
  </w:endnote>
  <w:endnote w:id="3">
    <w:p w14:paraId="7A8D9086"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2" w:history="1">
        <w:r>
          <w:rPr>
            <w:rStyle w:val="Hyperlink"/>
            <w:sz w:val="18"/>
            <w:szCs w:val="18"/>
          </w:rPr>
          <w:t>http://www.fda.gov/downloads/RegulatoryInformation/Guidances/UCM126489.pdf</w:t>
        </w:r>
      </w:hyperlink>
    </w:p>
  </w:endnote>
  <w:endnote w:id="4">
    <w:p w14:paraId="23EE5F44"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3" w:history="1">
        <w:r>
          <w:rPr>
            <w:rStyle w:val="Hyperlink"/>
            <w:sz w:val="18"/>
            <w:szCs w:val="18"/>
          </w:rPr>
          <w:t>http://www.accessdata.fda.gov/SCRIPTs/cdrh/cfdocs/cfcfr/CFRSearch.cfm?fr=312.7</w:t>
        </w:r>
      </w:hyperlink>
    </w:p>
  </w:endnote>
  <w:endnote w:id="5">
    <w:p w14:paraId="0AC96D7A"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4" w:history="1">
        <w:r>
          <w:rPr>
            <w:rStyle w:val="Hyperlink"/>
            <w:sz w:val="18"/>
            <w:szCs w:val="18"/>
          </w:rPr>
          <w:t>http://www.accessdata.fda.gov/SCRIPTs/cdrh/cfdocs/cfcfr/CFRSearch.cfm?fr=312.60</w:t>
        </w:r>
      </w:hyperlink>
    </w:p>
  </w:endnote>
  <w:endnote w:id="6">
    <w:p w14:paraId="6C799684"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5" w:history="1">
        <w:r>
          <w:rPr>
            <w:rStyle w:val="Hyperlink"/>
            <w:sz w:val="18"/>
            <w:szCs w:val="18"/>
          </w:rPr>
          <w:t>http://www.accessdata.fda.gov/SCRIPTs/cdrh/cfdocs/cfcfr/CFRSearch.cfm?fr=312.61</w:t>
        </w:r>
      </w:hyperlink>
    </w:p>
  </w:endnote>
  <w:endnote w:id="7">
    <w:p w14:paraId="0F9044CF"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6" w:history="1">
        <w:r>
          <w:rPr>
            <w:rStyle w:val="Hyperlink"/>
            <w:sz w:val="18"/>
            <w:szCs w:val="18"/>
          </w:rPr>
          <w:t>http://www.accessdata.fda.gov/SCRIPTs/cdrh/cfdocs/cfcfr/CFRSearch.cfm?fr=312.62</w:t>
        </w:r>
      </w:hyperlink>
    </w:p>
  </w:endnote>
  <w:endnote w:id="8">
    <w:p w14:paraId="2CAC809B"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7" w:history="1">
        <w:r>
          <w:rPr>
            <w:rStyle w:val="Hyperlink"/>
            <w:sz w:val="18"/>
            <w:szCs w:val="18"/>
          </w:rPr>
          <w:t>http://www.accessdata.fda.gov/SCRIPTs/cdrh/cfdocs/cfcfr/CFRSearch.cfm?fr=312.64</w:t>
        </w:r>
      </w:hyperlink>
    </w:p>
  </w:endnote>
  <w:endnote w:id="9">
    <w:p w14:paraId="70CE981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8" w:history="1">
        <w:r>
          <w:rPr>
            <w:rStyle w:val="Hyperlink"/>
            <w:sz w:val="18"/>
            <w:szCs w:val="18"/>
          </w:rPr>
          <w:t>http://www.accessdata.fda.gov/SCRIPTs/cdrh/cfdocs/cfcfr/CFRSearch.cfm?fr=312.66</w:t>
        </w:r>
      </w:hyperlink>
    </w:p>
  </w:endnote>
  <w:endnote w:id="10">
    <w:p w14:paraId="40AEA09F"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9" w:history="1">
        <w:r>
          <w:rPr>
            <w:rStyle w:val="Hyperlink"/>
            <w:sz w:val="18"/>
            <w:szCs w:val="18"/>
          </w:rPr>
          <w:t>http://www.accessdata.fda.gov/SCRIPTs/cdrh/cfdocs/cfcfr/CFRSearch.cfm?fr=312.68</w:t>
        </w:r>
      </w:hyperlink>
    </w:p>
  </w:endnote>
  <w:endnote w:id="11">
    <w:p w14:paraId="0654D8F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0" w:history="1">
        <w:r>
          <w:rPr>
            <w:rStyle w:val="Hyperlink"/>
            <w:sz w:val="18"/>
            <w:szCs w:val="18"/>
          </w:rPr>
          <w:t>http://www.accessdata.fda.gov/SCRIPTs/cdrh/cfdocs/cfcfr/CFRSearch.cfm?fr=312.69</w:t>
        </w:r>
      </w:hyperlink>
    </w:p>
  </w:endnote>
  <w:endnote w:id="12">
    <w:p w14:paraId="00154AF7"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1" w:history="1">
        <w:r>
          <w:rPr>
            <w:rStyle w:val="Hyperlink"/>
            <w:sz w:val="18"/>
            <w:szCs w:val="18"/>
          </w:rPr>
          <w:t>http://www.accessdata.fda.gov/SCRIPTs/cdrh/cfdocs/cfcfr/CFRSearch.cfm?fr=812.100</w:t>
        </w:r>
      </w:hyperlink>
    </w:p>
  </w:endnote>
  <w:endnote w:id="13">
    <w:p w14:paraId="4BE98C2B"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2" w:history="1">
        <w:r>
          <w:rPr>
            <w:rStyle w:val="Hyperlink"/>
            <w:sz w:val="18"/>
            <w:szCs w:val="18"/>
          </w:rPr>
          <w:t>http://www.accessdata.fda.gov/SCRIPTs/cdrh/cfdocs/cfcfr/CFRSearch.cfm?fr=812.110</w:t>
        </w:r>
      </w:hyperlink>
    </w:p>
  </w:endnote>
  <w:endnote w:id="14">
    <w:p w14:paraId="59B32E6E"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3" w:history="1">
        <w:r>
          <w:rPr>
            <w:rStyle w:val="Hyperlink"/>
            <w:sz w:val="18"/>
            <w:szCs w:val="18"/>
          </w:rPr>
          <w:t>http://www.accessdata.fda.gov/SCRIPTs/cdrh/cfdocs/cfcfr/CFRSearch.cfm?fr=812.140</w:t>
        </w:r>
      </w:hyperlink>
    </w:p>
  </w:endnote>
  <w:endnote w:id="15">
    <w:p w14:paraId="4A090D26"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4" w:history="1">
        <w:r>
          <w:rPr>
            <w:rStyle w:val="Hyperlink"/>
            <w:sz w:val="18"/>
            <w:szCs w:val="18"/>
          </w:rPr>
          <w:t>http://www.accessdata.fda.gov/SCRIPTs/cdrh/cfdocs/cfcfr/CFRSearch.cfm?fr=812.145</w:t>
        </w:r>
      </w:hyperlink>
    </w:p>
  </w:endnote>
  <w:endnote w:id="16">
    <w:p w14:paraId="584A46D1" w14:textId="77777777" w:rsidR="004521D0" w:rsidRDefault="004B5D1B">
      <w:pPr>
        <w:pStyle w:val="EndnoteText"/>
        <w:rPr>
          <w:sz w:val="18"/>
          <w:szCs w:val="18"/>
        </w:rPr>
      </w:pPr>
      <w:r>
        <w:rPr>
          <w:rStyle w:val="EndnoteReference"/>
          <w:sz w:val="18"/>
          <w:szCs w:val="18"/>
        </w:rPr>
        <w:endnoteRef/>
      </w:r>
      <w:r>
        <w:rPr>
          <w:sz w:val="18"/>
          <w:szCs w:val="18"/>
        </w:rPr>
        <w:t xml:space="preserve"> </w:t>
      </w:r>
      <w:hyperlink r:id="rId15" w:history="1">
        <w:r>
          <w:rPr>
            <w:rStyle w:val="Hyperlink"/>
            <w:sz w:val="18"/>
            <w:szCs w:val="18"/>
          </w:rPr>
          <w:t>http://www.accessdata.fda.gov/SCRIPTs/cdrh/cfdocs/cfcfr/CFRSearch.cfm?fr=812.150</w:t>
        </w:r>
      </w:hyperlink>
    </w:p>
  </w:endnote>
  <w:endnote w:id="17">
    <w:p w14:paraId="348B9BDD" w14:textId="77777777" w:rsidR="004521D0" w:rsidRDefault="004B5D1B">
      <w:pPr>
        <w:pStyle w:val="EndnoteText"/>
        <w:rPr>
          <w:sz w:val="18"/>
          <w:szCs w:val="18"/>
        </w:rPr>
      </w:pPr>
      <w:r>
        <w:rPr>
          <w:rStyle w:val="EndnoteReference"/>
          <w:sz w:val="18"/>
          <w:szCs w:val="18"/>
        </w:rPr>
        <w:endnoteRef/>
      </w:r>
      <w:r>
        <w:rPr>
          <w:sz w:val="18"/>
          <w:szCs w:val="18"/>
        </w:rPr>
        <w:t xml:space="preserve"> Children are persons enrolled in research not above the elementary or secondary education level, who have not reached the age or majority as determined under state law.</w:t>
      </w:r>
    </w:p>
  </w:endnote>
  <w:endnote w:id="18">
    <w:p w14:paraId="6AE74240" w14:textId="77777777" w:rsidR="0084704B" w:rsidRDefault="004B5D1B" w:rsidP="00B632B2">
      <w:pPr>
        <w:pStyle w:val="EndnoteText"/>
      </w:pPr>
      <w:r>
        <w:rPr>
          <w:rStyle w:val="EndnoteReference"/>
          <w:sz w:val="18"/>
          <w:szCs w:val="18"/>
        </w:rPr>
        <w:endnoteRef/>
      </w:r>
      <w:r>
        <w:rPr>
          <w:sz w:val="18"/>
          <w:szCs w:val="18"/>
        </w:rPr>
        <w:t xml:space="preserve"> Research or experimentation program or project means any program or project in any research that is designed to explore or develop new or unproven teaching methods or techniques.</w:t>
      </w:r>
      <w:bookmarkStart w:id="188" w:name="Personally_Identifiable_Information"/>
      <w:bookmarkStart w:id="189" w:name="EFIC"/>
      <w:bookmarkStart w:id="190" w:name="objection"/>
      <w:bookmarkStart w:id="191" w:name="FDA"/>
      <w:bookmarkEnd w:id="188"/>
      <w:bookmarkEnd w:id="189"/>
      <w:bookmarkEnd w:id="190"/>
      <w:bookmarkEnd w:id="191"/>
    </w:p>
    <w:p w14:paraId="44E590B4" w14:textId="77777777" w:rsidR="003B4E0A" w:rsidRPr="003B4E0A" w:rsidRDefault="003B4E0A" w:rsidP="00B632B2">
      <w:pPr>
        <w:pStyle w:val="Heading1"/>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uckeye Serif 2">
    <w:altName w:val="Calibri"/>
    <w:charset w:val="4D"/>
    <w:family w:val="auto"/>
    <w:pitch w:val="variable"/>
    <w:sig w:usb0="A00000FF" w:usb1="4200E07A" w:usb2="00000000" w:usb3="00000000" w:csb0="00000193" w:csb1="00000000"/>
  </w:font>
  <w:font w:name="Buckeye Serif 2 Black">
    <w:altName w:val="Calibri"/>
    <w:charset w:val="4D"/>
    <w:family w:val="auto"/>
    <w:pitch w:val="variable"/>
    <w:sig w:usb0="A00000FF" w:usb1="4200E07A" w:usb2="00000000" w:usb3="00000000" w:csb0="00000193" w:csb1="00000000"/>
  </w:font>
  <w:font w:name="Buckeye Sans 2">
    <w:altName w:val="Calibri"/>
    <w:charset w:val="4D"/>
    <w:family w:val="auto"/>
    <w:pitch w:val="variable"/>
    <w:sig w:usb0="A00000FF" w:usb1="4000204B"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17D08"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F051B"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9523"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7B7F3"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E09949"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86A6F" w14:textId="77777777" w:rsidR="00245AEF" w:rsidRDefault="007E62E1">
    <w:pPr>
      <w:pStyle w:val="Footer"/>
      <w:tabs>
        <w:tab w:val="clear" w:pos="4680"/>
      </w:tabs>
      <w:rPr>
        <w:color w:val="666666"/>
        <w:sz w:val="18"/>
        <w:szCs w:val="18"/>
      </w:rPr>
    </w:pPr>
    <w:r>
      <w:rPr>
        <w:color w:val="666666"/>
        <w:sz w:val="18"/>
        <w:szCs w:val="18"/>
      </w:rPr>
      <w:t>ORRP, Revised April 2026</w:t>
    </w:r>
    <w:r>
      <w:rPr>
        <w:color w:val="666666"/>
        <w:sz w:val="18"/>
        <w:szCs w:val="18"/>
      </w:rPr>
      <w:tab/>
      <w:t xml:space="preserve">HRP-103 Investigator Manual   Page </w:t>
    </w:r>
    <w:r>
      <w:rPr>
        <w:color w:val="666666"/>
        <w:sz w:val="18"/>
        <w:szCs w:val="18"/>
      </w:rPr>
      <w:fldChar w:fldCharType="begin"/>
    </w:r>
    <w:r>
      <w:rPr>
        <w:color w:val="666666"/>
        <w:sz w:val="18"/>
        <w:szCs w:val="18"/>
      </w:rPr>
      <w:instrText xml:space="preserve"> PAGE \* Arabic \* MERGEFORMAT </w:instrText>
    </w:r>
    <w:r>
      <w:rPr>
        <w:color w:val="666666"/>
        <w:sz w:val="18"/>
        <w:szCs w:val="18"/>
      </w:rPr>
      <w:fldChar w:fldCharType="separate"/>
    </w:r>
    <w:r>
      <w:rPr>
        <w:color w:val="666666"/>
        <w:sz w:val="18"/>
        <w:szCs w:val="18"/>
      </w:rPr>
      <w:t>1</w:t>
    </w:r>
    <w:r>
      <w:rPr>
        <w:color w:val="666666"/>
        <w:sz w:val="18"/>
        <w:szCs w:val="18"/>
      </w:rPr>
      <w:fldChar w:fldCharType="end"/>
    </w:r>
    <w:r>
      <w:rPr>
        <w:color w:val="666666"/>
        <w:sz w:val="18"/>
        <w:szCs w:val="18"/>
      </w:rPr>
      <w:t xml:space="preserve"> of </w:t>
    </w:r>
    <w:r>
      <w:rPr>
        <w:color w:val="666666"/>
        <w:sz w:val="18"/>
        <w:szCs w:val="18"/>
      </w:rPr>
      <w:fldChar w:fldCharType="begin"/>
    </w:r>
    <w:r>
      <w:rPr>
        <w:color w:val="666666"/>
        <w:sz w:val="18"/>
        <w:szCs w:val="18"/>
      </w:rPr>
      <w:instrText xml:space="preserve"> NUMPAGES \* Arabic \* MERGEFORMAT </w:instrText>
    </w:r>
    <w:r>
      <w:rPr>
        <w:color w:val="666666"/>
        <w:sz w:val="18"/>
        <w:szCs w:val="18"/>
      </w:rPr>
      <w:fldChar w:fldCharType="separate"/>
    </w:r>
    <w:r>
      <w:rPr>
        <w:color w:val="666666"/>
        <w:sz w:val="18"/>
        <w:szCs w:val="18"/>
      </w:rPr>
      <w:t>256</w:t>
    </w:r>
    <w:r>
      <w:rPr>
        <w:color w:val="666666"/>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63858" w14:textId="77777777" w:rsidR="00230D3F" w:rsidRDefault="00230D3F" w:rsidP="0033496A">
      <w:pPr>
        <w:spacing w:after="0" w:line="240" w:lineRule="auto"/>
      </w:pPr>
      <w:r>
        <w:separator/>
      </w:r>
    </w:p>
  </w:footnote>
  <w:footnote w:type="continuationSeparator" w:id="0">
    <w:p w14:paraId="43CCA829" w14:textId="77777777" w:rsidR="00230D3F" w:rsidRDefault="00230D3F" w:rsidP="0033496A">
      <w:pPr>
        <w:spacing w:after="0" w:line="240" w:lineRule="auto"/>
      </w:pPr>
      <w:r>
        <w:continuationSeparator/>
      </w:r>
    </w:p>
  </w:footnote>
  <w:footnote w:type="continuationNotice" w:id="1">
    <w:p w14:paraId="6CA3C12D" w14:textId="77777777" w:rsidR="00230D3F" w:rsidRDefault="00230D3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3D471" w14:textId="77777777" w:rsidR="00245AEF" w:rsidRDefault="00245AE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D64F4" w14:textId="77777777" w:rsidR="00245AEF" w:rsidRDefault="007E62E1">
    <w:pPr>
      <w:pStyle w:val="Header"/>
    </w:pPr>
    <w:r>
      <w:rPr>
        <w:noProof/>
      </w:rPr>
      <w:drawing>
        <wp:inline distT="0" distB="0" distL="0" distR="0" wp14:anchorId="3472F9B8" wp14:editId="39E2E2E2">
          <wp:extent cx="2594344" cy="497526"/>
          <wp:effectExtent l="0" t="0" r="0" b="0"/>
          <wp:docPr id="100001" name="Picture 1" descr="The Ohio State University Enterprise for Research, Innovation and Knowledg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2" name="ERIK Logo" descr="The Ohio State University Enterprise for Research, Innovation and Knowledge"/>
                  <pic:cNvPicPr/>
                </pic:nvPicPr>
                <pic:blipFill>
                  <a:blip r:embed="rId1"/>
                  <a:stretch>
                    <a:fillRect/>
                  </a:stretch>
                </pic:blipFill>
                <pic:spPr>
                  <a:xfrm>
                    <a:off x="0" y="0"/>
                    <a:ext cx="2594344" cy="497526"/>
                  </a:xfrm>
                  <a:prstGeom prst="rect">
                    <a:avLst/>
                  </a:prstGeom>
                </pic:spPr>
              </pic:pic>
            </a:graphicData>
          </a:graphic>
        </wp:inline>
      </w:drawing>
    </w:r>
  </w:p>
  <w:p w14:paraId="1466DEED" w14:textId="77777777" w:rsidR="00245AEF" w:rsidRDefault="00245AE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594E4" w14:textId="77777777" w:rsidR="00245AEF" w:rsidRDefault="00245AE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4063D" w14:textId="77777777" w:rsidR="00245AEF" w:rsidRDefault="00245A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2B9AB" w14:textId="77777777" w:rsidR="00245AEF" w:rsidRDefault="00245A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14490" w14:textId="77777777" w:rsidR="00245AEF" w:rsidRDefault="00245A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6B8B572"/>
    <w:lvl w:ilvl="0">
      <w:start w:val="1"/>
      <w:numFmt w:val="bullet"/>
      <w:pStyle w:val="ListBullet4"/>
      <w:lvlText w:val=""/>
      <w:lvlJc w:val="left"/>
      <w:pPr>
        <w:tabs>
          <w:tab w:val="num" w:pos="5490"/>
        </w:tabs>
        <w:ind w:left="5490" w:hanging="360"/>
      </w:pPr>
      <w:rPr>
        <w:rFonts w:ascii="Symbol" w:hAnsi="Symbol" w:hint="default"/>
      </w:rPr>
    </w:lvl>
  </w:abstractNum>
  <w:abstractNum w:abstractNumId="1" w15:restartNumberingAfterBreak="0">
    <w:nsid w:val="FFFFFF82"/>
    <w:multiLevelType w:val="singleLevel"/>
    <w:tmpl w:val="C2A27A0C"/>
    <w:lvl w:ilvl="0">
      <w:start w:val="1"/>
      <w:numFmt w:val="bullet"/>
      <w:pStyle w:val="ListBullet3"/>
      <w:lvlText w:val=""/>
      <w:lvlJc w:val="left"/>
      <w:pPr>
        <w:tabs>
          <w:tab w:val="num" w:pos="1080"/>
        </w:tabs>
        <w:ind w:left="1080" w:hanging="360"/>
      </w:pPr>
      <w:rPr>
        <w:rFonts w:ascii="Symbol" w:hAnsi="Symbol" w:hint="default"/>
      </w:rPr>
    </w:lvl>
  </w:abstractNum>
  <w:abstractNum w:abstractNumId="2" w15:restartNumberingAfterBreak="0">
    <w:nsid w:val="FFFFFF83"/>
    <w:multiLevelType w:val="singleLevel"/>
    <w:tmpl w:val="7A745A04"/>
    <w:lvl w:ilvl="0">
      <w:start w:val="1"/>
      <w:numFmt w:val="bullet"/>
      <w:pStyle w:val="ListBullet2"/>
      <w:lvlText w:val=""/>
      <w:lvlJc w:val="left"/>
      <w:pPr>
        <w:tabs>
          <w:tab w:val="num" w:pos="720"/>
        </w:tabs>
        <w:ind w:left="720" w:hanging="360"/>
      </w:pPr>
      <w:rPr>
        <w:rFonts w:ascii="Symbol" w:hAnsi="Symbol" w:hint="default"/>
      </w:rPr>
    </w:lvl>
  </w:abstractNum>
  <w:abstractNum w:abstractNumId="3" w15:restartNumberingAfterBreak="0">
    <w:nsid w:val="00000001"/>
    <w:multiLevelType w:val="hybridMultilevel"/>
    <w:tmpl w:val="E1C4C50A"/>
    <w:lvl w:ilvl="0" w:tplc="BA0AB52E">
      <w:numFmt w:val="none"/>
      <w:lvlText w:val=""/>
      <w:lvlJc w:val="left"/>
      <w:pPr>
        <w:tabs>
          <w:tab w:val="num" w:pos="360"/>
        </w:tabs>
      </w:pPr>
    </w:lvl>
    <w:lvl w:ilvl="1" w:tplc="5D24CC84">
      <w:numFmt w:val="decimal"/>
      <w:lvlText w:val=""/>
      <w:lvlJc w:val="left"/>
    </w:lvl>
    <w:lvl w:ilvl="2" w:tplc="84A09164">
      <w:numFmt w:val="decimal"/>
      <w:lvlText w:val=""/>
      <w:lvlJc w:val="left"/>
    </w:lvl>
    <w:lvl w:ilvl="3" w:tplc="21063A3E">
      <w:numFmt w:val="decimal"/>
      <w:lvlText w:val=""/>
      <w:lvlJc w:val="left"/>
    </w:lvl>
    <w:lvl w:ilvl="4" w:tplc="EBF80C32">
      <w:numFmt w:val="decimal"/>
      <w:lvlText w:val=""/>
      <w:lvlJc w:val="left"/>
    </w:lvl>
    <w:lvl w:ilvl="5" w:tplc="552CEACE">
      <w:numFmt w:val="decimal"/>
      <w:lvlText w:val=""/>
      <w:lvlJc w:val="left"/>
    </w:lvl>
    <w:lvl w:ilvl="6" w:tplc="62F0158A">
      <w:numFmt w:val="decimal"/>
      <w:lvlText w:val=""/>
      <w:lvlJc w:val="left"/>
    </w:lvl>
    <w:lvl w:ilvl="7" w:tplc="8E781B02">
      <w:numFmt w:val="decimal"/>
      <w:lvlText w:val=""/>
      <w:lvlJc w:val="left"/>
    </w:lvl>
    <w:lvl w:ilvl="8" w:tplc="77347624">
      <w:numFmt w:val="decimal"/>
      <w:lvlText w:val=""/>
      <w:lvlJc w:val="left"/>
    </w:lvl>
  </w:abstractNum>
  <w:abstractNum w:abstractNumId="4" w15:restartNumberingAfterBreak="0">
    <w:nsid w:val="00137BF7"/>
    <w:multiLevelType w:val="hybridMultilevel"/>
    <w:tmpl w:val="A5CAB3D6"/>
    <w:lvl w:ilvl="0" w:tplc="A9C2F8CE">
      <w:start w:val="1"/>
      <w:numFmt w:val="upperLetter"/>
      <w:lvlText w:val="%1."/>
      <w:lvlJc w:val="left"/>
      <w:pPr>
        <w:ind w:left="2088" w:hanging="360"/>
      </w:pPr>
      <w:rPr>
        <w:b/>
        <w:i w:val="0"/>
        <w:color w:val="auto"/>
        <w:sz w:val="22"/>
        <w:szCs w:val="22"/>
      </w:rPr>
    </w:lvl>
    <w:lvl w:ilvl="1" w:tplc="00190409" w:tentative="1">
      <w:start w:val="1"/>
      <w:numFmt w:val="lowerLetter"/>
      <w:lvlText w:val="%2."/>
      <w:lvlJc w:val="left"/>
      <w:pPr>
        <w:ind w:left="2880" w:hanging="360"/>
      </w:pPr>
    </w:lvl>
    <w:lvl w:ilvl="2" w:tplc="001B0409" w:tentative="1">
      <w:start w:val="1"/>
      <w:numFmt w:val="lowerRoman"/>
      <w:lvlText w:val="%3."/>
      <w:lvlJc w:val="right"/>
      <w:pPr>
        <w:ind w:left="3600" w:hanging="180"/>
      </w:pPr>
    </w:lvl>
    <w:lvl w:ilvl="3" w:tplc="000F0409" w:tentative="1">
      <w:start w:val="1"/>
      <w:numFmt w:val="decimal"/>
      <w:lvlText w:val="%4."/>
      <w:lvlJc w:val="left"/>
      <w:pPr>
        <w:ind w:left="4320" w:hanging="360"/>
      </w:pPr>
    </w:lvl>
    <w:lvl w:ilvl="4" w:tplc="00190409" w:tentative="1">
      <w:start w:val="1"/>
      <w:numFmt w:val="lowerLetter"/>
      <w:lvlText w:val="%5."/>
      <w:lvlJc w:val="left"/>
      <w:pPr>
        <w:ind w:left="5040" w:hanging="360"/>
      </w:pPr>
    </w:lvl>
    <w:lvl w:ilvl="5" w:tplc="001B0409" w:tentative="1">
      <w:start w:val="1"/>
      <w:numFmt w:val="lowerRoman"/>
      <w:lvlText w:val="%6."/>
      <w:lvlJc w:val="right"/>
      <w:pPr>
        <w:ind w:left="5760" w:hanging="180"/>
      </w:pPr>
    </w:lvl>
    <w:lvl w:ilvl="6" w:tplc="000F0409" w:tentative="1">
      <w:start w:val="1"/>
      <w:numFmt w:val="decimal"/>
      <w:lvlText w:val="%7."/>
      <w:lvlJc w:val="left"/>
      <w:pPr>
        <w:ind w:left="6480" w:hanging="360"/>
      </w:pPr>
    </w:lvl>
    <w:lvl w:ilvl="7" w:tplc="00190409" w:tentative="1">
      <w:start w:val="1"/>
      <w:numFmt w:val="lowerLetter"/>
      <w:lvlText w:val="%8."/>
      <w:lvlJc w:val="left"/>
      <w:pPr>
        <w:ind w:left="7200" w:hanging="360"/>
      </w:pPr>
    </w:lvl>
    <w:lvl w:ilvl="8" w:tplc="001B0409" w:tentative="1">
      <w:start w:val="1"/>
      <w:numFmt w:val="lowerRoman"/>
      <w:lvlText w:val="%9."/>
      <w:lvlJc w:val="right"/>
      <w:pPr>
        <w:ind w:left="7920" w:hanging="180"/>
      </w:pPr>
    </w:lvl>
  </w:abstractNum>
  <w:abstractNum w:abstractNumId="5" w15:restartNumberingAfterBreak="0">
    <w:nsid w:val="00FF738F"/>
    <w:multiLevelType w:val="hybridMultilevel"/>
    <w:tmpl w:val="BA34D60E"/>
    <w:lvl w:ilvl="0" w:tplc="5CCC7794">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6" w15:restartNumberingAfterBreak="0">
    <w:nsid w:val="010D7437"/>
    <w:multiLevelType w:val="hybridMultilevel"/>
    <w:tmpl w:val="E98A0472"/>
    <w:lvl w:ilvl="0" w:tplc="C57E0D1A">
      <w:start w:val="1"/>
      <w:numFmt w:val="upperLetter"/>
      <w:lvlText w:val="%1."/>
      <w:lvlJc w:val="left"/>
      <w:pPr>
        <w:ind w:left="792" w:hanging="360"/>
      </w:pPr>
      <w:rPr>
        <w:b/>
        <w:i w:val="0"/>
        <w:color w:val="auto"/>
        <w:sz w:val="22"/>
        <w:szCs w:val="22"/>
      </w:rPr>
    </w:lvl>
    <w:lvl w:ilvl="1" w:tplc="00190409" w:tentative="1">
      <w:start w:val="1"/>
      <w:numFmt w:val="lowerLetter"/>
      <w:lvlText w:val="%2."/>
      <w:lvlJc w:val="left"/>
      <w:pPr>
        <w:ind w:left="144" w:hanging="360"/>
      </w:pPr>
    </w:lvl>
    <w:lvl w:ilvl="2" w:tplc="001B0409" w:tentative="1">
      <w:start w:val="1"/>
      <w:numFmt w:val="lowerRoman"/>
      <w:lvlText w:val="%3."/>
      <w:lvlJc w:val="right"/>
      <w:pPr>
        <w:ind w:left="864" w:hanging="180"/>
      </w:pPr>
    </w:lvl>
    <w:lvl w:ilvl="3" w:tplc="000F0409">
      <w:start w:val="1"/>
      <w:numFmt w:val="decimal"/>
      <w:lvlText w:val="%4."/>
      <w:lvlJc w:val="left"/>
      <w:pPr>
        <w:ind w:left="1584" w:hanging="360"/>
      </w:pPr>
    </w:lvl>
    <w:lvl w:ilvl="4" w:tplc="00190409" w:tentative="1">
      <w:start w:val="1"/>
      <w:numFmt w:val="lowerLetter"/>
      <w:lvlText w:val="%5."/>
      <w:lvlJc w:val="left"/>
      <w:pPr>
        <w:ind w:left="2304" w:hanging="360"/>
      </w:pPr>
    </w:lvl>
    <w:lvl w:ilvl="5" w:tplc="001B0409" w:tentative="1">
      <w:start w:val="1"/>
      <w:numFmt w:val="lowerRoman"/>
      <w:lvlText w:val="%6."/>
      <w:lvlJc w:val="right"/>
      <w:pPr>
        <w:ind w:left="3024" w:hanging="180"/>
      </w:pPr>
    </w:lvl>
    <w:lvl w:ilvl="6" w:tplc="000F0409" w:tentative="1">
      <w:start w:val="1"/>
      <w:numFmt w:val="decimal"/>
      <w:lvlText w:val="%7."/>
      <w:lvlJc w:val="left"/>
      <w:pPr>
        <w:ind w:left="3744" w:hanging="360"/>
      </w:pPr>
    </w:lvl>
    <w:lvl w:ilvl="7" w:tplc="00190409" w:tentative="1">
      <w:start w:val="1"/>
      <w:numFmt w:val="lowerLetter"/>
      <w:lvlText w:val="%8."/>
      <w:lvlJc w:val="left"/>
      <w:pPr>
        <w:ind w:left="4464" w:hanging="360"/>
      </w:pPr>
    </w:lvl>
    <w:lvl w:ilvl="8" w:tplc="001B0409" w:tentative="1">
      <w:start w:val="1"/>
      <w:numFmt w:val="lowerRoman"/>
      <w:lvlText w:val="%9."/>
      <w:lvlJc w:val="right"/>
      <w:pPr>
        <w:ind w:left="5184" w:hanging="180"/>
      </w:pPr>
    </w:lvl>
  </w:abstractNum>
  <w:abstractNum w:abstractNumId="7" w15:restartNumberingAfterBreak="0">
    <w:nsid w:val="014F5D8F"/>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016B1273"/>
    <w:multiLevelType w:val="hybridMultilevel"/>
    <w:tmpl w:val="0A2EE3DE"/>
    <w:lvl w:ilvl="0" w:tplc="65F85DBE">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9" w15:restartNumberingAfterBreak="0">
    <w:nsid w:val="01886459"/>
    <w:multiLevelType w:val="hybridMultilevel"/>
    <w:tmpl w:val="D2B4E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1AF52B8"/>
    <w:multiLevelType w:val="hybridMultilevel"/>
    <w:tmpl w:val="41688724"/>
    <w:lvl w:ilvl="0" w:tplc="E7349F46">
      <w:start w:val="1"/>
      <w:numFmt w:val="bullet"/>
      <w:lvlText w:val=""/>
      <w:lvlJc w:val="left"/>
      <w:pPr>
        <w:tabs>
          <w:tab w:val="num" w:pos="3902"/>
        </w:tabs>
        <w:ind w:left="3902"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 w15:restartNumberingAfterBreak="0">
    <w:nsid w:val="01F3717F"/>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 w15:restartNumberingAfterBreak="0">
    <w:nsid w:val="01F66FBF"/>
    <w:multiLevelType w:val="multilevel"/>
    <w:tmpl w:val="5F7EDA3A"/>
    <w:lvl w:ilvl="0">
      <w:start w:val="2"/>
      <w:numFmt w:val="upperLetter"/>
      <w:lvlText w:val="%1."/>
      <w:lvlJc w:val="left"/>
      <w:pPr>
        <w:tabs>
          <w:tab w:val="num" w:pos="288"/>
        </w:tabs>
        <w:ind w:left="1224" w:hanging="1224"/>
      </w:pPr>
      <w:rPr>
        <w:b w:val="0"/>
        <w:i w:val="0"/>
        <w:color w:val="auto"/>
        <w:sz w:val="24"/>
      </w:rPr>
    </w:lvl>
    <w:lvl w:ilvl="1">
      <w:start w:val="7"/>
      <w:numFmt w:val="upperLetter"/>
      <w:lvlText w:val="%2."/>
      <w:lvlJc w:val="left"/>
      <w:pPr>
        <w:tabs>
          <w:tab w:val="num" w:pos="720"/>
        </w:tabs>
        <w:ind w:left="720" w:hanging="432"/>
      </w:pPr>
      <w:rPr>
        <w:b w:val="0"/>
        <w:i w:val="0"/>
        <w:color w:val="auto"/>
        <w:sz w:val="24"/>
      </w:rPr>
    </w:lvl>
    <w:lvl w:ilvl="2">
      <w:start w:val="9"/>
      <w:numFmt w:val="upperLetter"/>
      <w:lvlText w:val="%3."/>
      <w:lvlJc w:val="left"/>
      <w:pPr>
        <w:tabs>
          <w:tab w:val="num" w:pos="1008"/>
        </w:tabs>
        <w:ind w:left="1008" w:hanging="288"/>
      </w:pPr>
      <w:rPr>
        <w:b/>
        <w:i w:val="0"/>
        <w:color w:val="auto"/>
        <w:sz w:val="22"/>
        <w:szCs w:val="22"/>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 w15:restartNumberingAfterBreak="0">
    <w:nsid w:val="01F7050A"/>
    <w:multiLevelType w:val="hybridMultilevel"/>
    <w:tmpl w:val="5BF66FA4"/>
    <w:lvl w:ilvl="0" w:tplc="8AAC922C">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 w15:restartNumberingAfterBreak="0">
    <w:nsid w:val="020766A9"/>
    <w:multiLevelType w:val="hybridMultilevel"/>
    <w:tmpl w:val="325C70FE"/>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029842CA"/>
    <w:multiLevelType w:val="multilevel"/>
    <w:tmpl w:val="CBBA37A6"/>
    <w:lvl w:ilvl="0">
      <w:start w:val="1"/>
      <w:numFmt w:val="bullet"/>
      <w:lvlText w:val=""/>
      <w:lvlJc w:val="left"/>
      <w:pPr>
        <w:tabs>
          <w:tab w:val="num" w:pos="360"/>
        </w:tabs>
        <w:ind w:left="360" w:hanging="360"/>
      </w:pPr>
      <w:rPr>
        <w:rFonts w:ascii="Symbol" w:hAnsi="Symbol" w:hint="default"/>
        <w:b w:val="0"/>
        <w:i w:val="0"/>
      </w:rPr>
    </w:lvl>
    <w:lvl w:ilvl="1">
      <w:start w:val="2"/>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 w15:restartNumberingAfterBreak="0">
    <w:nsid w:val="02F21CA4"/>
    <w:multiLevelType w:val="hybridMultilevel"/>
    <w:tmpl w:val="AE626D68"/>
    <w:lvl w:ilvl="0" w:tplc="8696C010">
      <w:start w:val="1"/>
      <w:numFmt w:val="upperLetter"/>
      <w:lvlText w:val="%1."/>
      <w:lvlJc w:val="left"/>
      <w:pPr>
        <w:ind w:left="72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7" w15:restartNumberingAfterBreak="0">
    <w:nsid w:val="02F935EA"/>
    <w:multiLevelType w:val="hybridMultilevel"/>
    <w:tmpl w:val="18084A6A"/>
    <w:lvl w:ilvl="0" w:tplc="4BEEB19C">
      <w:start w:val="1"/>
      <w:numFmt w:val="bullet"/>
      <w:lvlText w:val=""/>
      <w:lvlJc w:val="left"/>
      <w:pPr>
        <w:tabs>
          <w:tab w:val="num" w:pos="1080"/>
        </w:tabs>
        <w:ind w:left="1080" w:hanging="360"/>
      </w:pPr>
      <w:rPr>
        <w:rFonts w:ascii="Symbol" w:hAnsi="Symbol" w:hint="default"/>
        <w:b w:val="0"/>
        <w:i w:val="0"/>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033951CA"/>
    <w:multiLevelType w:val="hybridMultilevel"/>
    <w:tmpl w:val="9DDED762"/>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661E15D8">
      <w:start w:val="1"/>
      <w:numFmt w:val="bullet"/>
      <w:lvlText w:val=""/>
      <w:lvlJc w:val="left"/>
      <w:pPr>
        <w:tabs>
          <w:tab w:val="num" w:pos="3510"/>
        </w:tabs>
        <w:ind w:left="3510" w:hanging="360"/>
      </w:pPr>
      <w:rPr>
        <w:rFonts w:ascii="Symbol" w:hAnsi="Symbol" w:hint="default"/>
        <w:b w:val="0"/>
        <w:i w:val="0"/>
        <w:color w:val="auto"/>
        <w:sz w:val="20"/>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19" w15:restartNumberingAfterBreak="0">
    <w:nsid w:val="03395517"/>
    <w:multiLevelType w:val="hybridMultilevel"/>
    <w:tmpl w:val="43929CE0"/>
    <w:lvl w:ilvl="0" w:tplc="CE44BCA4">
      <w:start w:val="1"/>
      <w:numFmt w:val="upperLetter"/>
      <w:lvlText w:val="%1."/>
      <w:lvlJc w:val="left"/>
      <w:pPr>
        <w:ind w:left="180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0" w15:restartNumberingAfterBreak="0">
    <w:nsid w:val="03AE4764"/>
    <w:multiLevelType w:val="hybridMultilevel"/>
    <w:tmpl w:val="F6C47C08"/>
    <w:lvl w:ilvl="0" w:tplc="A8A0A996">
      <w:start w:val="1"/>
      <w:numFmt w:val="upperLetter"/>
      <w:lvlText w:val="%1."/>
      <w:lvlJc w:val="left"/>
      <w:pPr>
        <w:ind w:left="720" w:hanging="360"/>
      </w:pPr>
      <w:rPr>
        <w:b/>
        <w:i w:val="0"/>
        <w:color w:val="auto"/>
        <w:sz w:val="22"/>
        <w:szCs w:val="22"/>
      </w:rPr>
    </w:lvl>
    <w:lvl w:ilvl="1" w:tplc="A344E424">
      <w:start w:val="1"/>
      <w:numFmt w:val="bullet"/>
      <w:lvlText w:val=""/>
      <w:lvlJc w:val="left"/>
      <w:pPr>
        <w:ind w:left="1440" w:hanging="360"/>
      </w:pPr>
      <w:rPr>
        <w:rFonts w:ascii="Symbol" w:hAnsi="Symbol" w:hint="default"/>
        <w:b w:val="0"/>
        <w:i w:val="0"/>
        <w:color w:val="auto"/>
        <w:sz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4060045"/>
    <w:multiLevelType w:val="hybridMultilevel"/>
    <w:tmpl w:val="60E81C64"/>
    <w:lvl w:ilvl="0" w:tplc="91D6267A">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22" w15:restartNumberingAfterBreak="0">
    <w:nsid w:val="04252AB9"/>
    <w:multiLevelType w:val="hybridMultilevel"/>
    <w:tmpl w:val="0B421CF4"/>
    <w:lvl w:ilvl="0" w:tplc="2D769490">
      <w:start w:val="3"/>
      <w:numFmt w:val="decimal"/>
      <w:lvlText w:val="%1."/>
      <w:lvlJc w:val="left"/>
      <w:pPr>
        <w:ind w:left="360" w:hanging="360"/>
      </w:pPr>
      <w:rPr>
        <w:b/>
        <w:i w:val="0"/>
        <w:color w:val="auto"/>
        <w:sz w:val="22"/>
        <w:szCs w:val="22"/>
      </w:rPr>
    </w:lvl>
    <w:lvl w:ilvl="1" w:tplc="2AF8BF4A">
      <w:start w:val="1"/>
      <w:numFmt w:val="upperLetter"/>
      <w:lvlText w:val="%2."/>
      <w:lvlJc w:val="left"/>
      <w:pPr>
        <w:ind w:left="1080" w:hanging="360"/>
      </w:pPr>
      <w:rPr>
        <w:b/>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3" w15:restartNumberingAfterBreak="0">
    <w:nsid w:val="042D662A"/>
    <w:multiLevelType w:val="hybridMultilevel"/>
    <w:tmpl w:val="9DFA1FC2"/>
    <w:lvl w:ilvl="0" w:tplc="CB121132">
      <w:start w:val="1"/>
      <w:numFmt w:val="upperLetter"/>
      <w:lvlText w:val="%1."/>
      <w:lvlJc w:val="left"/>
      <w:pPr>
        <w:ind w:left="720" w:hanging="360"/>
      </w:pPr>
      <w:rPr>
        <w:b/>
        <w:i w:val="0"/>
        <w:color w:val="auto"/>
        <w:sz w:val="22"/>
        <w:szCs w:val="22"/>
      </w:rPr>
    </w:lvl>
    <w:lvl w:ilvl="1" w:tplc="76AAEBD6">
      <w:start w:val="1"/>
      <w:numFmt w:val="bullet"/>
      <w:lvlText w:val=""/>
      <w:lvlJc w:val="left"/>
      <w:pPr>
        <w:ind w:left="1440" w:hanging="360"/>
      </w:pPr>
      <w:rPr>
        <w:rFonts w:ascii="Symbol" w:hAnsi="Symbol" w:hint="default"/>
        <w:b w:val="0"/>
        <w:i w:val="0"/>
        <w:sz w:val="20"/>
        <w:szCs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434793B"/>
    <w:multiLevelType w:val="hybridMultilevel"/>
    <w:tmpl w:val="2AC2A52E"/>
    <w:lvl w:ilvl="0" w:tplc="572831BE">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 w15:restartNumberingAfterBreak="0">
    <w:nsid w:val="045E3162"/>
    <w:multiLevelType w:val="multilevel"/>
    <w:tmpl w:val="879E37AC"/>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6" w15:restartNumberingAfterBreak="0">
    <w:nsid w:val="04A448BB"/>
    <w:multiLevelType w:val="hybridMultilevel"/>
    <w:tmpl w:val="F04C33C6"/>
    <w:lvl w:ilvl="0" w:tplc="8696C010">
      <w:start w:val="1"/>
      <w:numFmt w:val="upperLetter"/>
      <w:lvlText w:val="%1."/>
      <w:lvlJc w:val="left"/>
      <w:pPr>
        <w:ind w:left="720" w:hanging="360"/>
      </w:pPr>
      <w:rPr>
        <w:b/>
        <w:i w:val="0"/>
        <w:color w:val="auto"/>
        <w:sz w:val="22"/>
        <w:szCs w:val="22"/>
      </w:rPr>
    </w:lvl>
    <w:lvl w:ilvl="1" w:tplc="04090001">
      <w:start w:val="1"/>
      <w:numFmt w:val="bullet"/>
      <w:lvlText w:val=""/>
      <w:lvlJc w:val="left"/>
      <w:pPr>
        <w:ind w:left="1440" w:hanging="360"/>
      </w:pPr>
      <w:rPr>
        <w:rFonts w:ascii="Symbol" w:hAnsi="Symbol" w:cs="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7" w15:restartNumberingAfterBreak="0">
    <w:nsid w:val="04D6241E"/>
    <w:multiLevelType w:val="hybridMultilevel"/>
    <w:tmpl w:val="B31CAEDC"/>
    <w:name w:val="OutlineHeadings2322"/>
    <w:lvl w:ilvl="0" w:tplc="42145174">
      <w:start w:val="1"/>
      <w:numFmt w:val="bullet"/>
      <w:lvlText w:val=""/>
      <w:lvlJc w:val="left"/>
      <w:pPr>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8" w15:restartNumberingAfterBreak="0">
    <w:nsid w:val="05791585"/>
    <w:multiLevelType w:val="hybridMultilevel"/>
    <w:tmpl w:val="8294CEA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05972E92"/>
    <w:multiLevelType w:val="hybridMultilevel"/>
    <w:tmpl w:val="F4C4AEF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05F36B8E"/>
    <w:multiLevelType w:val="hybridMultilevel"/>
    <w:tmpl w:val="C6CC3594"/>
    <w:lvl w:ilvl="0" w:tplc="110A16E8">
      <w:start w:val="1"/>
      <w:numFmt w:val="decimal"/>
      <w:lvlText w:val="%1."/>
      <w:lvlJc w:val="left"/>
      <w:pPr>
        <w:ind w:left="720" w:hanging="360"/>
      </w:pPr>
      <w:rPr>
        <w:b w:val="0"/>
        <w:i w:val="0"/>
        <w:caps w:val="0"/>
        <w:strike w:val="0"/>
        <w:dstrike w:val="0"/>
        <w:vanish w:val="0"/>
        <w:kern w:val="0"/>
        <w:sz w:val="20"/>
        <w:szCs w:val="20"/>
        <w:vertAlign w:val="baseline"/>
        <w14:cntxtAlts w14: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0677276A"/>
    <w:multiLevelType w:val="hybridMultilevel"/>
    <w:tmpl w:val="63704F7A"/>
    <w:lvl w:ilvl="0" w:tplc="80B4F838">
      <w:start w:val="6"/>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2" w15:restartNumberingAfterBreak="0">
    <w:nsid w:val="0685581B"/>
    <w:multiLevelType w:val="multilevel"/>
    <w:tmpl w:val="B9BCD86C"/>
    <w:lvl w:ilvl="0">
      <w:start w:val="1"/>
      <w:numFmt w:val="decimal"/>
      <w:lvlText w:val="%1."/>
      <w:lvlJc w:val="left"/>
      <w:pPr>
        <w:tabs>
          <w:tab w:val="num" w:pos="288"/>
        </w:tabs>
        <w:ind w:left="288" w:hanging="288"/>
      </w:pPr>
      <w:rPr>
        <w:b/>
        <w:i w:val="0"/>
      </w:rPr>
    </w:lvl>
    <w:lvl w:ilvl="1">
      <w:start w:val="1"/>
      <w:numFmt w:val="upperLetter"/>
      <w:lvlText w:val="%2."/>
      <w:lvlJc w:val="left"/>
      <w:pPr>
        <w:tabs>
          <w:tab w:val="num" w:pos="720"/>
        </w:tabs>
        <w:ind w:left="720" w:hanging="432"/>
      </w:pPr>
      <w:rPr>
        <w:b/>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3" w15:restartNumberingAfterBreak="0">
    <w:nsid w:val="06935D2F"/>
    <w:multiLevelType w:val="hybridMultilevel"/>
    <w:tmpl w:val="24F2A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Arial"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6F04A43"/>
    <w:multiLevelType w:val="hybridMultilevel"/>
    <w:tmpl w:val="62A2560E"/>
    <w:lvl w:ilvl="0" w:tplc="5B40837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5" w15:restartNumberingAfterBreak="0">
    <w:nsid w:val="07AF7776"/>
    <w:multiLevelType w:val="hybridMultilevel"/>
    <w:tmpl w:val="24984E32"/>
    <w:lvl w:ilvl="0" w:tplc="67D0ED7C">
      <w:start w:val="1"/>
      <w:numFmt w:val="upperLetter"/>
      <w:lvlText w:val="%1."/>
      <w:lvlJc w:val="left"/>
      <w:pPr>
        <w:ind w:left="1080"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6" w15:restartNumberingAfterBreak="0">
    <w:nsid w:val="07EA53DA"/>
    <w:multiLevelType w:val="hybridMultilevel"/>
    <w:tmpl w:val="51022504"/>
    <w:lvl w:ilvl="0" w:tplc="1E44A246">
      <w:start w:val="1"/>
      <w:numFmt w:val="bullet"/>
      <w:lvlText w:val=""/>
      <w:lvlJc w:val="left"/>
      <w:pPr>
        <w:ind w:left="1800" w:hanging="360"/>
      </w:pPr>
      <w:rPr>
        <w:rFonts w:ascii="Symbol" w:hAnsi="Symbol" w:hint="default"/>
        <w:b w:val="0"/>
        <w:i w:val="0"/>
        <w:color w:val="auto"/>
        <w:sz w:val="20"/>
      </w:rPr>
    </w:lvl>
    <w:lvl w:ilvl="1" w:tplc="1E44A246">
      <w:start w:val="1"/>
      <w:numFmt w:val="bullet"/>
      <w:lvlText w:val=""/>
      <w:lvlJc w:val="left"/>
      <w:pPr>
        <w:ind w:left="1440" w:hanging="360"/>
      </w:pPr>
      <w:rPr>
        <w:rFonts w:ascii="Symbol" w:hAnsi="Symbol" w:hint="default"/>
        <w:b w:val="0"/>
        <w:i w:val="0"/>
        <w:color w:val="auto"/>
        <w:sz w:val="20"/>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8037D77"/>
    <w:multiLevelType w:val="hybridMultilevel"/>
    <w:tmpl w:val="537896BA"/>
    <w:name w:val="OutlineHeadings22"/>
    <w:lvl w:ilvl="0" w:tplc="D87802DE">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8" w15:restartNumberingAfterBreak="0">
    <w:nsid w:val="081C42E0"/>
    <w:multiLevelType w:val="hybridMultilevel"/>
    <w:tmpl w:val="A4F49FF6"/>
    <w:lvl w:ilvl="0" w:tplc="BAA03540">
      <w:start w:val="1"/>
      <w:numFmt w:val="upperLetter"/>
      <w:lvlText w:val="%1."/>
      <w:lvlJc w:val="left"/>
      <w:pPr>
        <w:ind w:left="720" w:hanging="360"/>
      </w:pPr>
      <w:rPr>
        <w:b/>
        <w:i w:val="0"/>
        <w:color w:val="auto"/>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08415F00"/>
    <w:multiLevelType w:val="multilevel"/>
    <w:tmpl w:val="269EEA20"/>
    <w:lvl w:ilvl="0">
      <w:start w:val="5"/>
      <w:numFmt w:val="decimal"/>
      <w:lvlText w:val="%1."/>
      <w:lvlJc w:val="left"/>
      <w:pPr>
        <w:tabs>
          <w:tab w:val="num" w:pos="360"/>
        </w:tabs>
        <w:ind w:left="360" w:hanging="360"/>
      </w:pPr>
      <w:rPr>
        <w:b/>
        <w:i w:val="0"/>
        <w:color w:val="auto"/>
        <w:sz w:val="22"/>
        <w:szCs w:val="22"/>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0" w15:restartNumberingAfterBreak="0">
    <w:nsid w:val="08473DB5"/>
    <w:multiLevelType w:val="multilevel"/>
    <w:tmpl w:val="4F2E323E"/>
    <w:lvl w:ilvl="0">
      <w:start w:val="3"/>
      <w:numFmt w:val="decimal"/>
      <w:lvlText w:val="%1."/>
      <w:lvlJc w:val="left"/>
      <w:pPr>
        <w:tabs>
          <w:tab w:val="num" w:pos="360"/>
        </w:tabs>
        <w:ind w:left="360" w:hanging="360"/>
      </w:pPr>
      <w:rPr>
        <w:b/>
        <w:i w:val="0"/>
      </w:rPr>
    </w:lvl>
    <w:lvl w:ilvl="1">
      <w:start w:val="1"/>
      <w:numFmt w:val="bullet"/>
      <w:lvlText w:val=""/>
      <w:lvlJc w:val="left"/>
      <w:pPr>
        <w:tabs>
          <w:tab w:val="num" w:pos="720"/>
        </w:tabs>
        <w:ind w:left="720" w:hanging="432"/>
      </w:pPr>
      <w:rPr>
        <w:rFonts w:ascii="Symbol" w:hAnsi="Symbol" w:hint="default"/>
        <w:b w:val="0"/>
        <w:i w:val="0"/>
        <w:color w:val="auto"/>
        <w:sz w:val="22"/>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1" w15:restartNumberingAfterBreak="0">
    <w:nsid w:val="08F0143B"/>
    <w:multiLevelType w:val="hybridMultilevel"/>
    <w:tmpl w:val="B22CC758"/>
    <w:lvl w:ilvl="0" w:tplc="C3E20EA2">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9DC60F62">
      <w:start w:val="1"/>
      <w:numFmt w:val="bullet"/>
      <w:lvlText w:val=""/>
      <w:lvlJc w:val="left"/>
      <w:pPr>
        <w:tabs>
          <w:tab w:val="num" w:pos="2070"/>
        </w:tabs>
        <w:ind w:left="207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2" w15:restartNumberingAfterBreak="0">
    <w:nsid w:val="09687A70"/>
    <w:multiLevelType w:val="hybridMultilevel"/>
    <w:tmpl w:val="E51AC446"/>
    <w:lvl w:ilvl="0" w:tplc="5576F6CE">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09C15123"/>
    <w:multiLevelType w:val="multilevel"/>
    <w:tmpl w:val="3AC4E53E"/>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upperLetter"/>
      <w:lvlText w:val="%3."/>
      <w:lvlJc w:val="left"/>
      <w:pPr>
        <w:tabs>
          <w:tab w:val="num" w:pos="1728"/>
        </w:tabs>
        <w:ind w:left="1728" w:hanging="288"/>
      </w:p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44" w15:restartNumberingAfterBreak="0">
    <w:nsid w:val="09FC466D"/>
    <w:multiLevelType w:val="hybridMultilevel"/>
    <w:tmpl w:val="320C510E"/>
    <w:lvl w:ilvl="0" w:tplc="9DC60F62">
      <w:start w:val="1"/>
      <w:numFmt w:val="bullet"/>
      <w:lvlText w:val=""/>
      <w:lvlJc w:val="left"/>
      <w:pPr>
        <w:tabs>
          <w:tab w:val="num" w:pos="1888"/>
        </w:tabs>
        <w:ind w:left="1888" w:hanging="360"/>
      </w:pPr>
      <w:rPr>
        <w:rFonts w:ascii="Symbol" w:hAnsi="Symbol" w:hint="default"/>
        <w:b w:val="0"/>
        <w:i w:val="0"/>
        <w:color w:val="auto"/>
        <w:sz w:val="20"/>
      </w:rPr>
    </w:lvl>
    <w:lvl w:ilvl="1" w:tplc="00030409" w:tentative="1">
      <w:start w:val="1"/>
      <w:numFmt w:val="bullet"/>
      <w:lvlText w:val="o"/>
      <w:lvlJc w:val="left"/>
      <w:pPr>
        <w:ind w:left="1258" w:hanging="360"/>
      </w:pPr>
      <w:rPr>
        <w:rFonts w:ascii="Courier New" w:hAnsi="Courier New" w:hint="default"/>
      </w:rPr>
    </w:lvl>
    <w:lvl w:ilvl="2" w:tplc="00050409" w:tentative="1">
      <w:start w:val="1"/>
      <w:numFmt w:val="bullet"/>
      <w:lvlText w:val=""/>
      <w:lvlJc w:val="left"/>
      <w:pPr>
        <w:ind w:left="1978" w:hanging="360"/>
      </w:pPr>
      <w:rPr>
        <w:rFonts w:ascii="Wingdings" w:hAnsi="Wingdings" w:hint="default"/>
      </w:rPr>
    </w:lvl>
    <w:lvl w:ilvl="3" w:tplc="00010409" w:tentative="1">
      <w:start w:val="1"/>
      <w:numFmt w:val="bullet"/>
      <w:lvlText w:val=""/>
      <w:lvlJc w:val="left"/>
      <w:pPr>
        <w:ind w:left="2698" w:hanging="360"/>
      </w:pPr>
      <w:rPr>
        <w:rFonts w:ascii="Symbol" w:hAnsi="Symbol" w:hint="default"/>
      </w:rPr>
    </w:lvl>
    <w:lvl w:ilvl="4" w:tplc="00030409" w:tentative="1">
      <w:start w:val="1"/>
      <w:numFmt w:val="bullet"/>
      <w:lvlText w:val="o"/>
      <w:lvlJc w:val="left"/>
      <w:pPr>
        <w:ind w:left="3418" w:hanging="360"/>
      </w:pPr>
      <w:rPr>
        <w:rFonts w:ascii="Courier New" w:hAnsi="Courier New" w:hint="default"/>
      </w:rPr>
    </w:lvl>
    <w:lvl w:ilvl="5" w:tplc="00050409" w:tentative="1">
      <w:start w:val="1"/>
      <w:numFmt w:val="bullet"/>
      <w:lvlText w:val=""/>
      <w:lvlJc w:val="left"/>
      <w:pPr>
        <w:ind w:left="4138" w:hanging="360"/>
      </w:pPr>
      <w:rPr>
        <w:rFonts w:ascii="Wingdings" w:hAnsi="Wingdings" w:hint="default"/>
      </w:rPr>
    </w:lvl>
    <w:lvl w:ilvl="6" w:tplc="00010409" w:tentative="1">
      <w:start w:val="1"/>
      <w:numFmt w:val="bullet"/>
      <w:lvlText w:val=""/>
      <w:lvlJc w:val="left"/>
      <w:pPr>
        <w:ind w:left="4858" w:hanging="360"/>
      </w:pPr>
      <w:rPr>
        <w:rFonts w:ascii="Symbol" w:hAnsi="Symbol" w:hint="default"/>
      </w:rPr>
    </w:lvl>
    <w:lvl w:ilvl="7" w:tplc="00030409" w:tentative="1">
      <w:start w:val="1"/>
      <w:numFmt w:val="bullet"/>
      <w:lvlText w:val="o"/>
      <w:lvlJc w:val="left"/>
      <w:pPr>
        <w:ind w:left="5578" w:hanging="360"/>
      </w:pPr>
      <w:rPr>
        <w:rFonts w:ascii="Courier New" w:hAnsi="Courier New" w:hint="default"/>
      </w:rPr>
    </w:lvl>
    <w:lvl w:ilvl="8" w:tplc="00050409" w:tentative="1">
      <w:start w:val="1"/>
      <w:numFmt w:val="bullet"/>
      <w:lvlText w:val=""/>
      <w:lvlJc w:val="left"/>
      <w:pPr>
        <w:ind w:left="6298" w:hanging="360"/>
      </w:pPr>
      <w:rPr>
        <w:rFonts w:ascii="Wingdings" w:hAnsi="Wingdings" w:hint="default"/>
      </w:rPr>
    </w:lvl>
  </w:abstractNum>
  <w:abstractNum w:abstractNumId="45" w15:restartNumberingAfterBreak="0">
    <w:nsid w:val="0A1A2AC6"/>
    <w:multiLevelType w:val="multilevel"/>
    <w:tmpl w:val="D42AF42C"/>
    <w:lvl w:ilvl="0">
      <w:start w:val="1"/>
      <w:numFmt w:val="upperLetter"/>
      <w:lvlText w:val="%1."/>
      <w:lvlJc w:val="left"/>
      <w:pPr>
        <w:tabs>
          <w:tab w:val="num" w:pos="360"/>
        </w:tabs>
        <w:ind w:left="360" w:hanging="360"/>
      </w:pPr>
      <w:rPr>
        <w:b w:val="0"/>
        <w:i w:val="0"/>
      </w:rPr>
    </w:lvl>
    <w:lvl w:ilvl="1">
      <w:start w:val="1"/>
      <w:numFmt w:val="upperLetter"/>
      <w:lvlText w:val="%2."/>
      <w:lvlJc w:val="left"/>
      <w:pPr>
        <w:tabs>
          <w:tab w:val="num" w:pos="1062"/>
        </w:tabs>
        <w:ind w:left="1062" w:hanging="432"/>
      </w:pPr>
      <w:rPr>
        <w:b/>
        <w:i w:val="0"/>
      </w:rPr>
    </w:lvl>
    <w:lvl w:ilvl="2">
      <w:start w:val="1"/>
      <w:numFmt w:val="bullet"/>
      <w:lvlText w:val=""/>
      <w:lvlJc w:val="left"/>
      <w:pPr>
        <w:tabs>
          <w:tab w:val="num" w:pos="1080"/>
        </w:tabs>
        <w:ind w:left="1080" w:hanging="360"/>
      </w:pPr>
      <w:rPr>
        <w:rFonts w:ascii="Symbol" w:hAnsi="Symbol" w:hint="default"/>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bullet"/>
      <w:lvlText w:val=""/>
      <w:lvlJc w:val="left"/>
      <w:pPr>
        <w:ind w:left="1800" w:hanging="360"/>
      </w:pPr>
      <w:rPr>
        <w:rFonts w:ascii="Symbol" w:hAnsi="Symbol" w:hint="default"/>
      </w:r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6" w15:restartNumberingAfterBreak="0">
    <w:nsid w:val="0A4952CF"/>
    <w:multiLevelType w:val="multilevel"/>
    <w:tmpl w:val="7F8ED440"/>
    <w:lvl w:ilvl="0">
      <w:start w:val="2"/>
      <w:numFmt w:val="decimal"/>
      <w:lvlText w:val="%1."/>
      <w:lvlJc w:val="left"/>
      <w:pPr>
        <w:tabs>
          <w:tab w:val="num" w:pos="360"/>
        </w:tabs>
        <w:ind w:left="360" w:hanging="360"/>
      </w:pPr>
    </w:lvl>
    <w:lvl w:ilvl="1">
      <w:start w:val="2"/>
      <w:numFmt w:val="decimal"/>
      <w:lvlText w:val="%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7" w15:restartNumberingAfterBreak="0">
    <w:nsid w:val="0A551F9F"/>
    <w:multiLevelType w:val="hybridMultilevel"/>
    <w:tmpl w:val="DB142EAA"/>
    <w:lvl w:ilvl="0" w:tplc="AC0A6C9A">
      <w:start w:val="1"/>
      <w:numFmt w:val="decimal"/>
      <w:lvlText w:val="%1."/>
      <w:lvlJc w:val="left"/>
      <w:pPr>
        <w:tabs>
          <w:tab w:val="num" w:pos="1008"/>
        </w:tabs>
        <w:ind w:left="1008" w:hanging="360"/>
      </w:pPr>
      <w:rPr>
        <w:b/>
        <w:i w:val="0"/>
        <w:color w:val="auto"/>
        <w:sz w:val="22"/>
        <w:szCs w:val="22"/>
      </w:rPr>
    </w:lvl>
    <w:lvl w:ilvl="1" w:tplc="00190409">
      <w:start w:val="1"/>
      <w:numFmt w:val="lowerLetter"/>
      <w:lvlText w:val="%2."/>
      <w:lvlJc w:val="left"/>
      <w:pPr>
        <w:ind w:left="1872" w:hanging="360"/>
      </w:pPr>
    </w:lvl>
    <w:lvl w:ilvl="2" w:tplc="001B0409">
      <w:start w:val="1"/>
      <w:numFmt w:val="lowerRoman"/>
      <w:lvlText w:val="%3."/>
      <w:lvlJc w:val="right"/>
      <w:pPr>
        <w:ind w:left="2592" w:hanging="180"/>
      </w:pPr>
    </w:lvl>
    <w:lvl w:ilvl="3" w:tplc="000F0409" w:tentative="1">
      <w:start w:val="1"/>
      <w:numFmt w:val="decimal"/>
      <w:lvlText w:val="%4."/>
      <w:lvlJc w:val="left"/>
      <w:pPr>
        <w:ind w:left="3312" w:hanging="360"/>
      </w:pPr>
    </w:lvl>
    <w:lvl w:ilvl="4" w:tplc="00190409" w:tentative="1">
      <w:start w:val="1"/>
      <w:numFmt w:val="lowerLetter"/>
      <w:lvlText w:val="%5."/>
      <w:lvlJc w:val="left"/>
      <w:pPr>
        <w:ind w:left="4032" w:hanging="360"/>
      </w:pPr>
    </w:lvl>
    <w:lvl w:ilvl="5" w:tplc="001B0409" w:tentative="1">
      <w:start w:val="1"/>
      <w:numFmt w:val="lowerRoman"/>
      <w:lvlText w:val="%6."/>
      <w:lvlJc w:val="right"/>
      <w:pPr>
        <w:ind w:left="4752" w:hanging="180"/>
      </w:pPr>
    </w:lvl>
    <w:lvl w:ilvl="6" w:tplc="000F0409" w:tentative="1">
      <w:start w:val="1"/>
      <w:numFmt w:val="decimal"/>
      <w:lvlText w:val="%7."/>
      <w:lvlJc w:val="left"/>
      <w:pPr>
        <w:ind w:left="5472" w:hanging="360"/>
      </w:pPr>
    </w:lvl>
    <w:lvl w:ilvl="7" w:tplc="00190409" w:tentative="1">
      <w:start w:val="1"/>
      <w:numFmt w:val="lowerLetter"/>
      <w:lvlText w:val="%8."/>
      <w:lvlJc w:val="left"/>
      <w:pPr>
        <w:ind w:left="6192" w:hanging="360"/>
      </w:pPr>
    </w:lvl>
    <w:lvl w:ilvl="8" w:tplc="001B0409" w:tentative="1">
      <w:start w:val="1"/>
      <w:numFmt w:val="lowerRoman"/>
      <w:lvlText w:val="%9."/>
      <w:lvlJc w:val="right"/>
      <w:pPr>
        <w:ind w:left="6912" w:hanging="180"/>
      </w:pPr>
    </w:lvl>
  </w:abstractNum>
  <w:abstractNum w:abstractNumId="48" w15:restartNumberingAfterBreak="0">
    <w:nsid w:val="0A580C09"/>
    <w:multiLevelType w:val="hybridMultilevel"/>
    <w:tmpl w:val="7F322602"/>
    <w:lvl w:ilvl="0" w:tplc="7ECE3C80">
      <w:start w:val="5"/>
      <w:numFmt w:val="decimal"/>
      <w:lvlText w:val="%1."/>
      <w:lvlJc w:val="left"/>
      <w:pPr>
        <w:ind w:left="153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0A5F04EC"/>
    <w:multiLevelType w:val="hybridMultilevel"/>
    <w:tmpl w:val="23E09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0A8F4E3E"/>
    <w:multiLevelType w:val="hybridMultilevel"/>
    <w:tmpl w:val="F600E902"/>
    <w:lvl w:ilvl="0" w:tplc="FFFFFFFF">
      <w:start w:val="1"/>
      <w:numFmt w:val="bullet"/>
      <w:lvlText w:val=""/>
      <w:lvlJc w:val="left"/>
      <w:pPr>
        <w:ind w:left="1800" w:hanging="360"/>
      </w:pPr>
      <w:rPr>
        <w:rFonts w:ascii="Symbol" w:hAnsi="Symbol" w:hint="default"/>
        <w:b w:val="0"/>
        <w:i w:val="0"/>
        <w:color w:val="auto"/>
        <w:sz w:val="20"/>
      </w:rPr>
    </w:lvl>
    <w:lvl w:ilvl="1" w:tplc="FFFFFFFF">
      <w:start w:val="1"/>
      <w:numFmt w:val="bullet"/>
      <w:lvlText w:val="o"/>
      <w:lvlJc w:val="left"/>
      <w:pPr>
        <w:ind w:left="1350" w:hanging="360"/>
      </w:pPr>
      <w:rPr>
        <w:rFonts w:ascii="Courier New" w:hAnsi="Courier New" w:hint="default"/>
      </w:rPr>
    </w:lvl>
    <w:lvl w:ilvl="2" w:tplc="04090003">
      <w:start w:val="1"/>
      <w:numFmt w:val="bullet"/>
      <w:lvlText w:val="o"/>
      <w:lvlJc w:val="left"/>
      <w:pPr>
        <w:ind w:left="2430" w:hanging="360"/>
      </w:pPr>
      <w:rPr>
        <w:rFonts w:ascii="Courier New" w:hAnsi="Courier New" w:cs="Courier New" w:hint="default"/>
      </w:rPr>
    </w:lvl>
    <w:lvl w:ilvl="3" w:tplc="FFFFFFFF">
      <w:start w:val="1"/>
      <w:numFmt w:val="bullet"/>
      <w:lvlText w:val=""/>
      <w:lvlJc w:val="left"/>
      <w:pPr>
        <w:ind w:left="2790" w:hanging="360"/>
      </w:pPr>
      <w:rPr>
        <w:rFonts w:ascii="Symbol" w:hAnsi="Symbol" w:hint="default"/>
      </w:rPr>
    </w:lvl>
    <w:lvl w:ilvl="4" w:tplc="FFFFFFFF">
      <w:start w:val="1"/>
      <w:numFmt w:val="bullet"/>
      <w:lvlText w:val="o"/>
      <w:lvlJc w:val="left"/>
      <w:pPr>
        <w:ind w:left="3510" w:hanging="360"/>
      </w:pPr>
      <w:rPr>
        <w:rFonts w:ascii="Courier New" w:hAnsi="Courier New" w:hint="default"/>
      </w:rPr>
    </w:lvl>
    <w:lvl w:ilvl="5" w:tplc="FFFFFFFF">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51" w15:restartNumberingAfterBreak="0">
    <w:nsid w:val="0B420F53"/>
    <w:multiLevelType w:val="hybridMultilevel"/>
    <w:tmpl w:val="31D05180"/>
    <w:lvl w:ilvl="0" w:tplc="C3E20EA2">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9DC60F62">
      <w:start w:val="1"/>
      <w:numFmt w:val="bullet"/>
      <w:lvlText w:val=""/>
      <w:lvlJc w:val="left"/>
      <w:pPr>
        <w:tabs>
          <w:tab w:val="num" w:pos="1080"/>
        </w:tabs>
        <w:ind w:left="108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52" w15:restartNumberingAfterBreak="0">
    <w:nsid w:val="0B4878D4"/>
    <w:multiLevelType w:val="hybridMultilevel"/>
    <w:tmpl w:val="51B045DC"/>
    <w:lvl w:ilvl="0" w:tplc="E02476EA">
      <w:start w:val="3"/>
      <w:numFmt w:val="upperLetter"/>
      <w:lvlText w:val="%1."/>
      <w:lvlJc w:val="left"/>
      <w:pPr>
        <w:ind w:left="720" w:hanging="360"/>
      </w:pPr>
      <w:rPr>
        <w:b w:val="0"/>
        <w:i w:val="0"/>
        <w:color w:val="auto"/>
        <w:sz w:val="24"/>
      </w:rPr>
    </w:lvl>
    <w:lvl w:ilvl="1" w:tplc="8F4CD8F8">
      <w:start w:val="3"/>
      <w:numFmt w:val="upperLetter"/>
      <w:lvlText w:val="%2."/>
      <w:lvlJc w:val="left"/>
      <w:pPr>
        <w:ind w:left="1440" w:hanging="360"/>
      </w:pPr>
      <w:rPr>
        <w:b/>
        <w:i w:val="0"/>
        <w:color w:val="auto"/>
        <w:sz w:val="22"/>
        <w:szCs w:val="22"/>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0B526DE6"/>
    <w:multiLevelType w:val="hybridMultilevel"/>
    <w:tmpl w:val="2D1A86E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0BB2587D"/>
    <w:multiLevelType w:val="hybridMultilevel"/>
    <w:tmpl w:val="94225762"/>
    <w:lvl w:ilvl="0" w:tplc="12FEF11C">
      <w:start w:val="1"/>
      <w:numFmt w:val="decimal"/>
      <w:lvlText w:val="%1."/>
      <w:lvlJc w:val="left"/>
      <w:pPr>
        <w:tabs>
          <w:tab w:val="num" w:pos="720"/>
        </w:tabs>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0BF85FC5"/>
    <w:multiLevelType w:val="hybridMultilevel"/>
    <w:tmpl w:val="B002DD9C"/>
    <w:lvl w:ilvl="0" w:tplc="A564AE70">
      <w:start w:val="1"/>
      <w:numFmt w:val="bullet"/>
      <w:lvlText w:val=""/>
      <w:lvlJc w:val="left"/>
      <w:pPr>
        <w:tabs>
          <w:tab w:val="num" w:pos="720"/>
        </w:tabs>
        <w:ind w:left="720" w:hanging="360"/>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0C1B0F02"/>
    <w:multiLevelType w:val="hybridMultilevel"/>
    <w:tmpl w:val="73EA6FB2"/>
    <w:lvl w:ilvl="0" w:tplc="0409000F">
      <w:start w:val="1"/>
      <w:numFmt w:val="decimal"/>
      <w:lvlText w:val="%1."/>
      <w:lvlJc w:val="left"/>
      <w:pPr>
        <w:ind w:left="1080" w:hanging="360"/>
      </w:pPr>
      <w:rPr>
        <w:b/>
        <w:i w:val="0"/>
        <w:color w:val="auto"/>
        <w:sz w:val="22"/>
        <w:szCs w:val="22"/>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7" w15:restartNumberingAfterBreak="0">
    <w:nsid w:val="0C2D450C"/>
    <w:multiLevelType w:val="multilevel"/>
    <w:tmpl w:val="9D368944"/>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tabs>
          <w:tab w:val="num" w:pos="1368"/>
        </w:tabs>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58" w15:restartNumberingAfterBreak="0">
    <w:nsid w:val="0C3E6985"/>
    <w:multiLevelType w:val="hybridMultilevel"/>
    <w:tmpl w:val="56CC5F5C"/>
    <w:lvl w:ilvl="0" w:tplc="3EEA1BE4">
      <w:start w:val="2"/>
      <w:numFmt w:val="upperLetter"/>
      <w:lvlText w:val="%1."/>
      <w:lvlJc w:val="left"/>
      <w:pPr>
        <w:tabs>
          <w:tab w:val="num" w:pos="720"/>
        </w:tabs>
        <w:ind w:left="720" w:hanging="360"/>
      </w:pPr>
      <w:rPr>
        <w:b/>
        <w:i w:val="0"/>
        <w:color w:val="auto"/>
        <w:sz w:val="22"/>
        <w:szCs w:val="22"/>
      </w:rPr>
    </w:lvl>
    <w:lvl w:ilvl="1" w:tplc="00190409">
      <w:start w:val="1"/>
      <w:numFmt w:val="lowerLetter"/>
      <w:lvlText w:val="%2."/>
      <w:lvlJc w:val="left"/>
      <w:pPr>
        <w:ind w:left="1152" w:hanging="360"/>
      </w:pPr>
    </w:lvl>
    <w:lvl w:ilvl="2" w:tplc="001B0409">
      <w:start w:val="1"/>
      <w:numFmt w:val="lowerRoman"/>
      <w:lvlText w:val="%3."/>
      <w:lvlJc w:val="right"/>
      <w:pPr>
        <w:ind w:left="1872" w:hanging="180"/>
      </w:pPr>
    </w:lvl>
    <w:lvl w:ilvl="3" w:tplc="000F0409">
      <w:start w:val="1"/>
      <w:numFmt w:val="decimal"/>
      <w:lvlText w:val="%4."/>
      <w:lvlJc w:val="left"/>
      <w:pPr>
        <w:ind w:left="2592" w:hanging="360"/>
      </w:pPr>
    </w:lvl>
    <w:lvl w:ilvl="4" w:tplc="00190409">
      <w:start w:val="1"/>
      <w:numFmt w:val="lowerLetter"/>
      <w:lvlText w:val="%5."/>
      <w:lvlJc w:val="left"/>
      <w:pPr>
        <w:ind w:left="3312" w:hanging="360"/>
      </w:pPr>
    </w:lvl>
    <w:lvl w:ilvl="5" w:tplc="001B0409">
      <w:start w:val="1"/>
      <w:numFmt w:val="lowerRoman"/>
      <w:lvlText w:val="%6."/>
      <w:lvlJc w:val="right"/>
      <w:pPr>
        <w:ind w:left="4032" w:hanging="180"/>
      </w:pPr>
    </w:lvl>
    <w:lvl w:ilvl="6" w:tplc="000F0409">
      <w:start w:val="1"/>
      <w:numFmt w:val="decimal"/>
      <w:lvlText w:val="%7."/>
      <w:lvlJc w:val="left"/>
      <w:pPr>
        <w:ind w:left="4752" w:hanging="360"/>
      </w:pPr>
    </w:lvl>
    <w:lvl w:ilvl="7" w:tplc="00190409">
      <w:start w:val="1"/>
      <w:numFmt w:val="lowerLetter"/>
      <w:lvlText w:val="%8."/>
      <w:lvlJc w:val="left"/>
      <w:pPr>
        <w:ind w:left="5472" w:hanging="360"/>
      </w:pPr>
    </w:lvl>
    <w:lvl w:ilvl="8" w:tplc="001B0409">
      <w:start w:val="1"/>
      <w:numFmt w:val="lowerRoman"/>
      <w:lvlText w:val="%9."/>
      <w:lvlJc w:val="right"/>
      <w:pPr>
        <w:ind w:left="6192" w:hanging="180"/>
      </w:pPr>
    </w:lvl>
  </w:abstractNum>
  <w:abstractNum w:abstractNumId="59" w15:restartNumberingAfterBreak="0">
    <w:nsid w:val="0C414568"/>
    <w:multiLevelType w:val="multilevel"/>
    <w:tmpl w:val="3DF8A9CC"/>
    <w:lvl w:ilvl="0">
      <w:start w:val="1"/>
      <w:numFmt w:val="upperLetter"/>
      <w:lvlText w:val="%1."/>
      <w:lvlJc w:val="left"/>
      <w:pPr>
        <w:tabs>
          <w:tab w:val="num" w:pos="360"/>
        </w:tabs>
        <w:ind w:left="360" w:hanging="360"/>
      </w:pPr>
      <w:rPr>
        <w:b/>
        <w:i w:val="0"/>
        <w:color w:val="auto"/>
        <w:sz w:val="24"/>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upperLetter"/>
      <w:lvlText w:val="%4."/>
      <w:lvlJc w:val="left"/>
      <w:pPr>
        <w:tabs>
          <w:tab w:val="num" w:pos="1368"/>
        </w:tabs>
        <w:ind w:left="1368" w:hanging="360"/>
      </w:pPr>
      <w:rPr>
        <w:b/>
        <w:i w:val="0"/>
        <w:color w:val="auto"/>
        <w:sz w:val="22"/>
        <w:szCs w:val="22"/>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0" w15:restartNumberingAfterBreak="0">
    <w:nsid w:val="0C75175C"/>
    <w:multiLevelType w:val="hybridMultilevel"/>
    <w:tmpl w:val="9B768122"/>
    <w:lvl w:ilvl="0" w:tplc="EB80241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tentative="1">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61" w15:restartNumberingAfterBreak="0">
    <w:nsid w:val="0C79370F"/>
    <w:multiLevelType w:val="hybridMultilevel"/>
    <w:tmpl w:val="D3C604D2"/>
    <w:lvl w:ilvl="0" w:tplc="EB80241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62" w15:restartNumberingAfterBreak="0">
    <w:nsid w:val="0CFE1D73"/>
    <w:multiLevelType w:val="hybridMultilevel"/>
    <w:tmpl w:val="F598710A"/>
    <w:lvl w:ilvl="0" w:tplc="1B366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F3F45766">
      <w:start w:val="1"/>
      <w:numFmt w:val="decimal"/>
      <w:lvlText w:val="(%7)"/>
      <w:lvlJc w:val="left"/>
      <w:pPr>
        <w:ind w:left="5040" w:hanging="360"/>
      </w:pPr>
    </w:lvl>
    <w:lvl w:ilvl="7" w:tplc="AC16457A">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0D245666"/>
    <w:multiLevelType w:val="hybridMultilevel"/>
    <w:tmpl w:val="897E0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0D371EA0"/>
    <w:multiLevelType w:val="hybridMultilevel"/>
    <w:tmpl w:val="3B4A0EB2"/>
    <w:lvl w:ilvl="0" w:tplc="9DC60F62">
      <w:start w:val="1"/>
      <w:numFmt w:val="bullet"/>
      <w:lvlText w:val=""/>
      <w:lvlJc w:val="left"/>
      <w:pPr>
        <w:tabs>
          <w:tab w:val="num" w:pos="2070"/>
        </w:tabs>
        <w:ind w:left="207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65" w15:restartNumberingAfterBreak="0">
    <w:nsid w:val="0E0F0932"/>
    <w:multiLevelType w:val="multilevel"/>
    <w:tmpl w:val="80F24D30"/>
    <w:lvl w:ilvl="0">
      <w:start w:val="1"/>
      <w:numFmt w:val="none"/>
      <w:lvlText w:val="1.6.3."/>
      <w:lvlJc w:val="left"/>
      <w:pPr>
        <w:tabs>
          <w:tab w:val="num" w:pos="360"/>
        </w:tabs>
        <w:ind w:left="360" w:hanging="360"/>
      </w:pPr>
      <w:rPr>
        <w:b/>
        <w:i w:val="0"/>
      </w:rPr>
    </w:lvl>
    <w:lvl w:ilvl="1">
      <w:start w:val="3"/>
      <w:numFmt w:val="upperLetter"/>
      <w:lvlText w:val="%2."/>
      <w:lvlJc w:val="left"/>
      <w:pPr>
        <w:tabs>
          <w:tab w:val="num" w:pos="792"/>
        </w:tabs>
        <w:ind w:left="792" w:hanging="432"/>
      </w:pPr>
      <w:rPr>
        <w:b/>
        <w:i w:val="0"/>
      </w:rPr>
    </w:lvl>
    <w:lvl w:ilvl="2">
      <w:start w:val="1"/>
      <w:numFmt w:val="decimal"/>
      <w:lvlText w:val="%3.6.3."/>
      <w:lvlJc w:val="left"/>
      <w:pPr>
        <w:tabs>
          <w:tab w:val="num" w:pos="1224"/>
        </w:tabs>
        <w:ind w:left="1224" w:hanging="504"/>
      </w:pPr>
      <w:rPr>
        <w:b/>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6" w15:restartNumberingAfterBreak="0">
    <w:nsid w:val="0E3110EA"/>
    <w:multiLevelType w:val="hybridMultilevel"/>
    <w:tmpl w:val="E7427CE0"/>
    <w:lvl w:ilvl="0" w:tplc="BAA03540">
      <w:start w:val="1"/>
      <w:numFmt w:val="upperLetter"/>
      <w:lvlText w:val="%1."/>
      <w:lvlJc w:val="left"/>
      <w:pPr>
        <w:tabs>
          <w:tab w:val="num" w:pos="1080"/>
        </w:tabs>
        <w:ind w:left="1080" w:hanging="360"/>
      </w:pPr>
      <w:rPr>
        <w:b/>
        <w:i w:val="0"/>
        <w:color w:val="auto"/>
        <w:sz w:val="22"/>
        <w:szCs w:val="22"/>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7" w15:restartNumberingAfterBreak="0">
    <w:nsid w:val="0E853B21"/>
    <w:multiLevelType w:val="hybridMultilevel"/>
    <w:tmpl w:val="C9787472"/>
    <w:lvl w:ilvl="0" w:tplc="B5D43046">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68" w15:restartNumberingAfterBreak="0">
    <w:nsid w:val="0E9347E5"/>
    <w:multiLevelType w:val="multilevel"/>
    <w:tmpl w:val="25522A3E"/>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1"/>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69" w15:restartNumberingAfterBreak="0">
    <w:nsid w:val="0EAA4F3D"/>
    <w:multiLevelType w:val="hybridMultilevel"/>
    <w:tmpl w:val="15F49A76"/>
    <w:lvl w:ilvl="0" w:tplc="5A5CD718">
      <w:start w:val="1"/>
      <w:numFmt w:val="bullet"/>
      <w:lvlText w:val=""/>
      <w:lvlJc w:val="left"/>
      <w:pPr>
        <w:tabs>
          <w:tab w:val="num" w:pos="1224"/>
        </w:tabs>
        <w:ind w:left="1224" w:hanging="360"/>
      </w:pPr>
      <w:rPr>
        <w:rFonts w:ascii="Symbol" w:hAnsi="Symbol" w:hint="default"/>
        <w:b w:val="0"/>
        <w:i w:val="0"/>
        <w:color w:val="auto"/>
        <w:sz w:val="20"/>
      </w:rPr>
    </w:lvl>
    <w:lvl w:ilvl="1" w:tplc="00030409">
      <w:start w:val="1"/>
      <w:numFmt w:val="bullet"/>
      <w:lvlText w:val="o"/>
      <w:lvlJc w:val="left"/>
      <w:pPr>
        <w:tabs>
          <w:tab w:val="num" w:pos="-72"/>
        </w:tabs>
        <w:ind w:left="-72" w:hanging="360"/>
      </w:pPr>
      <w:rPr>
        <w:rFonts w:ascii="Courier New" w:hAnsi="Courier New" w:hint="default"/>
      </w:rPr>
    </w:lvl>
    <w:lvl w:ilvl="2" w:tplc="CECA4DBE">
      <w:start w:val="1"/>
      <w:numFmt w:val="bullet"/>
      <w:lvlText w:val=""/>
      <w:lvlJc w:val="left"/>
      <w:pPr>
        <w:tabs>
          <w:tab w:val="num" w:pos="2736"/>
        </w:tabs>
        <w:ind w:left="2736" w:hanging="360"/>
      </w:pPr>
      <w:rPr>
        <w:rFonts w:ascii="Symbol" w:hAnsi="Symbol" w:hint="default"/>
        <w:b w:val="0"/>
        <w:i w:val="0"/>
        <w:color w:val="auto"/>
        <w:sz w:val="20"/>
      </w:rPr>
    </w:lvl>
    <w:lvl w:ilvl="3" w:tplc="00010409">
      <w:start w:val="1"/>
      <w:numFmt w:val="bullet"/>
      <w:lvlText w:val=""/>
      <w:lvlJc w:val="left"/>
      <w:pPr>
        <w:tabs>
          <w:tab w:val="num" w:pos="1368"/>
        </w:tabs>
        <w:ind w:left="1368" w:hanging="360"/>
      </w:pPr>
      <w:rPr>
        <w:rFonts w:ascii="Symbol" w:hAnsi="Symbol" w:hint="default"/>
      </w:rPr>
    </w:lvl>
    <w:lvl w:ilvl="4" w:tplc="00030409" w:tentative="1">
      <w:start w:val="1"/>
      <w:numFmt w:val="bullet"/>
      <w:lvlText w:val="o"/>
      <w:lvlJc w:val="left"/>
      <w:pPr>
        <w:tabs>
          <w:tab w:val="num" w:pos="2088"/>
        </w:tabs>
        <w:ind w:left="2088" w:hanging="360"/>
      </w:pPr>
      <w:rPr>
        <w:rFonts w:ascii="Courier New" w:hAnsi="Courier New" w:hint="default"/>
      </w:rPr>
    </w:lvl>
    <w:lvl w:ilvl="5" w:tplc="00050409" w:tentative="1">
      <w:start w:val="1"/>
      <w:numFmt w:val="bullet"/>
      <w:lvlText w:val=""/>
      <w:lvlJc w:val="left"/>
      <w:pPr>
        <w:tabs>
          <w:tab w:val="num" w:pos="2808"/>
        </w:tabs>
        <w:ind w:left="2808" w:hanging="360"/>
      </w:pPr>
      <w:rPr>
        <w:rFonts w:ascii="Wingdings" w:hAnsi="Wingdings" w:hint="default"/>
      </w:rPr>
    </w:lvl>
    <w:lvl w:ilvl="6" w:tplc="00010409" w:tentative="1">
      <w:start w:val="1"/>
      <w:numFmt w:val="bullet"/>
      <w:lvlText w:val=""/>
      <w:lvlJc w:val="left"/>
      <w:pPr>
        <w:tabs>
          <w:tab w:val="num" w:pos="3528"/>
        </w:tabs>
        <w:ind w:left="3528" w:hanging="360"/>
      </w:pPr>
      <w:rPr>
        <w:rFonts w:ascii="Symbol" w:hAnsi="Symbol" w:hint="default"/>
      </w:rPr>
    </w:lvl>
    <w:lvl w:ilvl="7" w:tplc="00030409" w:tentative="1">
      <w:start w:val="1"/>
      <w:numFmt w:val="bullet"/>
      <w:lvlText w:val="o"/>
      <w:lvlJc w:val="left"/>
      <w:pPr>
        <w:tabs>
          <w:tab w:val="num" w:pos="4248"/>
        </w:tabs>
        <w:ind w:left="4248" w:hanging="360"/>
      </w:pPr>
      <w:rPr>
        <w:rFonts w:ascii="Courier New" w:hAnsi="Courier New" w:hint="default"/>
      </w:rPr>
    </w:lvl>
    <w:lvl w:ilvl="8" w:tplc="00050409" w:tentative="1">
      <w:start w:val="1"/>
      <w:numFmt w:val="bullet"/>
      <w:lvlText w:val=""/>
      <w:lvlJc w:val="left"/>
      <w:pPr>
        <w:tabs>
          <w:tab w:val="num" w:pos="4968"/>
        </w:tabs>
        <w:ind w:left="4968" w:hanging="360"/>
      </w:pPr>
      <w:rPr>
        <w:rFonts w:ascii="Wingdings" w:hAnsi="Wingdings" w:hint="default"/>
      </w:rPr>
    </w:lvl>
  </w:abstractNum>
  <w:abstractNum w:abstractNumId="70" w15:restartNumberingAfterBreak="0">
    <w:nsid w:val="0EC31489"/>
    <w:multiLevelType w:val="hybridMultilevel"/>
    <w:tmpl w:val="08DC47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15:restartNumberingAfterBreak="0">
    <w:nsid w:val="0ED5235F"/>
    <w:multiLevelType w:val="hybridMultilevel"/>
    <w:tmpl w:val="05B68F4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2" w15:restartNumberingAfterBreak="0">
    <w:nsid w:val="0EEC19C1"/>
    <w:multiLevelType w:val="multilevel"/>
    <w:tmpl w:val="EB827532"/>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val="0"/>
        <w:i w:val="0"/>
        <w:color w:val="auto"/>
        <w:sz w:val="24"/>
      </w:rPr>
    </w:lvl>
    <w:lvl w:ilvl="2">
      <w:start w:val="6"/>
      <w:numFmt w:val="upperLetter"/>
      <w:lvlText w:val="%3."/>
      <w:lvlJc w:val="left"/>
      <w:pPr>
        <w:tabs>
          <w:tab w:val="num" w:pos="1008"/>
        </w:tabs>
        <w:ind w:left="1008" w:hanging="288"/>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3" w15:restartNumberingAfterBreak="0">
    <w:nsid w:val="0F073E5A"/>
    <w:multiLevelType w:val="hybridMultilevel"/>
    <w:tmpl w:val="8E1A0DC8"/>
    <w:name w:val="OutlineHeadings22222322"/>
    <w:lvl w:ilvl="0" w:tplc="36864EAA">
      <w:start w:val="1"/>
      <w:numFmt w:val="upperLetter"/>
      <w:lvlText w:val="%1."/>
      <w:lvlJc w:val="left"/>
      <w:pPr>
        <w:ind w:left="720" w:hanging="360"/>
      </w:pPr>
      <w:rPr>
        <w:b w:val="0"/>
        <w:i w:val="0"/>
        <w:color w:val="auto"/>
        <w:sz w:val="24"/>
      </w:rPr>
    </w:lvl>
    <w:lvl w:ilvl="1" w:tplc="1272ECAA">
      <w:start w:val="1"/>
      <w:numFmt w:val="upperLetter"/>
      <w:lvlText w:val="%2."/>
      <w:lvlJc w:val="left"/>
      <w:pPr>
        <w:ind w:left="1800" w:hanging="360"/>
      </w:pPr>
      <w:rPr>
        <w:b/>
        <w:i w:val="0"/>
        <w:color w:val="auto"/>
        <w:sz w:val="22"/>
        <w:szCs w:val="22"/>
      </w:rPr>
    </w:lvl>
    <w:lvl w:ilvl="2" w:tplc="80DAAC54">
      <w:start w:val="9"/>
      <w:numFmt w:val="decimal"/>
      <w:lvlText w:val="%3."/>
      <w:lvlJc w:val="left"/>
      <w:pPr>
        <w:tabs>
          <w:tab w:val="num" w:pos="360"/>
        </w:tabs>
        <w:ind w:left="360" w:hanging="360"/>
      </w:pPr>
      <w:rPr>
        <w:b/>
        <w:color w:val="auto"/>
      </w:r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74" w15:restartNumberingAfterBreak="0">
    <w:nsid w:val="0F141A5F"/>
    <w:multiLevelType w:val="hybridMultilevel"/>
    <w:tmpl w:val="C01A4AC2"/>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5" w15:restartNumberingAfterBreak="0">
    <w:nsid w:val="0FB96B4C"/>
    <w:multiLevelType w:val="hybridMultilevel"/>
    <w:tmpl w:val="B63801EA"/>
    <w:lvl w:ilvl="0" w:tplc="04090003">
      <w:start w:val="1"/>
      <w:numFmt w:val="bullet"/>
      <w:lvlText w:val="o"/>
      <w:lvlJc w:val="left"/>
      <w:pPr>
        <w:ind w:left="2160" w:hanging="360"/>
      </w:pPr>
      <w:rPr>
        <w:rFonts w:ascii="Courier New" w:hAnsi="Courier New" w:cs="Courier New" w:hint="default"/>
        <w:b w:val="0"/>
        <w:i w:val="0"/>
        <w:color w:val="auto"/>
        <w:sz w:val="20"/>
      </w:rPr>
    </w:lvl>
    <w:lvl w:ilvl="1" w:tplc="FFFFFFFF">
      <w:start w:val="1"/>
      <w:numFmt w:val="bullet"/>
      <w:lvlText w:val="o"/>
      <w:lvlJc w:val="left"/>
      <w:pPr>
        <w:ind w:left="720" w:hanging="360"/>
      </w:pPr>
      <w:rPr>
        <w:rFonts w:ascii="Courier New" w:hAnsi="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76" w15:restartNumberingAfterBreak="0">
    <w:nsid w:val="0FEB6354"/>
    <w:multiLevelType w:val="hybridMultilevel"/>
    <w:tmpl w:val="646A9580"/>
    <w:lvl w:ilvl="0" w:tplc="EF04F964">
      <w:start w:val="1"/>
      <w:numFmt w:val="decimal"/>
      <w:lvlText w:val="%1."/>
      <w:lvlJc w:val="left"/>
      <w:pPr>
        <w:tabs>
          <w:tab w:val="num" w:pos="720"/>
        </w:tabs>
        <w:ind w:left="720" w:hanging="360"/>
      </w:pPr>
      <w:rPr>
        <w:b/>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77" w15:restartNumberingAfterBreak="0">
    <w:nsid w:val="11146CCC"/>
    <w:multiLevelType w:val="hybridMultilevel"/>
    <w:tmpl w:val="5CE888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11286AF9"/>
    <w:multiLevelType w:val="multilevel"/>
    <w:tmpl w:val="A5868390"/>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79" w15:restartNumberingAfterBreak="0">
    <w:nsid w:val="11412A53"/>
    <w:multiLevelType w:val="hybridMultilevel"/>
    <w:tmpl w:val="E30840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11D6767B"/>
    <w:multiLevelType w:val="multilevel"/>
    <w:tmpl w:val="CE5A008E"/>
    <w:lvl w:ilvl="0">
      <w:start w:val="2"/>
      <w:numFmt w:val="upperLetter"/>
      <w:lvlText w:val="%1."/>
      <w:lvlJc w:val="left"/>
      <w:pPr>
        <w:tabs>
          <w:tab w:val="num" w:pos="1008"/>
        </w:tabs>
        <w:ind w:left="1944" w:hanging="1224"/>
      </w:pPr>
      <w:rPr>
        <w:b/>
        <w:i w:val="0"/>
        <w:color w:val="auto"/>
        <w:sz w:val="22"/>
        <w:szCs w:val="22"/>
      </w:rPr>
    </w:lvl>
    <w:lvl w:ilvl="1">
      <w:start w:val="1"/>
      <w:numFmt w:val="upperLetter"/>
      <w:lvlText w:val="%2."/>
      <w:lvlJc w:val="left"/>
      <w:pPr>
        <w:tabs>
          <w:tab w:val="num" w:pos="1440"/>
        </w:tabs>
        <w:ind w:left="1440" w:hanging="432"/>
      </w:pPr>
      <w:rPr>
        <w:b w:val="0"/>
        <w:i w:val="0"/>
        <w:color w:val="auto"/>
        <w:sz w:val="24"/>
      </w:rPr>
    </w:lvl>
    <w:lvl w:ilvl="2">
      <w:start w:val="3"/>
      <w:numFmt w:val="upperLetter"/>
      <w:lvlText w:val="%3."/>
      <w:lvlJc w:val="left"/>
      <w:pPr>
        <w:tabs>
          <w:tab w:val="num" w:pos="1728"/>
        </w:tabs>
        <w:ind w:left="1728" w:hanging="288"/>
      </w:pPr>
      <w:rPr>
        <w:b w:val="0"/>
        <w:i w:val="0"/>
        <w:color w:val="auto"/>
        <w:sz w:val="24"/>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81" w15:restartNumberingAfterBreak="0">
    <w:nsid w:val="128A5996"/>
    <w:multiLevelType w:val="hybridMultilevel"/>
    <w:tmpl w:val="1302B1D2"/>
    <w:lvl w:ilvl="0" w:tplc="C9666BE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82" w15:restartNumberingAfterBreak="0">
    <w:nsid w:val="1384706C"/>
    <w:multiLevelType w:val="multilevel"/>
    <w:tmpl w:val="539E4FF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83" w15:restartNumberingAfterBreak="0">
    <w:nsid w:val="138F17AE"/>
    <w:multiLevelType w:val="multilevel"/>
    <w:tmpl w:val="33BE90DA"/>
    <w:lvl w:ilvl="0">
      <w:start w:val="4"/>
      <w:numFmt w:val="decimal"/>
      <w:lvlText w:val="%1."/>
      <w:lvlJc w:val="left"/>
      <w:pPr>
        <w:tabs>
          <w:tab w:val="num" w:pos="360"/>
        </w:tabs>
        <w:ind w:left="360" w:hanging="360"/>
      </w:pPr>
      <w:rPr>
        <w:b/>
      </w:rPr>
    </w:lvl>
    <w:lvl w:ilvl="1">
      <w:start w:val="4"/>
      <w:numFmt w:val="upperLetter"/>
      <w:lvlText w:val="%2."/>
      <w:lvlJc w:val="left"/>
      <w:pPr>
        <w:tabs>
          <w:tab w:val="num" w:pos="792"/>
        </w:tabs>
        <w:ind w:left="792" w:hanging="432"/>
      </w:pPr>
      <w:rPr>
        <w:b/>
      </w:rPr>
    </w:lvl>
    <w:lvl w:ilvl="2">
      <w:start w:val="4"/>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4" w15:restartNumberingAfterBreak="0">
    <w:nsid w:val="143F7890"/>
    <w:multiLevelType w:val="hybridMultilevel"/>
    <w:tmpl w:val="E9E47F94"/>
    <w:lvl w:ilvl="0" w:tplc="CD94748E">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252E918C">
      <w:start w:val="1"/>
      <w:numFmt w:val="bullet"/>
      <w:lvlText w:val=""/>
      <w:lvlJc w:val="left"/>
      <w:pPr>
        <w:tabs>
          <w:tab w:val="num" w:pos="2520"/>
        </w:tabs>
        <w:ind w:left="2520" w:hanging="360"/>
      </w:pPr>
      <w:rPr>
        <w:rFonts w:ascii="Symbol" w:hAnsi="Symbol" w:hint="default"/>
        <w:b w:val="0"/>
        <w:i w:val="0"/>
        <w:sz w:val="18"/>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85" w15:restartNumberingAfterBreak="0">
    <w:nsid w:val="146A6C0A"/>
    <w:multiLevelType w:val="hybridMultilevel"/>
    <w:tmpl w:val="39D4E05E"/>
    <w:lvl w:ilvl="0" w:tplc="F706070E">
      <w:start w:val="1"/>
      <w:numFmt w:val="bullet"/>
      <w:lvlText w:val=""/>
      <w:lvlJc w:val="left"/>
      <w:pPr>
        <w:tabs>
          <w:tab w:val="num" w:pos="2520"/>
        </w:tabs>
        <w:ind w:left="2520" w:hanging="360"/>
      </w:pPr>
      <w:rPr>
        <w:rFonts w:ascii="Symbol" w:hAnsi="Symbol" w:hint="default"/>
        <w:b w:val="0"/>
        <w:i w:val="0"/>
        <w:color w:val="auto"/>
        <w:sz w:val="20"/>
      </w:rPr>
    </w:lvl>
    <w:lvl w:ilvl="1" w:tplc="00030409" w:tentative="1">
      <w:start w:val="1"/>
      <w:numFmt w:val="bullet"/>
      <w:lvlText w:val="o"/>
      <w:lvlJc w:val="left"/>
      <w:pPr>
        <w:ind w:left="3240" w:hanging="360"/>
      </w:pPr>
      <w:rPr>
        <w:rFonts w:ascii="Courier New" w:hAnsi="Courier New" w:hint="default"/>
      </w:rPr>
    </w:lvl>
    <w:lvl w:ilvl="2" w:tplc="00050409" w:tentative="1">
      <w:start w:val="1"/>
      <w:numFmt w:val="bullet"/>
      <w:lvlText w:val=""/>
      <w:lvlJc w:val="left"/>
      <w:pPr>
        <w:ind w:left="3960" w:hanging="360"/>
      </w:pPr>
      <w:rPr>
        <w:rFonts w:ascii="Wingdings" w:hAnsi="Wingdings" w:hint="default"/>
      </w:rPr>
    </w:lvl>
    <w:lvl w:ilvl="3" w:tplc="00010409" w:tentative="1">
      <w:start w:val="1"/>
      <w:numFmt w:val="bullet"/>
      <w:lvlText w:val=""/>
      <w:lvlJc w:val="left"/>
      <w:pPr>
        <w:ind w:left="4680" w:hanging="360"/>
      </w:pPr>
      <w:rPr>
        <w:rFonts w:ascii="Symbol" w:hAnsi="Symbol" w:hint="default"/>
      </w:rPr>
    </w:lvl>
    <w:lvl w:ilvl="4" w:tplc="00030409" w:tentative="1">
      <w:start w:val="1"/>
      <w:numFmt w:val="bullet"/>
      <w:lvlText w:val="o"/>
      <w:lvlJc w:val="left"/>
      <w:pPr>
        <w:ind w:left="5400" w:hanging="360"/>
      </w:pPr>
      <w:rPr>
        <w:rFonts w:ascii="Courier New" w:hAnsi="Courier New" w:hint="default"/>
      </w:rPr>
    </w:lvl>
    <w:lvl w:ilvl="5" w:tplc="00050409" w:tentative="1">
      <w:start w:val="1"/>
      <w:numFmt w:val="bullet"/>
      <w:lvlText w:val=""/>
      <w:lvlJc w:val="left"/>
      <w:pPr>
        <w:ind w:left="6120" w:hanging="360"/>
      </w:pPr>
      <w:rPr>
        <w:rFonts w:ascii="Wingdings" w:hAnsi="Wingdings" w:hint="default"/>
      </w:rPr>
    </w:lvl>
    <w:lvl w:ilvl="6" w:tplc="00010409" w:tentative="1">
      <w:start w:val="1"/>
      <w:numFmt w:val="bullet"/>
      <w:lvlText w:val=""/>
      <w:lvlJc w:val="left"/>
      <w:pPr>
        <w:ind w:left="6840" w:hanging="360"/>
      </w:pPr>
      <w:rPr>
        <w:rFonts w:ascii="Symbol" w:hAnsi="Symbol" w:hint="default"/>
      </w:rPr>
    </w:lvl>
    <w:lvl w:ilvl="7" w:tplc="00030409" w:tentative="1">
      <w:start w:val="1"/>
      <w:numFmt w:val="bullet"/>
      <w:lvlText w:val="o"/>
      <w:lvlJc w:val="left"/>
      <w:pPr>
        <w:ind w:left="7560" w:hanging="360"/>
      </w:pPr>
      <w:rPr>
        <w:rFonts w:ascii="Courier New" w:hAnsi="Courier New" w:hint="default"/>
      </w:rPr>
    </w:lvl>
    <w:lvl w:ilvl="8" w:tplc="00050409" w:tentative="1">
      <w:start w:val="1"/>
      <w:numFmt w:val="bullet"/>
      <w:lvlText w:val=""/>
      <w:lvlJc w:val="left"/>
      <w:pPr>
        <w:ind w:left="8280" w:hanging="360"/>
      </w:pPr>
      <w:rPr>
        <w:rFonts w:ascii="Wingdings" w:hAnsi="Wingdings" w:hint="default"/>
      </w:rPr>
    </w:lvl>
  </w:abstractNum>
  <w:abstractNum w:abstractNumId="86" w15:restartNumberingAfterBreak="0">
    <w:nsid w:val="146D5D20"/>
    <w:multiLevelType w:val="hybridMultilevel"/>
    <w:tmpl w:val="DD1E7C34"/>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00050409">
      <w:start w:val="1"/>
      <w:numFmt w:val="bullet"/>
      <w:lvlText w:val=""/>
      <w:lvlJc w:val="left"/>
      <w:pPr>
        <w:ind w:left="3510" w:hanging="360"/>
      </w:pPr>
      <w:rPr>
        <w:rFonts w:ascii="Wingdings" w:hAnsi="Wingdings" w:hint="default"/>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87" w15:restartNumberingAfterBreak="0">
    <w:nsid w:val="14A83113"/>
    <w:multiLevelType w:val="hybridMultilevel"/>
    <w:tmpl w:val="839ED566"/>
    <w:name w:val="OutlineHeadings23"/>
    <w:lvl w:ilvl="0" w:tplc="42201BD2">
      <w:start w:val="5"/>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88" w15:restartNumberingAfterBreak="0">
    <w:nsid w:val="14F36F13"/>
    <w:multiLevelType w:val="hybridMultilevel"/>
    <w:tmpl w:val="A5C887E2"/>
    <w:lvl w:ilvl="0" w:tplc="7CBCB6C0">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89" w15:restartNumberingAfterBreak="0">
    <w:nsid w:val="156E5915"/>
    <w:multiLevelType w:val="hybridMultilevel"/>
    <w:tmpl w:val="E4ECCDAE"/>
    <w:lvl w:ilvl="0" w:tplc="4DBA7BF8">
      <w:start w:val="1"/>
      <w:numFmt w:val="lowerLetter"/>
      <w:lvlText w:val="%1."/>
      <w:lvlJc w:val="left"/>
      <w:pPr>
        <w:tabs>
          <w:tab w:val="num" w:pos="1440"/>
        </w:tabs>
        <w:ind w:left="1440" w:hanging="360"/>
      </w:pPr>
    </w:lvl>
    <w:lvl w:ilvl="1" w:tplc="F95C9CE2">
      <w:start w:val="3"/>
      <w:numFmt w:val="decimal"/>
      <w:lvlText w:val="%2."/>
      <w:lvlJc w:val="left"/>
      <w:pPr>
        <w:tabs>
          <w:tab w:val="num" w:pos="1440"/>
        </w:tabs>
        <w:ind w:left="1440" w:hanging="360"/>
      </w:pPr>
      <w:rPr>
        <w:b/>
        <w:i w:val="0"/>
      </w:r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90" w15:restartNumberingAfterBreak="0">
    <w:nsid w:val="157F62CE"/>
    <w:multiLevelType w:val="hybridMultilevel"/>
    <w:tmpl w:val="7DEEB868"/>
    <w:lvl w:ilvl="0" w:tplc="2124D19A">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1599325B"/>
    <w:multiLevelType w:val="hybridMultilevel"/>
    <w:tmpl w:val="151E62B0"/>
    <w:lvl w:ilvl="0" w:tplc="9CBEF2F8">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2160"/>
        </w:tabs>
        <w:ind w:left="2160" w:hanging="360"/>
      </w:pPr>
      <w:rPr>
        <w:rFonts w:ascii="Courier New" w:hAnsi="Courier New" w:hint="default"/>
      </w:rPr>
    </w:lvl>
    <w:lvl w:ilvl="2" w:tplc="73DC882C">
      <w:start w:val="1"/>
      <w:numFmt w:val="bullet"/>
      <w:lvlText w:val=""/>
      <w:lvlJc w:val="left"/>
      <w:pPr>
        <w:tabs>
          <w:tab w:val="num" w:pos="2880"/>
        </w:tabs>
        <w:ind w:left="2880" w:hanging="360"/>
      </w:pPr>
      <w:rPr>
        <w:rFonts w:ascii="Symbol" w:hAnsi="Symbol" w:hint="default"/>
        <w:b w:val="0"/>
        <w:i w:val="0"/>
        <w:color w:val="auto"/>
        <w:sz w:val="20"/>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92" w15:restartNumberingAfterBreak="0">
    <w:nsid w:val="15C014FE"/>
    <w:multiLevelType w:val="multilevel"/>
    <w:tmpl w:val="E9A02750"/>
    <w:lvl w:ilvl="0">
      <w:start w:val="1"/>
      <w:numFmt w:val="decimal"/>
      <w:lvlText w:val="%1."/>
      <w:lvlJc w:val="left"/>
      <w:pPr>
        <w:tabs>
          <w:tab w:val="num" w:pos="144"/>
        </w:tabs>
        <w:ind w:left="450" w:hanging="522"/>
      </w:pPr>
      <w:rPr>
        <w:b/>
        <w:i w:val="0"/>
      </w:rPr>
    </w:lvl>
    <w:lvl w:ilvl="1">
      <w:start w:val="1"/>
      <w:numFmt w:val="upperLetter"/>
      <w:lvlText w:val="%2."/>
      <w:lvlJc w:val="left"/>
      <w:pPr>
        <w:ind w:left="720" w:hanging="360"/>
      </w:pPr>
      <w:rPr>
        <w:b/>
        <w:i w:val="0"/>
        <w:color w:val="auto"/>
        <w:sz w:val="22"/>
        <w:szCs w:val="22"/>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3" w15:restartNumberingAfterBreak="0">
    <w:nsid w:val="15F04533"/>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94" w15:restartNumberingAfterBreak="0">
    <w:nsid w:val="15FA4840"/>
    <w:multiLevelType w:val="hybridMultilevel"/>
    <w:tmpl w:val="6DF8245E"/>
    <w:lvl w:ilvl="0" w:tplc="9D6A9594">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95" w15:restartNumberingAfterBreak="0">
    <w:nsid w:val="162B285C"/>
    <w:multiLevelType w:val="hybridMultilevel"/>
    <w:tmpl w:val="38F8D5FC"/>
    <w:lvl w:ilvl="0" w:tplc="8D525B78">
      <w:start w:val="1"/>
      <w:numFmt w:val="bullet"/>
      <w:lvlText w:val=""/>
      <w:lvlJc w:val="left"/>
      <w:pPr>
        <w:tabs>
          <w:tab w:val="num" w:pos="1710"/>
        </w:tabs>
        <w:ind w:left="1710" w:hanging="360"/>
      </w:pPr>
      <w:rPr>
        <w:rFonts w:ascii="Symbol" w:hAnsi="Symbol" w:hint="default"/>
        <w:b w:val="0"/>
        <w:i w:val="0"/>
        <w:color w:val="auto"/>
        <w:sz w:val="20"/>
      </w:rPr>
    </w:lvl>
    <w:lvl w:ilvl="1" w:tplc="274A9E72">
      <w:start w:val="3"/>
      <w:numFmt w:val="decimal"/>
      <w:lvlText w:val="%2."/>
      <w:lvlJc w:val="left"/>
      <w:pPr>
        <w:tabs>
          <w:tab w:val="num" w:pos="2430"/>
        </w:tabs>
        <w:ind w:left="2430" w:hanging="360"/>
      </w:pPr>
    </w:lvl>
    <w:lvl w:ilvl="2" w:tplc="04090005">
      <w:start w:val="1"/>
      <w:numFmt w:val="bullet"/>
      <w:lvlText w:val=""/>
      <w:lvlJc w:val="left"/>
      <w:pPr>
        <w:tabs>
          <w:tab w:val="num" w:pos="3150"/>
        </w:tabs>
        <w:ind w:left="3150" w:hanging="360"/>
      </w:pPr>
      <w:rPr>
        <w:rFonts w:ascii="Wingdings" w:hAnsi="Wingdings" w:hint="default"/>
      </w:rPr>
    </w:lvl>
    <w:lvl w:ilvl="3" w:tplc="04090001">
      <w:start w:val="1"/>
      <w:numFmt w:val="bullet"/>
      <w:lvlText w:val=""/>
      <w:lvlJc w:val="left"/>
      <w:pPr>
        <w:tabs>
          <w:tab w:val="num" w:pos="3870"/>
        </w:tabs>
        <w:ind w:left="3870" w:hanging="360"/>
      </w:pPr>
      <w:rPr>
        <w:rFonts w:ascii="Symbol" w:hAnsi="Symbol" w:hint="default"/>
      </w:rPr>
    </w:lvl>
    <w:lvl w:ilvl="4" w:tplc="04090003">
      <w:start w:val="1"/>
      <w:numFmt w:val="bullet"/>
      <w:lvlText w:val="o"/>
      <w:lvlJc w:val="left"/>
      <w:pPr>
        <w:tabs>
          <w:tab w:val="num" w:pos="4590"/>
        </w:tabs>
        <w:ind w:left="4590" w:hanging="360"/>
      </w:pPr>
      <w:rPr>
        <w:rFonts w:ascii="Courier New" w:hAnsi="Courier New" w:cs="Arial" w:hint="default"/>
      </w:rPr>
    </w:lvl>
    <w:lvl w:ilvl="5" w:tplc="04090005">
      <w:start w:val="1"/>
      <w:numFmt w:val="bullet"/>
      <w:lvlText w:val=""/>
      <w:lvlJc w:val="left"/>
      <w:pPr>
        <w:tabs>
          <w:tab w:val="num" w:pos="5310"/>
        </w:tabs>
        <w:ind w:left="5310" w:hanging="360"/>
      </w:pPr>
      <w:rPr>
        <w:rFonts w:ascii="Wingdings" w:hAnsi="Wingdings" w:hint="default"/>
      </w:rPr>
    </w:lvl>
    <w:lvl w:ilvl="6" w:tplc="04090001">
      <w:start w:val="1"/>
      <w:numFmt w:val="bullet"/>
      <w:lvlText w:val=""/>
      <w:lvlJc w:val="left"/>
      <w:pPr>
        <w:tabs>
          <w:tab w:val="num" w:pos="6030"/>
        </w:tabs>
        <w:ind w:left="6030" w:hanging="360"/>
      </w:pPr>
      <w:rPr>
        <w:rFonts w:ascii="Symbol" w:hAnsi="Symbol" w:hint="default"/>
      </w:rPr>
    </w:lvl>
    <w:lvl w:ilvl="7" w:tplc="04090003">
      <w:start w:val="1"/>
      <w:numFmt w:val="bullet"/>
      <w:lvlText w:val="o"/>
      <w:lvlJc w:val="left"/>
      <w:pPr>
        <w:tabs>
          <w:tab w:val="num" w:pos="6750"/>
        </w:tabs>
        <w:ind w:left="6750" w:hanging="360"/>
      </w:pPr>
      <w:rPr>
        <w:rFonts w:ascii="Courier New" w:hAnsi="Courier New" w:cs="Arial" w:hint="default"/>
      </w:rPr>
    </w:lvl>
    <w:lvl w:ilvl="8" w:tplc="04090005">
      <w:start w:val="1"/>
      <w:numFmt w:val="bullet"/>
      <w:lvlText w:val=""/>
      <w:lvlJc w:val="left"/>
      <w:pPr>
        <w:tabs>
          <w:tab w:val="num" w:pos="7470"/>
        </w:tabs>
        <w:ind w:left="7470" w:hanging="360"/>
      </w:pPr>
      <w:rPr>
        <w:rFonts w:ascii="Wingdings" w:hAnsi="Wingdings" w:hint="default"/>
      </w:rPr>
    </w:lvl>
  </w:abstractNum>
  <w:abstractNum w:abstractNumId="96" w15:restartNumberingAfterBreak="0">
    <w:nsid w:val="163F2121"/>
    <w:multiLevelType w:val="hybridMultilevel"/>
    <w:tmpl w:val="445E16AE"/>
    <w:lvl w:ilvl="0" w:tplc="9DC60F62">
      <w:start w:val="1"/>
      <w:numFmt w:val="bullet"/>
      <w:lvlText w:val=""/>
      <w:lvlJc w:val="left"/>
      <w:pPr>
        <w:tabs>
          <w:tab w:val="num" w:pos="2340"/>
        </w:tabs>
        <w:ind w:left="2340" w:hanging="360"/>
      </w:pPr>
      <w:rPr>
        <w:rFonts w:ascii="Symbol" w:hAnsi="Symbol" w:hint="default"/>
        <w:b w:val="0"/>
        <w:i w:val="0"/>
        <w:color w:val="auto"/>
        <w:sz w:val="20"/>
      </w:rPr>
    </w:lvl>
    <w:lvl w:ilvl="1" w:tplc="00030409" w:tentative="1">
      <w:start w:val="1"/>
      <w:numFmt w:val="bullet"/>
      <w:lvlText w:val="o"/>
      <w:lvlJc w:val="left"/>
      <w:pPr>
        <w:ind w:left="1710" w:hanging="360"/>
      </w:pPr>
      <w:rPr>
        <w:rFonts w:ascii="Courier New" w:hAnsi="Courier New" w:hint="default"/>
      </w:rPr>
    </w:lvl>
    <w:lvl w:ilvl="2" w:tplc="00050409" w:tentative="1">
      <w:start w:val="1"/>
      <w:numFmt w:val="bullet"/>
      <w:lvlText w:val=""/>
      <w:lvlJc w:val="left"/>
      <w:pPr>
        <w:ind w:left="2430" w:hanging="360"/>
      </w:pPr>
      <w:rPr>
        <w:rFonts w:ascii="Wingdings" w:hAnsi="Wingdings" w:hint="default"/>
      </w:rPr>
    </w:lvl>
    <w:lvl w:ilvl="3" w:tplc="00010409" w:tentative="1">
      <w:start w:val="1"/>
      <w:numFmt w:val="bullet"/>
      <w:lvlText w:val=""/>
      <w:lvlJc w:val="left"/>
      <w:pPr>
        <w:ind w:left="3150" w:hanging="360"/>
      </w:pPr>
      <w:rPr>
        <w:rFonts w:ascii="Symbol" w:hAnsi="Symbol" w:hint="default"/>
      </w:rPr>
    </w:lvl>
    <w:lvl w:ilvl="4" w:tplc="00030409" w:tentative="1">
      <w:start w:val="1"/>
      <w:numFmt w:val="bullet"/>
      <w:lvlText w:val="o"/>
      <w:lvlJc w:val="left"/>
      <w:pPr>
        <w:ind w:left="3870" w:hanging="360"/>
      </w:pPr>
      <w:rPr>
        <w:rFonts w:ascii="Courier New" w:hAnsi="Courier New" w:hint="default"/>
      </w:rPr>
    </w:lvl>
    <w:lvl w:ilvl="5" w:tplc="00050409" w:tentative="1">
      <w:start w:val="1"/>
      <w:numFmt w:val="bullet"/>
      <w:lvlText w:val=""/>
      <w:lvlJc w:val="left"/>
      <w:pPr>
        <w:ind w:left="4590" w:hanging="360"/>
      </w:pPr>
      <w:rPr>
        <w:rFonts w:ascii="Wingdings" w:hAnsi="Wingdings" w:hint="default"/>
      </w:rPr>
    </w:lvl>
    <w:lvl w:ilvl="6" w:tplc="00010409" w:tentative="1">
      <w:start w:val="1"/>
      <w:numFmt w:val="bullet"/>
      <w:lvlText w:val=""/>
      <w:lvlJc w:val="left"/>
      <w:pPr>
        <w:ind w:left="5310" w:hanging="360"/>
      </w:pPr>
      <w:rPr>
        <w:rFonts w:ascii="Symbol" w:hAnsi="Symbol" w:hint="default"/>
      </w:rPr>
    </w:lvl>
    <w:lvl w:ilvl="7" w:tplc="00030409" w:tentative="1">
      <w:start w:val="1"/>
      <w:numFmt w:val="bullet"/>
      <w:lvlText w:val="o"/>
      <w:lvlJc w:val="left"/>
      <w:pPr>
        <w:ind w:left="6030" w:hanging="360"/>
      </w:pPr>
      <w:rPr>
        <w:rFonts w:ascii="Courier New" w:hAnsi="Courier New" w:hint="default"/>
      </w:rPr>
    </w:lvl>
    <w:lvl w:ilvl="8" w:tplc="00050409" w:tentative="1">
      <w:start w:val="1"/>
      <w:numFmt w:val="bullet"/>
      <w:lvlText w:val=""/>
      <w:lvlJc w:val="left"/>
      <w:pPr>
        <w:ind w:left="6750" w:hanging="360"/>
      </w:pPr>
      <w:rPr>
        <w:rFonts w:ascii="Wingdings" w:hAnsi="Wingdings" w:hint="default"/>
      </w:rPr>
    </w:lvl>
  </w:abstractNum>
  <w:abstractNum w:abstractNumId="97" w15:restartNumberingAfterBreak="0">
    <w:nsid w:val="16C06F15"/>
    <w:multiLevelType w:val="hybridMultilevel"/>
    <w:tmpl w:val="B84A8584"/>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8" w15:restartNumberingAfterBreak="0">
    <w:nsid w:val="16D939DD"/>
    <w:multiLevelType w:val="hybridMultilevel"/>
    <w:tmpl w:val="AB846AD8"/>
    <w:lvl w:ilvl="0" w:tplc="552249EC">
      <w:start w:val="3"/>
      <w:numFmt w:val="upperLetter"/>
      <w:lvlText w:val="%1."/>
      <w:lvlJc w:val="left"/>
      <w:pPr>
        <w:ind w:left="153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17B00325"/>
    <w:multiLevelType w:val="hybridMultilevel"/>
    <w:tmpl w:val="3560EB0E"/>
    <w:lvl w:ilvl="0" w:tplc="F8961842">
      <w:start w:val="4"/>
      <w:numFmt w:val="decimal"/>
      <w:lvlText w:val="%1."/>
      <w:lvlJc w:val="left"/>
      <w:pPr>
        <w:tabs>
          <w:tab w:val="num" w:pos="936"/>
        </w:tabs>
        <w:ind w:left="936" w:hanging="360"/>
      </w:pPr>
      <w:rPr>
        <w:b/>
        <w:i w:val="0"/>
        <w:color w:val="auto"/>
        <w:sz w:val="22"/>
        <w:szCs w:val="22"/>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00" w15:restartNumberingAfterBreak="0">
    <w:nsid w:val="181A58E9"/>
    <w:multiLevelType w:val="multilevel"/>
    <w:tmpl w:val="A99C438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decimal"/>
      <w:lvlText w:val="%4."/>
      <w:lvlJc w:val="left"/>
      <w:pPr>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1" w15:restartNumberingAfterBreak="0">
    <w:nsid w:val="186E5E35"/>
    <w:multiLevelType w:val="hybridMultilevel"/>
    <w:tmpl w:val="E286BDA8"/>
    <w:lvl w:ilvl="0" w:tplc="5CD46EA0">
      <w:start w:val="8"/>
      <w:numFmt w:val="bullet"/>
      <w:lvlText w:val=""/>
      <w:lvlJc w:val="left"/>
      <w:pPr>
        <w:tabs>
          <w:tab w:val="num" w:pos="1800"/>
        </w:tabs>
        <w:ind w:left="1800" w:hanging="360"/>
      </w:pPr>
      <w:rPr>
        <w:rFonts w:ascii="Symbol" w:hAnsi="Symbol" w:hint="default"/>
        <w:b w:val="0"/>
        <w:i w:val="0"/>
        <w:color w:val="auto"/>
        <w:sz w:val="20"/>
      </w:rPr>
    </w:lvl>
    <w:lvl w:ilvl="1" w:tplc="00030409" w:tentative="1">
      <w:start w:val="1"/>
      <w:numFmt w:val="bullet"/>
      <w:lvlText w:val="o"/>
      <w:lvlJc w:val="left"/>
      <w:pPr>
        <w:tabs>
          <w:tab w:val="num" w:pos="360"/>
        </w:tabs>
        <w:ind w:left="360" w:hanging="360"/>
      </w:pPr>
      <w:rPr>
        <w:rFonts w:ascii="Courier New" w:hAnsi="Courier New" w:hint="default"/>
      </w:rPr>
    </w:lvl>
    <w:lvl w:ilvl="2" w:tplc="00050409" w:tentative="1">
      <w:start w:val="1"/>
      <w:numFmt w:val="bullet"/>
      <w:lvlText w:val=""/>
      <w:lvlJc w:val="left"/>
      <w:pPr>
        <w:tabs>
          <w:tab w:val="num" w:pos="1080"/>
        </w:tabs>
        <w:ind w:left="1080" w:hanging="360"/>
      </w:pPr>
      <w:rPr>
        <w:rFonts w:ascii="Wingdings" w:hAnsi="Wingdings" w:hint="default"/>
      </w:rPr>
    </w:lvl>
    <w:lvl w:ilvl="3" w:tplc="8AE2B6C8">
      <w:start w:val="8"/>
      <w:numFmt w:val="bullet"/>
      <w:lvlText w:val=""/>
      <w:lvlJc w:val="left"/>
      <w:pPr>
        <w:tabs>
          <w:tab w:val="num" w:pos="1800"/>
        </w:tabs>
        <w:ind w:left="1800" w:hanging="360"/>
      </w:pPr>
      <w:rPr>
        <w:rFonts w:ascii="Symbol" w:hAnsi="Symbol" w:hint="default"/>
        <w:b w:val="0"/>
        <w:i w:val="0"/>
        <w:color w:val="auto"/>
        <w:sz w:val="20"/>
      </w:rPr>
    </w:lvl>
    <w:lvl w:ilvl="4" w:tplc="00030409">
      <w:start w:val="1"/>
      <w:numFmt w:val="bullet"/>
      <w:lvlText w:val="o"/>
      <w:lvlJc w:val="left"/>
      <w:pPr>
        <w:tabs>
          <w:tab w:val="num" w:pos="2520"/>
        </w:tabs>
        <w:ind w:left="2520" w:hanging="360"/>
      </w:pPr>
      <w:rPr>
        <w:rFonts w:ascii="Courier New" w:hAnsi="Courier New" w:hint="default"/>
      </w:rPr>
    </w:lvl>
    <w:lvl w:ilvl="5" w:tplc="00050409">
      <w:start w:val="1"/>
      <w:numFmt w:val="bullet"/>
      <w:lvlText w:val=""/>
      <w:lvlJc w:val="left"/>
      <w:pPr>
        <w:tabs>
          <w:tab w:val="num" w:pos="3240"/>
        </w:tabs>
        <w:ind w:left="3240" w:hanging="360"/>
      </w:pPr>
      <w:rPr>
        <w:rFonts w:ascii="Wingdings" w:hAnsi="Wingdings" w:hint="default"/>
      </w:rPr>
    </w:lvl>
    <w:lvl w:ilvl="6" w:tplc="00010409" w:tentative="1">
      <w:start w:val="1"/>
      <w:numFmt w:val="bullet"/>
      <w:lvlText w:val=""/>
      <w:lvlJc w:val="left"/>
      <w:pPr>
        <w:tabs>
          <w:tab w:val="num" w:pos="3960"/>
        </w:tabs>
        <w:ind w:left="3960" w:hanging="360"/>
      </w:pPr>
      <w:rPr>
        <w:rFonts w:ascii="Symbol" w:hAnsi="Symbol" w:hint="default"/>
      </w:rPr>
    </w:lvl>
    <w:lvl w:ilvl="7" w:tplc="00030409" w:tentative="1">
      <w:start w:val="1"/>
      <w:numFmt w:val="bullet"/>
      <w:lvlText w:val="o"/>
      <w:lvlJc w:val="left"/>
      <w:pPr>
        <w:tabs>
          <w:tab w:val="num" w:pos="4680"/>
        </w:tabs>
        <w:ind w:left="4680" w:hanging="360"/>
      </w:pPr>
      <w:rPr>
        <w:rFonts w:ascii="Courier New" w:hAnsi="Courier New" w:hint="default"/>
      </w:rPr>
    </w:lvl>
    <w:lvl w:ilvl="8" w:tplc="00050409" w:tentative="1">
      <w:start w:val="1"/>
      <w:numFmt w:val="bullet"/>
      <w:lvlText w:val=""/>
      <w:lvlJc w:val="left"/>
      <w:pPr>
        <w:tabs>
          <w:tab w:val="num" w:pos="5400"/>
        </w:tabs>
        <w:ind w:left="5400" w:hanging="360"/>
      </w:pPr>
      <w:rPr>
        <w:rFonts w:ascii="Wingdings" w:hAnsi="Wingdings" w:hint="default"/>
      </w:rPr>
    </w:lvl>
  </w:abstractNum>
  <w:abstractNum w:abstractNumId="102" w15:restartNumberingAfterBreak="0">
    <w:nsid w:val="196B4A1B"/>
    <w:multiLevelType w:val="multilevel"/>
    <w:tmpl w:val="E5D0ED98"/>
    <w:lvl w:ilvl="0">
      <w:start w:val="1"/>
      <w:numFmt w:val="upperLetter"/>
      <w:lvlText w:val="%1."/>
      <w:lvlJc w:val="left"/>
      <w:pPr>
        <w:tabs>
          <w:tab w:val="num" w:pos="360"/>
        </w:tabs>
        <w:ind w:left="360" w:hanging="360"/>
      </w:pPr>
      <w:rPr>
        <w:b w:val="0"/>
        <w:i w:val="0"/>
      </w:rPr>
    </w:lvl>
    <w:lvl w:ilvl="1">
      <w:start w:val="1"/>
      <w:numFmt w:val="upperLetter"/>
      <w:lvlText w:val="%2."/>
      <w:lvlJc w:val="left"/>
      <w:pPr>
        <w:tabs>
          <w:tab w:val="num" w:pos="1062"/>
        </w:tabs>
        <w:ind w:left="1062" w:hanging="432"/>
      </w:pPr>
      <w:rPr>
        <w:b/>
        <w:i w:val="0"/>
      </w:rPr>
    </w:lvl>
    <w:lvl w:ilvl="2">
      <w:start w:val="1"/>
      <w:numFmt w:val="bullet"/>
      <w:lvlText w:val=""/>
      <w:lvlJc w:val="left"/>
      <w:pPr>
        <w:tabs>
          <w:tab w:val="num" w:pos="1080"/>
        </w:tabs>
        <w:ind w:left="1080" w:hanging="360"/>
      </w:pPr>
      <w:rPr>
        <w:rFonts w:ascii="Symbol" w:hAnsi="Symbol" w:hint="default"/>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03" w15:restartNumberingAfterBreak="0">
    <w:nsid w:val="19A46A35"/>
    <w:multiLevelType w:val="hybridMultilevel"/>
    <w:tmpl w:val="86A633F2"/>
    <w:lvl w:ilvl="0" w:tplc="BAA03540">
      <w:start w:val="1"/>
      <w:numFmt w:val="upperLetter"/>
      <w:lvlText w:val="%1."/>
      <w:lvlJc w:val="left"/>
      <w:pPr>
        <w:ind w:left="108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15:restartNumberingAfterBreak="0">
    <w:nsid w:val="19C022AF"/>
    <w:multiLevelType w:val="hybridMultilevel"/>
    <w:tmpl w:val="02B419BE"/>
    <w:name w:val="OutlineHeadings2222234"/>
    <w:lvl w:ilvl="0" w:tplc="FE6E8276">
      <w:start w:val="1"/>
      <w:numFmt w:val="upperLetter"/>
      <w:lvlText w:val="%1."/>
      <w:lvlJc w:val="left"/>
      <w:pPr>
        <w:ind w:left="3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5" w15:restartNumberingAfterBreak="0">
    <w:nsid w:val="19E80BA1"/>
    <w:multiLevelType w:val="hybridMultilevel"/>
    <w:tmpl w:val="7482135A"/>
    <w:name w:val="OutlineHeadings2"/>
    <w:lvl w:ilvl="0" w:tplc="A49A2FFA">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6" w15:restartNumberingAfterBreak="0">
    <w:nsid w:val="1A0C76AC"/>
    <w:multiLevelType w:val="hybridMultilevel"/>
    <w:tmpl w:val="E2740E78"/>
    <w:lvl w:ilvl="0" w:tplc="4DD65BB6">
      <w:start w:val="6"/>
      <w:numFmt w:val="bullet"/>
      <w:lvlText w:val=""/>
      <w:lvlJc w:val="left"/>
      <w:pPr>
        <w:tabs>
          <w:tab w:val="num" w:pos="1368"/>
        </w:tabs>
        <w:ind w:left="1368" w:hanging="360"/>
      </w:pPr>
      <w:rPr>
        <w:rFonts w:ascii="Symbol" w:hAnsi="Symbol" w:hint="default"/>
        <w:b w:val="0"/>
        <w:i w:val="0"/>
        <w:color w:val="auto"/>
        <w:sz w:val="22"/>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7" w15:restartNumberingAfterBreak="0">
    <w:nsid w:val="1A264C00"/>
    <w:multiLevelType w:val="hybridMultilevel"/>
    <w:tmpl w:val="69C2AD88"/>
    <w:lvl w:ilvl="0" w:tplc="CEA41292">
      <w:start w:val="5"/>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08" w15:restartNumberingAfterBreak="0">
    <w:nsid w:val="1A655889"/>
    <w:multiLevelType w:val="hybridMultilevel"/>
    <w:tmpl w:val="71041C76"/>
    <w:lvl w:ilvl="0" w:tplc="13CC64D0">
      <w:start w:val="1"/>
      <w:numFmt w:val="bullet"/>
      <w:lvlText w:val=""/>
      <w:lvlJc w:val="left"/>
      <w:pPr>
        <w:tabs>
          <w:tab w:val="num" w:pos="1500"/>
        </w:tabs>
        <w:ind w:left="150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9" w15:restartNumberingAfterBreak="0">
    <w:nsid w:val="1A6D0AAD"/>
    <w:multiLevelType w:val="hybridMultilevel"/>
    <w:tmpl w:val="9168DEBE"/>
    <w:lvl w:ilvl="0" w:tplc="907E4160">
      <w:start w:val="1"/>
      <w:numFmt w:val="bullet"/>
      <w:lvlText w:val=""/>
      <w:lvlJc w:val="left"/>
      <w:pPr>
        <w:tabs>
          <w:tab w:val="num" w:pos="1440"/>
        </w:tabs>
        <w:ind w:left="1440" w:hanging="360"/>
      </w:pPr>
      <w:rPr>
        <w:rFonts w:ascii="Symbol" w:hAnsi="Symbol" w:hint="default"/>
        <w:b w:val="0"/>
        <w:i w:val="0"/>
        <w:color w:val="auto"/>
        <w:sz w:val="20"/>
      </w:rPr>
    </w:lvl>
    <w:lvl w:ilvl="1" w:tplc="00FE1222">
      <w:start w:val="3"/>
      <w:numFmt w:val="upperLetter"/>
      <w:lvlText w:val="%2."/>
      <w:lvlJc w:val="left"/>
      <w:pPr>
        <w:ind w:left="1872" w:hanging="360"/>
      </w:pPr>
      <w:rPr>
        <w:b w:val="0"/>
        <w:i w:val="0"/>
        <w:color w:val="auto"/>
        <w:sz w:val="24"/>
      </w:rPr>
    </w:lvl>
    <w:lvl w:ilvl="2" w:tplc="907E4160">
      <w:start w:val="1"/>
      <w:numFmt w:val="bullet"/>
      <w:lvlText w:val=""/>
      <w:lvlJc w:val="left"/>
      <w:pPr>
        <w:tabs>
          <w:tab w:val="num" w:pos="2772"/>
        </w:tabs>
        <w:ind w:left="2772" w:hanging="360"/>
      </w:pPr>
      <w:rPr>
        <w:rFonts w:ascii="Symbol" w:hAnsi="Symbol" w:hint="default"/>
        <w:b w:val="0"/>
        <w:i w:val="0"/>
        <w:color w:val="auto"/>
        <w:sz w:val="20"/>
      </w:rPr>
    </w:lvl>
    <w:lvl w:ilvl="3" w:tplc="000F0409" w:tentative="1">
      <w:start w:val="1"/>
      <w:numFmt w:val="decimal"/>
      <w:lvlText w:val="%4."/>
      <w:lvlJc w:val="left"/>
      <w:pPr>
        <w:ind w:left="3312" w:hanging="360"/>
      </w:pPr>
    </w:lvl>
    <w:lvl w:ilvl="4" w:tplc="00190409" w:tentative="1">
      <w:start w:val="1"/>
      <w:numFmt w:val="lowerLetter"/>
      <w:lvlText w:val="%5."/>
      <w:lvlJc w:val="left"/>
      <w:pPr>
        <w:ind w:left="4032" w:hanging="360"/>
      </w:pPr>
    </w:lvl>
    <w:lvl w:ilvl="5" w:tplc="001B0409" w:tentative="1">
      <w:start w:val="1"/>
      <w:numFmt w:val="lowerRoman"/>
      <w:lvlText w:val="%6."/>
      <w:lvlJc w:val="right"/>
      <w:pPr>
        <w:ind w:left="4752" w:hanging="180"/>
      </w:pPr>
    </w:lvl>
    <w:lvl w:ilvl="6" w:tplc="000F0409" w:tentative="1">
      <w:start w:val="1"/>
      <w:numFmt w:val="decimal"/>
      <w:lvlText w:val="%7."/>
      <w:lvlJc w:val="left"/>
      <w:pPr>
        <w:ind w:left="5472" w:hanging="360"/>
      </w:pPr>
    </w:lvl>
    <w:lvl w:ilvl="7" w:tplc="00190409" w:tentative="1">
      <w:start w:val="1"/>
      <w:numFmt w:val="lowerLetter"/>
      <w:lvlText w:val="%8."/>
      <w:lvlJc w:val="left"/>
      <w:pPr>
        <w:ind w:left="6192" w:hanging="360"/>
      </w:pPr>
    </w:lvl>
    <w:lvl w:ilvl="8" w:tplc="001B0409" w:tentative="1">
      <w:start w:val="1"/>
      <w:numFmt w:val="lowerRoman"/>
      <w:lvlText w:val="%9."/>
      <w:lvlJc w:val="right"/>
      <w:pPr>
        <w:ind w:left="6912" w:hanging="180"/>
      </w:pPr>
    </w:lvl>
  </w:abstractNum>
  <w:abstractNum w:abstractNumId="110" w15:restartNumberingAfterBreak="0">
    <w:nsid w:val="1ABD7A5E"/>
    <w:multiLevelType w:val="hybridMultilevel"/>
    <w:tmpl w:val="53E4B250"/>
    <w:lvl w:ilvl="0" w:tplc="0E2C6E54">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1" w15:restartNumberingAfterBreak="0">
    <w:nsid w:val="1AEE6494"/>
    <w:multiLevelType w:val="hybridMultilevel"/>
    <w:tmpl w:val="B2D05E6E"/>
    <w:lvl w:ilvl="0" w:tplc="B1769B2E">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DD0A2432">
      <w:start w:val="1"/>
      <w:numFmt w:val="bullet"/>
      <w:lvlText w:val=""/>
      <w:lvlJc w:val="left"/>
      <w:pPr>
        <w:tabs>
          <w:tab w:val="num" w:pos="1080"/>
        </w:tabs>
        <w:ind w:left="108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12" w15:restartNumberingAfterBreak="0">
    <w:nsid w:val="1B0545F7"/>
    <w:multiLevelType w:val="hybridMultilevel"/>
    <w:tmpl w:val="55E23C40"/>
    <w:lvl w:ilvl="0" w:tplc="FFFFFFFF">
      <w:start w:val="1"/>
      <w:numFmt w:val="upperLetter"/>
      <w:lvlText w:val="%1."/>
      <w:lvlJc w:val="left"/>
      <w:pPr>
        <w:ind w:left="792" w:hanging="360"/>
      </w:pPr>
      <w:rPr>
        <w:b/>
        <w:i w:val="0"/>
        <w:color w:val="auto"/>
        <w:sz w:val="22"/>
        <w:szCs w:val="22"/>
      </w:rPr>
    </w:lvl>
    <w:lvl w:ilvl="1" w:tplc="FFFFFFFF">
      <w:start w:val="1"/>
      <w:numFmt w:val="bullet"/>
      <w:lvlText w:val=""/>
      <w:lvlJc w:val="left"/>
      <w:pPr>
        <w:ind w:left="1440" w:hanging="360"/>
      </w:pPr>
      <w:rPr>
        <w:rFonts w:ascii="Symbol" w:hAnsi="Symbol" w:cs="Symbol" w:hint="default"/>
      </w:rPr>
    </w:lvl>
    <w:lvl w:ilvl="2" w:tplc="04090003">
      <w:start w:val="1"/>
      <w:numFmt w:val="bullet"/>
      <w:lvlText w:val="o"/>
      <w:lvlJc w:val="left"/>
      <w:pPr>
        <w:ind w:left="1800" w:hanging="360"/>
      </w:pPr>
      <w:rPr>
        <w:rFonts w:ascii="Courier New" w:hAnsi="Courier New" w:cs="Courier New" w:hint="default"/>
      </w:r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1B3200C7"/>
    <w:multiLevelType w:val="multilevel"/>
    <w:tmpl w:val="61380870"/>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14" w15:restartNumberingAfterBreak="0">
    <w:nsid w:val="1B831C1F"/>
    <w:multiLevelType w:val="hybridMultilevel"/>
    <w:tmpl w:val="173CAD0C"/>
    <w:lvl w:ilvl="0" w:tplc="FFFFFFFF">
      <w:start w:val="1"/>
      <w:numFmt w:val="upperLetter"/>
      <w:lvlText w:val="%1."/>
      <w:lvlJc w:val="left"/>
      <w:pPr>
        <w:ind w:left="792" w:hanging="360"/>
      </w:pPr>
      <w:rPr>
        <w:b/>
        <w:i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1BCC1AB7"/>
    <w:multiLevelType w:val="hybridMultilevel"/>
    <w:tmpl w:val="3996B572"/>
    <w:lvl w:ilvl="0" w:tplc="72DE8FD6">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16" w15:restartNumberingAfterBreak="0">
    <w:nsid w:val="1BF00751"/>
    <w:multiLevelType w:val="hybridMultilevel"/>
    <w:tmpl w:val="6730394A"/>
    <w:lvl w:ilvl="0" w:tplc="4CFCBCCA">
      <w:start w:val="1"/>
      <w:numFmt w:val="upperLetter"/>
      <w:lvlText w:val="%1."/>
      <w:lvlJc w:val="left"/>
      <w:pPr>
        <w:ind w:left="144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7" w15:restartNumberingAfterBreak="0">
    <w:nsid w:val="1C080632"/>
    <w:multiLevelType w:val="hybridMultilevel"/>
    <w:tmpl w:val="BE0C5EA2"/>
    <w:lvl w:ilvl="0" w:tplc="76AAEBD6">
      <w:start w:val="1"/>
      <w:numFmt w:val="bullet"/>
      <w:lvlText w:val=""/>
      <w:lvlJc w:val="left"/>
      <w:pPr>
        <w:ind w:left="1440" w:hanging="360"/>
      </w:pPr>
      <w:rPr>
        <w:rFonts w:ascii="Symbol" w:hAnsi="Symbol" w:hint="default"/>
        <w:b w:val="0"/>
        <w:i w:val="0"/>
        <w:sz w:val="20"/>
        <w:szCs w:val="24"/>
      </w:rPr>
    </w:lvl>
    <w:lvl w:ilvl="1" w:tplc="04090003" w:tentative="1">
      <w:start w:val="1"/>
      <w:numFmt w:val="bullet"/>
      <w:lvlText w:val="o"/>
      <w:lvlJc w:val="left"/>
      <w:pPr>
        <w:ind w:left="2160" w:hanging="360"/>
      </w:pPr>
      <w:rPr>
        <w:rFonts w:ascii="Courier New" w:hAnsi="Courier New" w:cs="Aria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Aria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Arial" w:hint="default"/>
      </w:rPr>
    </w:lvl>
    <w:lvl w:ilvl="8" w:tplc="04090005" w:tentative="1">
      <w:start w:val="1"/>
      <w:numFmt w:val="bullet"/>
      <w:lvlText w:val=""/>
      <w:lvlJc w:val="left"/>
      <w:pPr>
        <w:ind w:left="7200" w:hanging="360"/>
      </w:pPr>
      <w:rPr>
        <w:rFonts w:ascii="Wingdings" w:hAnsi="Wingdings" w:hint="default"/>
      </w:rPr>
    </w:lvl>
  </w:abstractNum>
  <w:abstractNum w:abstractNumId="118" w15:restartNumberingAfterBreak="0">
    <w:nsid w:val="1C4422E1"/>
    <w:multiLevelType w:val="multilevel"/>
    <w:tmpl w:val="4240278A"/>
    <w:lvl w:ilvl="0">
      <w:start w:val="1"/>
      <w:numFmt w:val="decimal"/>
      <w:lvlText w:val="1.%1."/>
      <w:lvlJc w:val="left"/>
      <w:pPr>
        <w:tabs>
          <w:tab w:val="num" w:pos="360"/>
        </w:tabs>
        <w:ind w:left="360" w:hanging="360"/>
      </w:pPr>
      <w:rPr>
        <w:b/>
        <w:i w:val="0"/>
      </w:rPr>
    </w:lvl>
    <w:lvl w:ilvl="1">
      <w:start w:val="1"/>
      <w:numFmt w:val="upperLetter"/>
      <w:lvlText w:val="%2."/>
      <w:lvlJc w:val="left"/>
      <w:pPr>
        <w:tabs>
          <w:tab w:val="num" w:pos="792"/>
        </w:tabs>
        <w:ind w:left="792" w:hanging="432"/>
      </w:pPr>
      <w:rPr>
        <w:b/>
      </w:rPr>
    </w:lvl>
    <w:lvl w:ilvl="2">
      <w:start w:val="1"/>
      <w:numFmt w:val="upperLetter"/>
      <w:lvlText w:val="%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9" w15:restartNumberingAfterBreak="0">
    <w:nsid w:val="1C702A17"/>
    <w:multiLevelType w:val="hybridMultilevel"/>
    <w:tmpl w:val="C8F60FDE"/>
    <w:lvl w:ilvl="0" w:tplc="3C1A07FC">
      <w:start w:val="8"/>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0" w15:restartNumberingAfterBreak="0">
    <w:nsid w:val="1C7435EE"/>
    <w:multiLevelType w:val="hybridMultilevel"/>
    <w:tmpl w:val="A420ED3C"/>
    <w:lvl w:ilvl="0" w:tplc="0FDA802A">
      <w:start w:val="1"/>
      <w:numFmt w:val="upperLetter"/>
      <w:lvlText w:val="%1."/>
      <w:lvlJc w:val="left"/>
      <w:pPr>
        <w:ind w:left="907" w:hanging="360"/>
      </w:pPr>
      <w:rPr>
        <w:b/>
      </w:rPr>
    </w:lvl>
    <w:lvl w:ilvl="1" w:tplc="04090019">
      <w:start w:val="1"/>
      <w:numFmt w:val="lowerLetter"/>
      <w:lvlText w:val="%2."/>
      <w:lvlJc w:val="left"/>
      <w:pPr>
        <w:ind w:left="1627" w:hanging="360"/>
      </w:pPr>
    </w:lvl>
    <w:lvl w:ilvl="2" w:tplc="0409001B">
      <w:start w:val="1"/>
      <w:numFmt w:val="lowerRoman"/>
      <w:lvlText w:val="%3."/>
      <w:lvlJc w:val="right"/>
      <w:pPr>
        <w:ind w:left="2347" w:hanging="180"/>
      </w:pPr>
    </w:lvl>
    <w:lvl w:ilvl="3" w:tplc="0409000F">
      <w:start w:val="1"/>
      <w:numFmt w:val="decimal"/>
      <w:lvlText w:val="%4."/>
      <w:lvlJc w:val="left"/>
      <w:pPr>
        <w:ind w:left="3067" w:hanging="360"/>
      </w:pPr>
    </w:lvl>
    <w:lvl w:ilvl="4" w:tplc="04090019">
      <w:start w:val="1"/>
      <w:numFmt w:val="lowerLetter"/>
      <w:lvlText w:val="%5."/>
      <w:lvlJc w:val="left"/>
      <w:pPr>
        <w:ind w:left="3787" w:hanging="360"/>
      </w:pPr>
    </w:lvl>
    <w:lvl w:ilvl="5" w:tplc="0409001B">
      <w:start w:val="1"/>
      <w:numFmt w:val="lowerRoman"/>
      <w:lvlText w:val="%6."/>
      <w:lvlJc w:val="right"/>
      <w:pPr>
        <w:ind w:left="4507" w:hanging="180"/>
      </w:pPr>
    </w:lvl>
    <w:lvl w:ilvl="6" w:tplc="0409000F">
      <w:start w:val="1"/>
      <w:numFmt w:val="decimal"/>
      <w:lvlText w:val="%7."/>
      <w:lvlJc w:val="left"/>
      <w:pPr>
        <w:ind w:left="5227" w:hanging="360"/>
      </w:pPr>
    </w:lvl>
    <w:lvl w:ilvl="7" w:tplc="04090019">
      <w:start w:val="1"/>
      <w:numFmt w:val="lowerLetter"/>
      <w:lvlText w:val="%8."/>
      <w:lvlJc w:val="left"/>
      <w:pPr>
        <w:ind w:left="5947" w:hanging="360"/>
      </w:pPr>
    </w:lvl>
    <w:lvl w:ilvl="8" w:tplc="0409001B">
      <w:start w:val="1"/>
      <w:numFmt w:val="lowerRoman"/>
      <w:lvlText w:val="%9."/>
      <w:lvlJc w:val="right"/>
      <w:pPr>
        <w:ind w:left="6667" w:hanging="180"/>
      </w:pPr>
    </w:lvl>
  </w:abstractNum>
  <w:abstractNum w:abstractNumId="121" w15:restartNumberingAfterBreak="0">
    <w:nsid w:val="1C8C5E19"/>
    <w:multiLevelType w:val="hybridMultilevel"/>
    <w:tmpl w:val="ACF6CE0E"/>
    <w:lvl w:ilvl="0" w:tplc="891423F8">
      <w:start w:val="1"/>
      <w:numFmt w:val="decimal"/>
      <w:lvlText w:val="%1."/>
      <w:lvlJc w:val="left"/>
      <w:pPr>
        <w:tabs>
          <w:tab w:val="num" w:pos="2520"/>
        </w:tabs>
        <w:ind w:left="25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2" w15:restartNumberingAfterBreak="0">
    <w:nsid w:val="1CA349AF"/>
    <w:multiLevelType w:val="hybridMultilevel"/>
    <w:tmpl w:val="CA4A32C6"/>
    <w:lvl w:ilvl="0" w:tplc="9F667232">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23" w15:restartNumberingAfterBreak="0">
    <w:nsid w:val="1CD95B4D"/>
    <w:multiLevelType w:val="hybridMultilevel"/>
    <w:tmpl w:val="0290A45C"/>
    <w:lvl w:ilvl="0" w:tplc="C7A80228">
      <w:start w:val="1"/>
      <w:numFmt w:val="decimal"/>
      <w:lvlText w:val="%1."/>
      <w:lvlJc w:val="left"/>
      <w:pPr>
        <w:tabs>
          <w:tab w:val="num" w:pos="1440"/>
        </w:tabs>
        <w:ind w:left="1440" w:hanging="360"/>
      </w:pPr>
      <w:rPr>
        <w:b/>
        <w:i w:val="0"/>
        <w:color w:val="auto"/>
        <w:sz w:val="22"/>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000F0409">
      <w:start w:val="1"/>
      <w:numFmt w:val="decimal"/>
      <w:lvlText w:val="%7."/>
      <w:lvlJc w:val="left"/>
      <w:pPr>
        <w:tabs>
          <w:tab w:val="num" w:pos="5040"/>
        </w:tabs>
        <w:ind w:left="5040" w:hanging="360"/>
      </w:pPr>
    </w:lvl>
    <w:lvl w:ilvl="7" w:tplc="00190409">
      <w:start w:val="1"/>
      <w:numFmt w:val="lowerLetter"/>
      <w:lvlText w:val="%8."/>
      <w:lvlJc w:val="left"/>
      <w:pPr>
        <w:tabs>
          <w:tab w:val="num" w:pos="5760"/>
        </w:tabs>
        <w:ind w:left="5760" w:hanging="360"/>
      </w:pPr>
    </w:lvl>
    <w:lvl w:ilvl="8" w:tplc="001B0409">
      <w:start w:val="1"/>
      <w:numFmt w:val="lowerRoman"/>
      <w:lvlText w:val="%9."/>
      <w:lvlJc w:val="right"/>
      <w:pPr>
        <w:tabs>
          <w:tab w:val="num" w:pos="6480"/>
        </w:tabs>
        <w:ind w:left="6480" w:hanging="180"/>
      </w:pPr>
    </w:lvl>
  </w:abstractNum>
  <w:abstractNum w:abstractNumId="124" w15:restartNumberingAfterBreak="0">
    <w:nsid w:val="1CE0006C"/>
    <w:multiLevelType w:val="multilevel"/>
    <w:tmpl w:val="EF288110"/>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5" w15:restartNumberingAfterBreak="0">
    <w:nsid w:val="1D434519"/>
    <w:multiLevelType w:val="hybridMultilevel"/>
    <w:tmpl w:val="4B0EC9A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1D5B5C0C"/>
    <w:multiLevelType w:val="hybridMultilevel"/>
    <w:tmpl w:val="17E870EC"/>
    <w:lvl w:ilvl="0" w:tplc="1E44A246">
      <w:start w:val="1"/>
      <w:numFmt w:val="bullet"/>
      <w:lvlText w:val=""/>
      <w:lvlJc w:val="left"/>
      <w:pPr>
        <w:ind w:left="1147" w:hanging="360"/>
      </w:pPr>
      <w:rPr>
        <w:rFonts w:ascii="Symbol" w:hAnsi="Symbol" w:hint="default"/>
        <w:b w:val="0"/>
        <w:i w:val="0"/>
        <w:color w:val="auto"/>
        <w:sz w:val="20"/>
      </w:rPr>
    </w:lvl>
    <w:lvl w:ilvl="1" w:tplc="04090003" w:tentative="1">
      <w:start w:val="1"/>
      <w:numFmt w:val="bullet"/>
      <w:lvlText w:val="o"/>
      <w:lvlJc w:val="left"/>
      <w:pPr>
        <w:ind w:left="787" w:hanging="360"/>
      </w:pPr>
      <w:rPr>
        <w:rFonts w:ascii="Courier New" w:hAnsi="Courier New" w:hint="default"/>
      </w:rPr>
    </w:lvl>
    <w:lvl w:ilvl="2" w:tplc="04090005" w:tentative="1">
      <w:start w:val="1"/>
      <w:numFmt w:val="bullet"/>
      <w:lvlText w:val=""/>
      <w:lvlJc w:val="left"/>
      <w:pPr>
        <w:ind w:left="1507" w:hanging="360"/>
      </w:pPr>
      <w:rPr>
        <w:rFonts w:ascii="Wingdings" w:hAnsi="Wingdings" w:hint="default"/>
      </w:rPr>
    </w:lvl>
    <w:lvl w:ilvl="3" w:tplc="04090001" w:tentative="1">
      <w:start w:val="1"/>
      <w:numFmt w:val="bullet"/>
      <w:lvlText w:val=""/>
      <w:lvlJc w:val="left"/>
      <w:pPr>
        <w:ind w:left="2227" w:hanging="360"/>
      </w:pPr>
      <w:rPr>
        <w:rFonts w:ascii="Symbol" w:hAnsi="Symbol" w:hint="default"/>
      </w:rPr>
    </w:lvl>
    <w:lvl w:ilvl="4" w:tplc="04090003" w:tentative="1">
      <w:start w:val="1"/>
      <w:numFmt w:val="bullet"/>
      <w:lvlText w:val="o"/>
      <w:lvlJc w:val="left"/>
      <w:pPr>
        <w:ind w:left="2947" w:hanging="360"/>
      </w:pPr>
      <w:rPr>
        <w:rFonts w:ascii="Courier New" w:hAnsi="Courier New" w:hint="default"/>
      </w:rPr>
    </w:lvl>
    <w:lvl w:ilvl="5" w:tplc="04090005" w:tentative="1">
      <w:start w:val="1"/>
      <w:numFmt w:val="bullet"/>
      <w:lvlText w:val=""/>
      <w:lvlJc w:val="left"/>
      <w:pPr>
        <w:ind w:left="3667" w:hanging="360"/>
      </w:pPr>
      <w:rPr>
        <w:rFonts w:ascii="Wingdings" w:hAnsi="Wingdings" w:hint="default"/>
      </w:rPr>
    </w:lvl>
    <w:lvl w:ilvl="6" w:tplc="04090001" w:tentative="1">
      <w:start w:val="1"/>
      <w:numFmt w:val="bullet"/>
      <w:lvlText w:val=""/>
      <w:lvlJc w:val="left"/>
      <w:pPr>
        <w:ind w:left="4387" w:hanging="360"/>
      </w:pPr>
      <w:rPr>
        <w:rFonts w:ascii="Symbol" w:hAnsi="Symbol" w:hint="default"/>
      </w:rPr>
    </w:lvl>
    <w:lvl w:ilvl="7" w:tplc="04090003" w:tentative="1">
      <w:start w:val="1"/>
      <w:numFmt w:val="bullet"/>
      <w:lvlText w:val="o"/>
      <w:lvlJc w:val="left"/>
      <w:pPr>
        <w:ind w:left="5107" w:hanging="360"/>
      </w:pPr>
      <w:rPr>
        <w:rFonts w:ascii="Courier New" w:hAnsi="Courier New" w:hint="default"/>
      </w:rPr>
    </w:lvl>
    <w:lvl w:ilvl="8" w:tplc="04090005" w:tentative="1">
      <w:start w:val="1"/>
      <w:numFmt w:val="bullet"/>
      <w:lvlText w:val=""/>
      <w:lvlJc w:val="left"/>
      <w:pPr>
        <w:ind w:left="5827" w:hanging="360"/>
      </w:pPr>
      <w:rPr>
        <w:rFonts w:ascii="Wingdings" w:hAnsi="Wingdings" w:hint="default"/>
      </w:rPr>
    </w:lvl>
  </w:abstractNum>
  <w:abstractNum w:abstractNumId="127" w15:restartNumberingAfterBreak="0">
    <w:nsid w:val="1DB25C76"/>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28" w15:restartNumberingAfterBreak="0">
    <w:nsid w:val="1E39393F"/>
    <w:multiLevelType w:val="hybridMultilevel"/>
    <w:tmpl w:val="DCB24B2E"/>
    <w:lvl w:ilvl="0" w:tplc="64F6142E">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152" w:hanging="360"/>
      </w:pPr>
      <w:rPr>
        <w:rFonts w:ascii="Courier New" w:hAnsi="Courier New" w:hint="default"/>
      </w:rPr>
    </w:lvl>
    <w:lvl w:ilvl="2" w:tplc="00050409">
      <w:start w:val="1"/>
      <w:numFmt w:val="bullet"/>
      <w:lvlText w:val=""/>
      <w:lvlJc w:val="left"/>
      <w:pPr>
        <w:ind w:left="1872" w:hanging="360"/>
      </w:pPr>
      <w:rPr>
        <w:rFonts w:ascii="Wingdings" w:hAnsi="Wingdings" w:hint="default"/>
      </w:rPr>
    </w:lvl>
    <w:lvl w:ilvl="3" w:tplc="8818BD6C">
      <w:start w:val="1"/>
      <w:numFmt w:val="bullet"/>
      <w:lvlText w:val=""/>
      <w:lvlJc w:val="left"/>
      <w:pPr>
        <w:tabs>
          <w:tab w:val="num" w:pos="2592"/>
        </w:tabs>
        <w:ind w:left="2592" w:hanging="360"/>
      </w:pPr>
      <w:rPr>
        <w:rFonts w:ascii="Symbol" w:hAnsi="Symbol" w:hint="default"/>
        <w:b w:val="0"/>
        <w:i w:val="0"/>
        <w:color w:val="auto"/>
        <w:sz w:val="20"/>
      </w:rPr>
    </w:lvl>
    <w:lvl w:ilvl="4" w:tplc="00030409" w:tentative="1">
      <w:start w:val="1"/>
      <w:numFmt w:val="bullet"/>
      <w:lvlText w:val="o"/>
      <w:lvlJc w:val="left"/>
      <w:pPr>
        <w:ind w:left="3312" w:hanging="360"/>
      </w:pPr>
      <w:rPr>
        <w:rFonts w:ascii="Courier New" w:hAnsi="Courier New" w:hint="default"/>
      </w:rPr>
    </w:lvl>
    <w:lvl w:ilvl="5" w:tplc="00050409" w:tentative="1">
      <w:start w:val="1"/>
      <w:numFmt w:val="bullet"/>
      <w:lvlText w:val=""/>
      <w:lvlJc w:val="left"/>
      <w:pPr>
        <w:ind w:left="4032" w:hanging="360"/>
      </w:pPr>
      <w:rPr>
        <w:rFonts w:ascii="Wingdings" w:hAnsi="Wingdings" w:hint="default"/>
      </w:rPr>
    </w:lvl>
    <w:lvl w:ilvl="6" w:tplc="00010409" w:tentative="1">
      <w:start w:val="1"/>
      <w:numFmt w:val="bullet"/>
      <w:lvlText w:val=""/>
      <w:lvlJc w:val="left"/>
      <w:pPr>
        <w:ind w:left="4752" w:hanging="360"/>
      </w:pPr>
      <w:rPr>
        <w:rFonts w:ascii="Symbol" w:hAnsi="Symbol" w:hint="default"/>
      </w:rPr>
    </w:lvl>
    <w:lvl w:ilvl="7" w:tplc="00030409" w:tentative="1">
      <w:start w:val="1"/>
      <w:numFmt w:val="bullet"/>
      <w:lvlText w:val="o"/>
      <w:lvlJc w:val="left"/>
      <w:pPr>
        <w:ind w:left="5472" w:hanging="360"/>
      </w:pPr>
      <w:rPr>
        <w:rFonts w:ascii="Courier New" w:hAnsi="Courier New" w:hint="default"/>
      </w:rPr>
    </w:lvl>
    <w:lvl w:ilvl="8" w:tplc="00050409" w:tentative="1">
      <w:start w:val="1"/>
      <w:numFmt w:val="bullet"/>
      <w:lvlText w:val=""/>
      <w:lvlJc w:val="left"/>
      <w:pPr>
        <w:ind w:left="6192" w:hanging="360"/>
      </w:pPr>
      <w:rPr>
        <w:rFonts w:ascii="Wingdings" w:hAnsi="Wingdings" w:hint="default"/>
      </w:rPr>
    </w:lvl>
  </w:abstractNum>
  <w:abstractNum w:abstractNumId="129" w15:restartNumberingAfterBreak="0">
    <w:nsid w:val="1EC77A52"/>
    <w:multiLevelType w:val="multilevel"/>
    <w:tmpl w:val="47422484"/>
    <w:lvl w:ilvl="0">
      <w:start w:val="7"/>
      <w:numFmt w:val="decimal"/>
      <w:lvlText w:val="%1."/>
      <w:lvlJc w:val="left"/>
      <w:pPr>
        <w:tabs>
          <w:tab w:val="num" w:pos="288"/>
        </w:tabs>
        <w:ind w:left="1224" w:hanging="1224"/>
      </w:pPr>
      <w:rPr>
        <w:b/>
        <w:i w:val="0"/>
      </w:rPr>
    </w:lvl>
    <w:lvl w:ilvl="1">
      <w:start w:val="6"/>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0" w15:restartNumberingAfterBreak="0">
    <w:nsid w:val="201A2FA0"/>
    <w:multiLevelType w:val="hybridMultilevel"/>
    <w:tmpl w:val="4E2A357A"/>
    <w:lvl w:ilvl="0" w:tplc="0DAA9210">
      <w:start w:val="1"/>
      <w:numFmt w:val="bullet"/>
      <w:lvlText w:val=""/>
      <w:lvlJc w:val="left"/>
      <w:pPr>
        <w:ind w:left="1080" w:hanging="360"/>
      </w:pPr>
      <w:rPr>
        <w:rFonts w:ascii="Symbol" w:hAnsi="Symbol" w:hint="default"/>
        <w:sz w:val="20"/>
        <w:szCs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1" w15:restartNumberingAfterBreak="0">
    <w:nsid w:val="2037063B"/>
    <w:multiLevelType w:val="multilevel"/>
    <w:tmpl w:val="90081F88"/>
    <w:lvl w:ilvl="0">
      <w:start w:val="5"/>
      <w:numFmt w:val="decimal"/>
      <w:lvlText w:val="%1."/>
      <w:lvlJc w:val="left"/>
      <w:pPr>
        <w:tabs>
          <w:tab w:val="num" w:pos="720"/>
        </w:tabs>
        <w:ind w:left="720" w:hanging="360"/>
      </w:pPr>
      <w:rPr>
        <w:b/>
        <w:i w:val="0"/>
        <w:color w:val="auto"/>
        <w:sz w:val="22"/>
        <w:szCs w:val="22"/>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2" w15:restartNumberingAfterBreak="0">
    <w:nsid w:val="20714317"/>
    <w:multiLevelType w:val="hybridMultilevel"/>
    <w:tmpl w:val="0E623D5A"/>
    <w:lvl w:ilvl="0" w:tplc="13DECD72">
      <w:start w:val="1"/>
      <w:numFmt w:val="bullet"/>
      <w:lvlText w:val=""/>
      <w:lvlJc w:val="left"/>
      <w:pPr>
        <w:tabs>
          <w:tab w:val="num" w:pos="1800"/>
        </w:tabs>
        <w:ind w:left="1800" w:hanging="360"/>
      </w:pPr>
      <w:rPr>
        <w:rFonts w:ascii="Symbol" w:hAnsi="Symbol" w:hint="default"/>
        <w:b w:val="0"/>
        <w:i w:val="0"/>
        <w:color w:val="auto"/>
        <w:sz w:val="20"/>
      </w:rPr>
    </w:lvl>
    <w:lvl w:ilvl="1" w:tplc="00030409">
      <w:start w:val="1"/>
      <w:numFmt w:val="bullet"/>
      <w:lvlText w:val="o"/>
      <w:lvlJc w:val="left"/>
      <w:pPr>
        <w:ind w:left="1080" w:hanging="360"/>
      </w:pPr>
      <w:rPr>
        <w:rFonts w:ascii="Courier New" w:hAnsi="Courier New" w:hint="default"/>
      </w:rPr>
    </w:lvl>
    <w:lvl w:ilvl="2" w:tplc="00050409" w:tentative="1">
      <w:start w:val="1"/>
      <w:numFmt w:val="bullet"/>
      <w:lvlText w:val=""/>
      <w:lvlJc w:val="left"/>
      <w:pPr>
        <w:ind w:left="1800" w:hanging="360"/>
      </w:pPr>
      <w:rPr>
        <w:rFonts w:ascii="Wingdings" w:hAnsi="Wingdings" w:hint="default"/>
      </w:rPr>
    </w:lvl>
    <w:lvl w:ilvl="3" w:tplc="00010409" w:tentative="1">
      <w:start w:val="1"/>
      <w:numFmt w:val="bullet"/>
      <w:lvlText w:val=""/>
      <w:lvlJc w:val="left"/>
      <w:pPr>
        <w:ind w:left="2520" w:hanging="360"/>
      </w:pPr>
      <w:rPr>
        <w:rFonts w:ascii="Symbol" w:hAnsi="Symbol" w:hint="default"/>
      </w:rPr>
    </w:lvl>
    <w:lvl w:ilvl="4" w:tplc="00030409" w:tentative="1">
      <w:start w:val="1"/>
      <w:numFmt w:val="bullet"/>
      <w:lvlText w:val="o"/>
      <w:lvlJc w:val="left"/>
      <w:pPr>
        <w:ind w:left="3240" w:hanging="360"/>
      </w:pPr>
      <w:rPr>
        <w:rFonts w:ascii="Courier New" w:hAnsi="Courier New" w:hint="default"/>
      </w:rPr>
    </w:lvl>
    <w:lvl w:ilvl="5" w:tplc="00050409" w:tentative="1">
      <w:start w:val="1"/>
      <w:numFmt w:val="bullet"/>
      <w:lvlText w:val=""/>
      <w:lvlJc w:val="left"/>
      <w:pPr>
        <w:ind w:left="3960" w:hanging="360"/>
      </w:pPr>
      <w:rPr>
        <w:rFonts w:ascii="Wingdings" w:hAnsi="Wingdings" w:hint="default"/>
      </w:rPr>
    </w:lvl>
    <w:lvl w:ilvl="6" w:tplc="00010409" w:tentative="1">
      <w:start w:val="1"/>
      <w:numFmt w:val="bullet"/>
      <w:lvlText w:val=""/>
      <w:lvlJc w:val="left"/>
      <w:pPr>
        <w:ind w:left="4680" w:hanging="360"/>
      </w:pPr>
      <w:rPr>
        <w:rFonts w:ascii="Symbol" w:hAnsi="Symbol" w:hint="default"/>
      </w:rPr>
    </w:lvl>
    <w:lvl w:ilvl="7" w:tplc="00030409" w:tentative="1">
      <w:start w:val="1"/>
      <w:numFmt w:val="bullet"/>
      <w:lvlText w:val="o"/>
      <w:lvlJc w:val="left"/>
      <w:pPr>
        <w:ind w:left="5400" w:hanging="360"/>
      </w:pPr>
      <w:rPr>
        <w:rFonts w:ascii="Courier New" w:hAnsi="Courier New" w:hint="default"/>
      </w:rPr>
    </w:lvl>
    <w:lvl w:ilvl="8" w:tplc="00050409" w:tentative="1">
      <w:start w:val="1"/>
      <w:numFmt w:val="bullet"/>
      <w:lvlText w:val=""/>
      <w:lvlJc w:val="left"/>
      <w:pPr>
        <w:ind w:left="6120" w:hanging="360"/>
      </w:pPr>
      <w:rPr>
        <w:rFonts w:ascii="Wingdings" w:hAnsi="Wingdings" w:hint="default"/>
      </w:rPr>
    </w:lvl>
  </w:abstractNum>
  <w:abstractNum w:abstractNumId="133" w15:restartNumberingAfterBreak="0">
    <w:nsid w:val="20947F49"/>
    <w:multiLevelType w:val="hybridMultilevel"/>
    <w:tmpl w:val="6374AECA"/>
    <w:lvl w:ilvl="0" w:tplc="0CC89394">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134" w15:restartNumberingAfterBreak="0">
    <w:nsid w:val="20D257FD"/>
    <w:multiLevelType w:val="hybridMultilevel"/>
    <w:tmpl w:val="A77242EC"/>
    <w:lvl w:ilvl="0" w:tplc="C6146324">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617065A2">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5" w15:restartNumberingAfterBreak="0">
    <w:nsid w:val="2102706B"/>
    <w:multiLevelType w:val="hybridMultilevel"/>
    <w:tmpl w:val="1402E0CC"/>
    <w:lvl w:ilvl="0" w:tplc="661E15D8">
      <w:start w:val="1"/>
      <w:numFmt w:val="bullet"/>
      <w:lvlText w:val=""/>
      <w:lvlJc w:val="left"/>
      <w:pPr>
        <w:tabs>
          <w:tab w:val="num" w:pos="4590"/>
        </w:tabs>
        <w:ind w:left="4590" w:hanging="360"/>
      </w:pPr>
      <w:rPr>
        <w:rFonts w:ascii="Symbol" w:hAnsi="Symbol" w:hint="default"/>
        <w:b w:val="0"/>
        <w:i w:val="0"/>
        <w:color w:val="auto"/>
        <w:sz w:val="20"/>
      </w:rPr>
    </w:lvl>
    <w:lvl w:ilvl="1" w:tplc="00030409">
      <w:start w:val="1"/>
      <w:numFmt w:val="bullet"/>
      <w:lvlText w:val="o"/>
      <w:lvlJc w:val="left"/>
      <w:pPr>
        <w:ind w:left="2520" w:hanging="360"/>
      </w:pPr>
      <w:rPr>
        <w:rFonts w:ascii="Courier New" w:hAnsi="Courier New" w:hint="default"/>
      </w:rPr>
    </w:lvl>
    <w:lvl w:ilvl="2" w:tplc="00050409">
      <w:start w:val="1"/>
      <w:numFmt w:val="bullet"/>
      <w:lvlText w:val=""/>
      <w:lvlJc w:val="left"/>
      <w:pPr>
        <w:ind w:left="3240" w:hanging="360"/>
      </w:pPr>
      <w:rPr>
        <w:rFonts w:ascii="Wingdings" w:hAnsi="Wingdings" w:hint="default"/>
      </w:rPr>
    </w:lvl>
    <w:lvl w:ilvl="3" w:tplc="00010409" w:tentative="1">
      <w:start w:val="1"/>
      <w:numFmt w:val="bullet"/>
      <w:lvlText w:val=""/>
      <w:lvlJc w:val="left"/>
      <w:pPr>
        <w:ind w:left="3960" w:hanging="360"/>
      </w:pPr>
      <w:rPr>
        <w:rFonts w:ascii="Symbol" w:hAnsi="Symbol" w:hint="default"/>
      </w:rPr>
    </w:lvl>
    <w:lvl w:ilvl="4" w:tplc="00030409" w:tentative="1">
      <w:start w:val="1"/>
      <w:numFmt w:val="bullet"/>
      <w:lvlText w:val="o"/>
      <w:lvlJc w:val="left"/>
      <w:pPr>
        <w:ind w:left="4680" w:hanging="360"/>
      </w:pPr>
      <w:rPr>
        <w:rFonts w:ascii="Courier New" w:hAnsi="Courier New" w:hint="default"/>
      </w:rPr>
    </w:lvl>
    <w:lvl w:ilvl="5" w:tplc="00050409">
      <w:start w:val="1"/>
      <w:numFmt w:val="bullet"/>
      <w:lvlText w:val=""/>
      <w:lvlJc w:val="left"/>
      <w:pPr>
        <w:ind w:left="5400" w:hanging="360"/>
      </w:pPr>
      <w:rPr>
        <w:rFonts w:ascii="Wingdings" w:hAnsi="Wingdings" w:hint="default"/>
      </w:rPr>
    </w:lvl>
    <w:lvl w:ilvl="6" w:tplc="00010409" w:tentative="1">
      <w:start w:val="1"/>
      <w:numFmt w:val="bullet"/>
      <w:lvlText w:val=""/>
      <w:lvlJc w:val="left"/>
      <w:pPr>
        <w:ind w:left="6120" w:hanging="360"/>
      </w:pPr>
      <w:rPr>
        <w:rFonts w:ascii="Symbol" w:hAnsi="Symbol" w:hint="default"/>
      </w:rPr>
    </w:lvl>
    <w:lvl w:ilvl="7" w:tplc="00030409" w:tentative="1">
      <w:start w:val="1"/>
      <w:numFmt w:val="bullet"/>
      <w:lvlText w:val="o"/>
      <w:lvlJc w:val="left"/>
      <w:pPr>
        <w:ind w:left="6840" w:hanging="360"/>
      </w:pPr>
      <w:rPr>
        <w:rFonts w:ascii="Courier New" w:hAnsi="Courier New" w:hint="default"/>
      </w:rPr>
    </w:lvl>
    <w:lvl w:ilvl="8" w:tplc="00050409" w:tentative="1">
      <w:start w:val="1"/>
      <w:numFmt w:val="bullet"/>
      <w:lvlText w:val=""/>
      <w:lvlJc w:val="left"/>
      <w:pPr>
        <w:ind w:left="7560" w:hanging="360"/>
      </w:pPr>
      <w:rPr>
        <w:rFonts w:ascii="Wingdings" w:hAnsi="Wingdings" w:hint="default"/>
      </w:rPr>
    </w:lvl>
  </w:abstractNum>
  <w:abstractNum w:abstractNumId="136" w15:restartNumberingAfterBreak="0">
    <w:nsid w:val="21197033"/>
    <w:multiLevelType w:val="hybridMultilevel"/>
    <w:tmpl w:val="2D347D3C"/>
    <w:lvl w:ilvl="0" w:tplc="04090015">
      <w:start w:val="1"/>
      <w:numFmt w:val="upperLetter"/>
      <w:lvlText w:val="%1."/>
      <w:lvlJc w:val="left"/>
      <w:pPr>
        <w:ind w:left="252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37" w15:restartNumberingAfterBreak="0">
    <w:nsid w:val="21241651"/>
    <w:multiLevelType w:val="hybridMultilevel"/>
    <w:tmpl w:val="9892B05C"/>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138" w15:restartNumberingAfterBreak="0">
    <w:nsid w:val="21AE55A6"/>
    <w:multiLevelType w:val="multilevel"/>
    <w:tmpl w:val="8CDAF672"/>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39" w15:restartNumberingAfterBreak="0">
    <w:nsid w:val="220145AC"/>
    <w:multiLevelType w:val="hybridMultilevel"/>
    <w:tmpl w:val="1A684ED0"/>
    <w:lvl w:ilvl="0" w:tplc="E680184E">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92B42F1C">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0" w15:restartNumberingAfterBreak="0">
    <w:nsid w:val="22152665"/>
    <w:multiLevelType w:val="hybridMultilevel"/>
    <w:tmpl w:val="6ED6A8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22566954"/>
    <w:multiLevelType w:val="hybridMultilevel"/>
    <w:tmpl w:val="0F0EE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15:restartNumberingAfterBreak="0">
    <w:nsid w:val="22C2373E"/>
    <w:multiLevelType w:val="hybridMultilevel"/>
    <w:tmpl w:val="CEEE125E"/>
    <w:name w:val="OutlineHeadings2222"/>
    <w:lvl w:ilvl="0" w:tplc="BAA03540">
      <w:start w:val="1"/>
      <w:numFmt w:val="upperLetter"/>
      <w:lvlText w:val="%1."/>
      <w:lvlJc w:val="left"/>
      <w:pPr>
        <w:ind w:left="4680" w:hanging="360"/>
      </w:pPr>
      <w:rPr>
        <w:b/>
        <w:i w:val="0"/>
        <w:color w:val="auto"/>
        <w:sz w:val="22"/>
        <w:szCs w:val="22"/>
      </w:rPr>
    </w:lvl>
    <w:lvl w:ilvl="1" w:tplc="04090001">
      <w:start w:val="1"/>
      <w:numFmt w:val="bullet"/>
      <w:lvlText w:val=""/>
      <w:lvlJc w:val="left"/>
      <w:pPr>
        <w:ind w:left="1440" w:hanging="360"/>
      </w:pPr>
      <w:rPr>
        <w:rFonts w:ascii="Symbol" w:hAnsi="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3" w15:restartNumberingAfterBreak="0">
    <w:nsid w:val="2311751D"/>
    <w:multiLevelType w:val="hybridMultilevel"/>
    <w:tmpl w:val="4A96EDDE"/>
    <w:lvl w:ilvl="0" w:tplc="5B408374">
      <w:start w:val="1"/>
      <w:numFmt w:val="bullet"/>
      <w:lvlText w:val=""/>
      <w:lvlJc w:val="left"/>
      <w:pPr>
        <w:tabs>
          <w:tab w:val="num" w:pos="3168"/>
        </w:tabs>
        <w:ind w:left="3168" w:hanging="360"/>
      </w:pPr>
      <w:rPr>
        <w:rFonts w:ascii="Symbol" w:hAnsi="Symbol" w:hint="default"/>
        <w:b w:val="0"/>
        <w:i w:val="0"/>
        <w:color w:val="auto"/>
        <w:sz w:val="20"/>
      </w:rPr>
    </w:lvl>
    <w:lvl w:ilvl="1" w:tplc="00030409">
      <w:start w:val="1"/>
      <w:numFmt w:val="bullet"/>
      <w:lvlText w:val="o"/>
      <w:lvlJc w:val="left"/>
      <w:pPr>
        <w:ind w:left="3240" w:hanging="360"/>
      </w:pPr>
      <w:rPr>
        <w:rFonts w:ascii="Courier New" w:hAnsi="Courier New" w:hint="default"/>
      </w:rPr>
    </w:lvl>
    <w:lvl w:ilvl="2" w:tplc="00050409" w:tentative="1">
      <w:start w:val="1"/>
      <w:numFmt w:val="bullet"/>
      <w:lvlText w:val=""/>
      <w:lvlJc w:val="left"/>
      <w:pPr>
        <w:ind w:left="3960" w:hanging="360"/>
      </w:pPr>
      <w:rPr>
        <w:rFonts w:ascii="Wingdings" w:hAnsi="Wingdings" w:hint="default"/>
      </w:rPr>
    </w:lvl>
    <w:lvl w:ilvl="3" w:tplc="00010409" w:tentative="1">
      <w:start w:val="1"/>
      <w:numFmt w:val="bullet"/>
      <w:lvlText w:val=""/>
      <w:lvlJc w:val="left"/>
      <w:pPr>
        <w:ind w:left="4680" w:hanging="360"/>
      </w:pPr>
      <w:rPr>
        <w:rFonts w:ascii="Symbol" w:hAnsi="Symbol" w:hint="default"/>
      </w:rPr>
    </w:lvl>
    <w:lvl w:ilvl="4" w:tplc="00030409" w:tentative="1">
      <w:start w:val="1"/>
      <w:numFmt w:val="bullet"/>
      <w:lvlText w:val="o"/>
      <w:lvlJc w:val="left"/>
      <w:pPr>
        <w:ind w:left="5400" w:hanging="360"/>
      </w:pPr>
      <w:rPr>
        <w:rFonts w:ascii="Courier New" w:hAnsi="Courier New" w:hint="default"/>
      </w:rPr>
    </w:lvl>
    <w:lvl w:ilvl="5" w:tplc="00050409" w:tentative="1">
      <w:start w:val="1"/>
      <w:numFmt w:val="bullet"/>
      <w:lvlText w:val=""/>
      <w:lvlJc w:val="left"/>
      <w:pPr>
        <w:ind w:left="6120" w:hanging="360"/>
      </w:pPr>
      <w:rPr>
        <w:rFonts w:ascii="Wingdings" w:hAnsi="Wingdings" w:hint="default"/>
      </w:rPr>
    </w:lvl>
    <w:lvl w:ilvl="6" w:tplc="00010409" w:tentative="1">
      <w:start w:val="1"/>
      <w:numFmt w:val="bullet"/>
      <w:lvlText w:val=""/>
      <w:lvlJc w:val="left"/>
      <w:pPr>
        <w:ind w:left="6840" w:hanging="360"/>
      </w:pPr>
      <w:rPr>
        <w:rFonts w:ascii="Symbol" w:hAnsi="Symbol" w:hint="default"/>
      </w:rPr>
    </w:lvl>
    <w:lvl w:ilvl="7" w:tplc="00030409" w:tentative="1">
      <w:start w:val="1"/>
      <w:numFmt w:val="bullet"/>
      <w:lvlText w:val="o"/>
      <w:lvlJc w:val="left"/>
      <w:pPr>
        <w:ind w:left="7560" w:hanging="360"/>
      </w:pPr>
      <w:rPr>
        <w:rFonts w:ascii="Courier New" w:hAnsi="Courier New" w:hint="default"/>
      </w:rPr>
    </w:lvl>
    <w:lvl w:ilvl="8" w:tplc="00050409" w:tentative="1">
      <w:start w:val="1"/>
      <w:numFmt w:val="bullet"/>
      <w:lvlText w:val=""/>
      <w:lvlJc w:val="left"/>
      <w:pPr>
        <w:ind w:left="8280" w:hanging="360"/>
      </w:pPr>
      <w:rPr>
        <w:rFonts w:ascii="Wingdings" w:hAnsi="Wingdings" w:hint="default"/>
      </w:rPr>
    </w:lvl>
  </w:abstractNum>
  <w:abstractNum w:abstractNumId="144" w15:restartNumberingAfterBreak="0">
    <w:nsid w:val="23AD4A6B"/>
    <w:multiLevelType w:val="hybridMultilevel"/>
    <w:tmpl w:val="6F7416C2"/>
    <w:lvl w:ilvl="0" w:tplc="D5E02FEC">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F6CAD2EA">
      <w:start w:val="1"/>
      <w:numFmt w:val="bullet"/>
      <w:lvlText w:val=""/>
      <w:lvlJc w:val="left"/>
      <w:pPr>
        <w:tabs>
          <w:tab w:val="num" w:pos="3600"/>
        </w:tabs>
        <w:ind w:left="3600" w:hanging="360"/>
      </w:pPr>
      <w:rPr>
        <w:rFonts w:ascii="Symbol" w:hAnsi="Symbol" w:hint="default"/>
        <w:b w:val="0"/>
        <w:i w:val="0"/>
        <w:color w:val="auto"/>
        <w:sz w:val="20"/>
      </w:r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5" w15:restartNumberingAfterBreak="0">
    <w:nsid w:val="23DE41B4"/>
    <w:multiLevelType w:val="hybridMultilevel"/>
    <w:tmpl w:val="93161600"/>
    <w:lvl w:ilvl="0" w:tplc="ADBCB434">
      <w:start w:val="3"/>
      <w:numFmt w:val="upperLetter"/>
      <w:lvlText w:val="%1."/>
      <w:lvlJc w:val="left"/>
      <w:pPr>
        <w:ind w:left="372" w:hanging="360"/>
      </w:pPr>
      <w:rPr>
        <w:b/>
        <w:i w:val="0"/>
        <w:color w:val="auto"/>
        <w:sz w:val="22"/>
        <w:szCs w:val="22"/>
      </w:rPr>
    </w:lvl>
    <w:lvl w:ilvl="1" w:tplc="04090001">
      <w:start w:val="1"/>
      <w:numFmt w:val="bullet"/>
      <w:lvlText w:val=""/>
      <w:lvlJc w:val="left"/>
      <w:pPr>
        <w:ind w:left="1440" w:hanging="360"/>
      </w:pPr>
      <w:rPr>
        <w:rFonts w:ascii="Symbol" w:hAnsi="Symbol" w:hint="default"/>
      </w:r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6" w15:restartNumberingAfterBreak="0">
    <w:nsid w:val="23FA6787"/>
    <w:multiLevelType w:val="hybridMultilevel"/>
    <w:tmpl w:val="E32E1A26"/>
    <w:lvl w:ilvl="0" w:tplc="69BC049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47" w15:restartNumberingAfterBreak="0">
    <w:nsid w:val="240E6408"/>
    <w:multiLevelType w:val="hybridMultilevel"/>
    <w:tmpl w:val="C25A7E30"/>
    <w:lvl w:ilvl="0" w:tplc="CEBC97A2">
      <w:start w:val="6"/>
      <w:numFmt w:val="upperLetter"/>
      <w:lvlText w:val="%1."/>
      <w:lvlJc w:val="left"/>
      <w:pPr>
        <w:ind w:left="2160" w:hanging="360"/>
      </w:pPr>
      <w:rPr>
        <w:b w:val="0"/>
        <w:i w:val="0"/>
        <w:color w:val="auto"/>
        <w:sz w:val="24"/>
      </w:rPr>
    </w:lvl>
    <w:lvl w:ilvl="1" w:tplc="00190409">
      <w:start w:val="1"/>
      <w:numFmt w:val="lowerLetter"/>
      <w:lvlText w:val="%2."/>
      <w:lvlJc w:val="left"/>
      <w:pPr>
        <w:ind w:left="1440" w:hanging="360"/>
      </w:pPr>
    </w:lvl>
    <w:lvl w:ilvl="2" w:tplc="0C52C794">
      <w:start w:val="1"/>
      <w:numFmt w:val="bullet"/>
      <w:lvlText w:val=""/>
      <w:lvlJc w:val="left"/>
      <w:pPr>
        <w:tabs>
          <w:tab w:val="num" w:pos="360"/>
        </w:tabs>
        <w:ind w:left="360" w:hanging="360"/>
      </w:pPr>
      <w:rPr>
        <w:rFonts w:ascii="Symbol" w:hAnsi="Symbol" w:hint="default"/>
        <w:b w:val="0"/>
        <w:i w:val="0"/>
        <w:color w:val="auto"/>
        <w:sz w:val="20"/>
      </w:r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48" w15:restartNumberingAfterBreak="0">
    <w:nsid w:val="25240C8D"/>
    <w:multiLevelType w:val="hybridMultilevel"/>
    <w:tmpl w:val="433A9AA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256A13D2"/>
    <w:multiLevelType w:val="hybridMultilevel"/>
    <w:tmpl w:val="367825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15:restartNumberingAfterBreak="0">
    <w:nsid w:val="25740875"/>
    <w:multiLevelType w:val="multilevel"/>
    <w:tmpl w:val="5478EF94"/>
    <w:lvl w:ilvl="0">
      <w:start w:val="2"/>
      <w:numFmt w:val="upperLetter"/>
      <w:lvlText w:val="%1."/>
      <w:lvlJc w:val="left"/>
      <w:pPr>
        <w:tabs>
          <w:tab w:val="num" w:pos="288"/>
        </w:tabs>
        <w:ind w:left="1224" w:hanging="1224"/>
      </w:pPr>
      <w:rPr>
        <w:b w:val="0"/>
        <w:i w:val="0"/>
        <w:color w:val="auto"/>
        <w:sz w:val="24"/>
      </w:rPr>
    </w:lvl>
    <w:lvl w:ilvl="1">
      <w:start w:val="2"/>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1" w15:restartNumberingAfterBreak="0">
    <w:nsid w:val="259613D1"/>
    <w:multiLevelType w:val="hybridMultilevel"/>
    <w:tmpl w:val="F45610C4"/>
    <w:lvl w:ilvl="0" w:tplc="9FB0CE48">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2" w15:restartNumberingAfterBreak="0">
    <w:nsid w:val="25DD3B2B"/>
    <w:multiLevelType w:val="hybridMultilevel"/>
    <w:tmpl w:val="E0D86EBA"/>
    <w:lvl w:ilvl="0" w:tplc="FFFFFFFF">
      <w:start w:val="1"/>
      <w:numFmt w:val="bullet"/>
      <w:lvlText w:val=""/>
      <w:lvlJc w:val="left"/>
      <w:pPr>
        <w:tabs>
          <w:tab w:val="num" w:pos="1080"/>
        </w:tabs>
        <w:ind w:left="1080" w:hanging="360"/>
      </w:pPr>
      <w:rPr>
        <w:rFonts w:ascii="Symbol" w:hAnsi="Symbol" w:hint="default"/>
        <w:b w:val="0"/>
        <w:i w:val="0"/>
        <w:color w:val="auto"/>
        <w:sz w:val="20"/>
      </w:rPr>
    </w:lvl>
    <w:lvl w:ilvl="1" w:tplc="FFFFFFFF">
      <w:start w:val="1"/>
      <w:numFmt w:val="bullet"/>
      <w:lvlText w:val="o"/>
      <w:lvlJc w:val="left"/>
      <w:pPr>
        <w:ind w:left="450" w:hanging="360"/>
      </w:pPr>
      <w:rPr>
        <w:rFonts w:ascii="Courier New" w:hAnsi="Courier New" w:hint="default"/>
      </w:rPr>
    </w:lvl>
    <w:lvl w:ilvl="2" w:tplc="FFFFFFFF">
      <w:start w:val="1"/>
      <w:numFmt w:val="bullet"/>
      <w:lvlText w:val=""/>
      <w:lvlJc w:val="left"/>
      <w:pPr>
        <w:ind w:left="1170" w:hanging="360"/>
      </w:pPr>
      <w:rPr>
        <w:rFonts w:ascii="Wingdings" w:hAnsi="Wingdings" w:hint="default"/>
      </w:rPr>
    </w:lvl>
    <w:lvl w:ilvl="3" w:tplc="04090003">
      <w:start w:val="1"/>
      <w:numFmt w:val="bullet"/>
      <w:lvlText w:val="o"/>
      <w:lvlJc w:val="left"/>
      <w:pPr>
        <w:ind w:left="1890" w:hanging="360"/>
      </w:pPr>
      <w:rPr>
        <w:rFonts w:ascii="Courier New" w:hAnsi="Courier New" w:cs="Courier New" w:hint="default"/>
      </w:rPr>
    </w:lvl>
    <w:lvl w:ilvl="4" w:tplc="FFFFFFFF">
      <w:start w:val="1"/>
      <w:numFmt w:val="bullet"/>
      <w:lvlText w:val="o"/>
      <w:lvlJc w:val="left"/>
      <w:pPr>
        <w:ind w:left="2610" w:hanging="360"/>
      </w:pPr>
      <w:rPr>
        <w:rFonts w:ascii="Courier New" w:hAnsi="Courier New" w:hint="default"/>
      </w:rPr>
    </w:lvl>
    <w:lvl w:ilvl="5" w:tplc="FFFFFFFF" w:tentative="1">
      <w:start w:val="1"/>
      <w:numFmt w:val="bullet"/>
      <w:lvlText w:val=""/>
      <w:lvlJc w:val="left"/>
      <w:pPr>
        <w:ind w:left="3330" w:hanging="360"/>
      </w:pPr>
      <w:rPr>
        <w:rFonts w:ascii="Wingdings" w:hAnsi="Wingdings" w:hint="default"/>
      </w:rPr>
    </w:lvl>
    <w:lvl w:ilvl="6" w:tplc="FFFFFFFF" w:tentative="1">
      <w:start w:val="1"/>
      <w:numFmt w:val="bullet"/>
      <w:lvlText w:val=""/>
      <w:lvlJc w:val="left"/>
      <w:pPr>
        <w:ind w:left="4050" w:hanging="360"/>
      </w:pPr>
      <w:rPr>
        <w:rFonts w:ascii="Symbol" w:hAnsi="Symbol" w:hint="default"/>
      </w:rPr>
    </w:lvl>
    <w:lvl w:ilvl="7" w:tplc="FFFFFFFF" w:tentative="1">
      <w:start w:val="1"/>
      <w:numFmt w:val="bullet"/>
      <w:lvlText w:val="o"/>
      <w:lvlJc w:val="left"/>
      <w:pPr>
        <w:ind w:left="4770" w:hanging="360"/>
      </w:pPr>
      <w:rPr>
        <w:rFonts w:ascii="Courier New" w:hAnsi="Courier New" w:hint="default"/>
      </w:rPr>
    </w:lvl>
    <w:lvl w:ilvl="8" w:tplc="FFFFFFFF" w:tentative="1">
      <w:start w:val="1"/>
      <w:numFmt w:val="bullet"/>
      <w:lvlText w:val=""/>
      <w:lvlJc w:val="left"/>
      <w:pPr>
        <w:ind w:left="5490" w:hanging="360"/>
      </w:pPr>
      <w:rPr>
        <w:rFonts w:ascii="Wingdings" w:hAnsi="Wingdings" w:hint="default"/>
      </w:rPr>
    </w:lvl>
  </w:abstractNum>
  <w:abstractNum w:abstractNumId="153" w15:restartNumberingAfterBreak="0">
    <w:nsid w:val="25E277DE"/>
    <w:multiLevelType w:val="hybridMultilevel"/>
    <w:tmpl w:val="9B2EE4D4"/>
    <w:lvl w:ilvl="0" w:tplc="68B8C378">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F708413C">
      <w:start w:val="1"/>
      <w:numFmt w:val="bullet"/>
      <w:lvlText w:val=""/>
      <w:lvlJc w:val="left"/>
      <w:pPr>
        <w:tabs>
          <w:tab w:val="num" w:pos="2160"/>
        </w:tabs>
        <w:ind w:left="2160" w:hanging="360"/>
      </w:pPr>
      <w:rPr>
        <w:rFonts w:ascii="Symbol" w:hAnsi="Symbol" w:hint="default"/>
        <w:b w:val="0"/>
        <w:i w:val="0"/>
        <w:color w:val="auto"/>
        <w:sz w:val="20"/>
      </w:rPr>
    </w:lvl>
    <w:lvl w:ilvl="3" w:tplc="00010409">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54" w15:restartNumberingAfterBreak="0">
    <w:nsid w:val="269012B3"/>
    <w:multiLevelType w:val="hybridMultilevel"/>
    <w:tmpl w:val="702E0F34"/>
    <w:lvl w:ilvl="0" w:tplc="04090003">
      <w:start w:val="1"/>
      <w:numFmt w:val="bullet"/>
      <w:lvlText w:val="o"/>
      <w:lvlJc w:val="left"/>
      <w:pPr>
        <w:ind w:left="1440" w:hanging="360"/>
      </w:pPr>
      <w:rPr>
        <w:rFonts w:ascii="Courier New" w:hAnsi="Courier New" w:cs="Courier New"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55" w15:restartNumberingAfterBreak="0">
    <w:nsid w:val="27076B8F"/>
    <w:multiLevelType w:val="hybridMultilevel"/>
    <w:tmpl w:val="E6864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15:restartNumberingAfterBreak="0">
    <w:nsid w:val="27192311"/>
    <w:multiLevelType w:val="hybridMultilevel"/>
    <w:tmpl w:val="FAFE674E"/>
    <w:lvl w:ilvl="0" w:tplc="181C56BE">
      <w:start w:val="1"/>
      <w:numFmt w:val="bullet"/>
      <w:lvlText w:val=""/>
      <w:lvlJc w:val="left"/>
      <w:pPr>
        <w:tabs>
          <w:tab w:val="num" w:pos="2664"/>
        </w:tabs>
        <w:ind w:left="2664" w:hanging="360"/>
      </w:pPr>
      <w:rPr>
        <w:rFonts w:ascii="Symbol" w:hAnsi="Symbol" w:hint="default"/>
        <w:b w:val="0"/>
        <w:i w:val="0"/>
        <w:color w:val="auto"/>
        <w:sz w:val="20"/>
      </w:rPr>
    </w:lvl>
    <w:lvl w:ilvl="1" w:tplc="00030409">
      <w:start w:val="1"/>
      <w:numFmt w:val="bullet"/>
      <w:lvlText w:val="o"/>
      <w:lvlJc w:val="left"/>
      <w:pPr>
        <w:tabs>
          <w:tab w:val="num" w:pos="2592"/>
        </w:tabs>
        <w:ind w:left="2592" w:hanging="360"/>
      </w:pPr>
      <w:rPr>
        <w:rFonts w:ascii="Courier New" w:hAnsi="Courier New" w:hint="default"/>
      </w:rPr>
    </w:lvl>
    <w:lvl w:ilvl="2" w:tplc="00050409" w:tentative="1">
      <w:start w:val="1"/>
      <w:numFmt w:val="bullet"/>
      <w:lvlText w:val=""/>
      <w:lvlJc w:val="left"/>
      <w:pPr>
        <w:tabs>
          <w:tab w:val="num" w:pos="3312"/>
        </w:tabs>
        <w:ind w:left="3312" w:hanging="360"/>
      </w:pPr>
      <w:rPr>
        <w:rFonts w:ascii="Wingdings" w:hAnsi="Wingdings" w:hint="default"/>
      </w:rPr>
    </w:lvl>
    <w:lvl w:ilvl="3" w:tplc="00010409" w:tentative="1">
      <w:start w:val="1"/>
      <w:numFmt w:val="bullet"/>
      <w:lvlText w:val=""/>
      <w:lvlJc w:val="left"/>
      <w:pPr>
        <w:tabs>
          <w:tab w:val="num" w:pos="4032"/>
        </w:tabs>
        <w:ind w:left="4032" w:hanging="360"/>
      </w:pPr>
      <w:rPr>
        <w:rFonts w:ascii="Symbol" w:hAnsi="Symbol" w:hint="default"/>
      </w:rPr>
    </w:lvl>
    <w:lvl w:ilvl="4" w:tplc="181C56BE">
      <w:start w:val="1"/>
      <w:numFmt w:val="bullet"/>
      <w:lvlText w:val=""/>
      <w:lvlJc w:val="left"/>
      <w:pPr>
        <w:tabs>
          <w:tab w:val="num" w:pos="3600"/>
        </w:tabs>
        <w:ind w:left="3600" w:hanging="360"/>
      </w:pPr>
      <w:rPr>
        <w:rFonts w:ascii="Symbol" w:hAnsi="Symbol" w:hint="default"/>
        <w:b w:val="0"/>
        <w:i w:val="0"/>
        <w:color w:val="auto"/>
        <w:sz w:val="20"/>
      </w:rPr>
    </w:lvl>
    <w:lvl w:ilvl="5" w:tplc="00050409" w:tentative="1">
      <w:start w:val="1"/>
      <w:numFmt w:val="bullet"/>
      <w:lvlText w:val=""/>
      <w:lvlJc w:val="left"/>
      <w:pPr>
        <w:tabs>
          <w:tab w:val="num" w:pos="5472"/>
        </w:tabs>
        <w:ind w:left="5472" w:hanging="360"/>
      </w:pPr>
      <w:rPr>
        <w:rFonts w:ascii="Wingdings" w:hAnsi="Wingdings" w:hint="default"/>
      </w:rPr>
    </w:lvl>
    <w:lvl w:ilvl="6" w:tplc="00010409" w:tentative="1">
      <w:start w:val="1"/>
      <w:numFmt w:val="bullet"/>
      <w:lvlText w:val=""/>
      <w:lvlJc w:val="left"/>
      <w:pPr>
        <w:tabs>
          <w:tab w:val="num" w:pos="6192"/>
        </w:tabs>
        <w:ind w:left="6192" w:hanging="360"/>
      </w:pPr>
      <w:rPr>
        <w:rFonts w:ascii="Symbol" w:hAnsi="Symbol" w:hint="default"/>
      </w:rPr>
    </w:lvl>
    <w:lvl w:ilvl="7" w:tplc="00030409" w:tentative="1">
      <w:start w:val="1"/>
      <w:numFmt w:val="bullet"/>
      <w:lvlText w:val="o"/>
      <w:lvlJc w:val="left"/>
      <w:pPr>
        <w:tabs>
          <w:tab w:val="num" w:pos="6912"/>
        </w:tabs>
        <w:ind w:left="6912" w:hanging="360"/>
      </w:pPr>
      <w:rPr>
        <w:rFonts w:ascii="Courier New" w:hAnsi="Courier New" w:hint="default"/>
      </w:rPr>
    </w:lvl>
    <w:lvl w:ilvl="8" w:tplc="00050409" w:tentative="1">
      <w:start w:val="1"/>
      <w:numFmt w:val="bullet"/>
      <w:lvlText w:val=""/>
      <w:lvlJc w:val="left"/>
      <w:pPr>
        <w:tabs>
          <w:tab w:val="num" w:pos="7632"/>
        </w:tabs>
        <w:ind w:left="7632" w:hanging="360"/>
      </w:pPr>
      <w:rPr>
        <w:rFonts w:ascii="Wingdings" w:hAnsi="Wingdings" w:hint="default"/>
      </w:rPr>
    </w:lvl>
  </w:abstractNum>
  <w:abstractNum w:abstractNumId="157" w15:restartNumberingAfterBreak="0">
    <w:nsid w:val="271D2F5E"/>
    <w:multiLevelType w:val="hybridMultilevel"/>
    <w:tmpl w:val="8D20A3CC"/>
    <w:lvl w:ilvl="0" w:tplc="FFFFFFFF">
      <w:start w:val="1"/>
      <w:numFmt w:val="upperLetter"/>
      <w:lvlText w:val="%1."/>
      <w:lvlJc w:val="left"/>
      <w:pPr>
        <w:ind w:left="792" w:hanging="360"/>
      </w:pPr>
      <w:rPr>
        <w:b/>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8" w15:restartNumberingAfterBreak="0">
    <w:nsid w:val="27366D7A"/>
    <w:multiLevelType w:val="multilevel"/>
    <w:tmpl w:val="2B78E6F2"/>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59" w15:restartNumberingAfterBreak="0">
    <w:nsid w:val="273E3848"/>
    <w:multiLevelType w:val="hybridMultilevel"/>
    <w:tmpl w:val="E6862CD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60" w15:restartNumberingAfterBreak="0">
    <w:nsid w:val="275C352E"/>
    <w:multiLevelType w:val="hybridMultilevel"/>
    <w:tmpl w:val="DCF8B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15:restartNumberingAfterBreak="0">
    <w:nsid w:val="27C851F5"/>
    <w:multiLevelType w:val="hybridMultilevel"/>
    <w:tmpl w:val="C9BCEA52"/>
    <w:lvl w:ilvl="0" w:tplc="94EE065E">
      <w:start w:val="1"/>
      <w:numFmt w:val="bullet"/>
      <w:lvlText w:val=""/>
      <w:lvlJc w:val="left"/>
      <w:pPr>
        <w:tabs>
          <w:tab w:val="num" w:pos="3528"/>
        </w:tabs>
        <w:ind w:left="3528" w:hanging="360"/>
      </w:pPr>
      <w:rPr>
        <w:rFonts w:ascii="Symbol" w:hAnsi="Symbol" w:hint="default"/>
        <w:b w:val="0"/>
        <w:i w:val="0"/>
        <w:color w:val="auto"/>
        <w:sz w:val="20"/>
      </w:rPr>
    </w:lvl>
    <w:lvl w:ilvl="1" w:tplc="00030409">
      <w:start w:val="1"/>
      <w:numFmt w:val="bullet"/>
      <w:lvlText w:val="o"/>
      <w:lvlJc w:val="left"/>
      <w:pPr>
        <w:ind w:left="1800" w:hanging="360"/>
      </w:pPr>
      <w:rPr>
        <w:rFonts w:ascii="Courier New" w:hAnsi="Courier New" w:hint="default"/>
      </w:rPr>
    </w:lvl>
    <w:lvl w:ilvl="2" w:tplc="00050409">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162" w15:restartNumberingAfterBreak="0">
    <w:nsid w:val="27C870CF"/>
    <w:multiLevelType w:val="hybridMultilevel"/>
    <w:tmpl w:val="AB320AF6"/>
    <w:lvl w:ilvl="0" w:tplc="C0366DA6">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63" w15:restartNumberingAfterBreak="0">
    <w:nsid w:val="28726087"/>
    <w:multiLevelType w:val="hybridMultilevel"/>
    <w:tmpl w:val="9F98F188"/>
    <w:lvl w:ilvl="0" w:tplc="7C94B9AC">
      <w:start w:val="6"/>
      <w:numFmt w:val="decimal"/>
      <w:lvlText w:val="%1."/>
      <w:lvlJc w:val="left"/>
      <w:pPr>
        <w:ind w:left="36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64" w15:restartNumberingAfterBreak="0">
    <w:nsid w:val="28C4245E"/>
    <w:multiLevelType w:val="hybridMultilevel"/>
    <w:tmpl w:val="E6C0ED0E"/>
    <w:lvl w:ilvl="0" w:tplc="549A1998">
      <w:start w:val="1"/>
      <w:numFmt w:val="bullet"/>
      <w:lvlText w:val=""/>
      <w:lvlJc w:val="left"/>
      <w:pPr>
        <w:tabs>
          <w:tab w:val="num" w:pos="1530"/>
        </w:tabs>
        <w:ind w:left="1530" w:hanging="360"/>
      </w:pPr>
      <w:rPr>
        <w:rFonts w:ascii="Symbol" w:hAnsi="Symbol" w:hint="default"/>
        <w:b w:val="0"/>
        <w:i w:val="0"/>
        <w:color w:val="auto"/>
        <w:sz w:val="20"/>
      </w:rPr>
    </w:lvl>
    <w:lvl w:ilvl="1" w:tplc="274A9E72">
      <w:start w:val="3"/>
      <w:numFmt w:val="decimal"/>
      <w:lvlText w:val="%2."/>
      <w:lvlJc w:val="left"/>
      <w:pPr>
        <w:tabs>
          <w:tab w:val="num" w:pos="2250"/>
        </w:tabs>
        <w:ind w:left="2250" w:hanging="360"/>
      </w:pPr>
    </w:lvl>
    <w:lvl w:ilvl="2" w:tplc="04090005">
      <w:start w:val="1"/>
      <w:numFmt w:val="bullet"/>
      <w:lvlText w:val=""/>
      <w:lvlJc w:val="left"/>
      <w:pPr>
        <w:tabs>
          <w:tab w:val="num" w:pos="2970"/>
        </w:tabs>
        <w:ind w:left="2970" w:hanging="360"/>
      </w:pPr>
      <w:rPr>
        <w:rFonts w:ascii="Wingdings" w:hAnsi="Wingdings" w:hint="default"/>
      </w:rPr>
    </w:lvl>
    <w:lvl w:ilvl="3" w:tplc="04090001">
      <w:start w:val="1"/>
      <w:numFmt w:val="bullet"/>
      <w:lvlText w:val=""/>
      <w:lvlJc w:val="left"/>
      <w:pPr>
        <w:tabs>
          <w:tab w:val="num" w:pos="3690"/>
        </w:tabs>
        <w:ind w:left="3690" w:hanging="360"/>
      </w:pPr>
      <w:rPr>
        <w:rFonts w:ascii="Symbol" w:hAnsi="Symbol" w:hint="default"/>
      </w:rPr>
    </w:lvl>
    <w:lvl w:ilvl="4" w:tplc="04090003">
      <w:start w:val="1"/>
      <w:numFmt w:val="bullet"/>
      <w:lvlText w:val="o"/>
      <w:lvlJc w:val="left"/>
      <w:pPr>
        <w:tabs>
          <w:tab w:val="num" w:pos="4410"/>
        </w:tabs>
        <w:ind w:left="4410" w:hanging="360"/>
      </w:pPr>
      <w:rPr>
        <w:rFonts w:ascii="Courier New" w:hAnsi="Courier New" w:cs="Arial" w:hint="default"/>
      </w:rPr>
    </w:lvl>
    <w:lvl w:ilvl="5" w:tplc="04090005">
      <w:start w:val="1"/>
      <w:numFmt w:val="bullet"/>
      <w:lvlText w:val=""/>
      <w:lvlJc w:val="left"/>
      <w:pPr>
        <w:tabs>
          <w:tab w:val="num" w:pos="5130"/>
        </w:tabs>
        <w:ind w:left="5130" w:hanging="360"/>
      </w:pPr>
      <w:rPr>
        <w:rFonts w:ascii="Wingdings" w:hAnsi="Wingdings" w:hint="default"/>
      </w:rPr>
    </w:lvl>
    <w:lvl w:ilvl="6" w:tplc="04090001">
      <w:start w:val="1"/>
      <w:numFmt w:val="bullet"/>
      <w:lvlText w:val=""/>
      <w:lvlJc w:val="left"/>
      <w:pPr>
        <w:tabs>
          <w:tab w:val="num" w:pos="5850"/>
        </w:tabs>
        <w:ind w:left="5850" w:hanging="360"/>
      </w:pPr>
      <w:rPr>
        <w:rFonts w:ascii="Symbol" w:hAnsi="Symbol" w:hint="default"/>
      </w:rPr>
    </w:lvl>
    <w:lvl w:ilvl="7" w:tplc="04090003">
      <w:start w:val="1"/>
      <w:numFmt w:val="bullet"/>
      <w:lvlText w:val="o"/>
      <w:lvlJc w:val="left"/>
      <w:pPr>
        <w:tabs>
          <w:tab w:val="num" w:pos="6570"/>
        </w:tabs>
        <w:ind w:left="6570" w:hanging="360"/>
      </w:pPr>
      <w:rPr>
        <w:rFonts w:ascii="Courier New" w:hAnsi="Courier New" w:cs="Arial" w:hint="default"/>
      </w:rPr>
    </w:lvl>
    <w:lvl w:ilvl="8" w:tplc="04090005">
      <w:start w:val="1"/>
      <w:numFmt w:val="bullet"/>
      <w:lvlText w:val=""/>
      <w:lvlJc w:val="left"/>
      <w:pPr>
        <w:tabs>
          <w:tab w:val="num" w:pos="7290"/>
        </w:tabs>
        <w:ind w:left="7290" w:hanging="360"/>
      </w:pPr>
      <w:rPr>
        <w:rFonts w:ascii="Wingdings" w:hAnsi="Wingdings" w:hint="default"/>
      </w:rPr>
    </w:lvl>
  </w:abstractNum>
  <w:abstractNum w:abstractNumId="165" w15:restartNumberingAfterBreak="0">
    <w:nsid w:val="28E521B9"/>
    <w:multiLevelType w:val="multilevel"/>
    <w:tmpl w:val="672EF100"/>
    <w:lvl w:ilvl="0">
      <w:start w:val="3"/>
      <w:numFmt w:val="decimal"/>
      <w:lvlText w:val="%1."/>
      <w:lvlJc w:val="left"/>
      <w:pPr>
        <w:tabs>
          <w:tab w:val="num" w:pos="360"/>
        </w:tabs>
        <w:ind w:left="360" w:hanging="360"/>
      </w:pPr>
      <w:rPr>
        <w:b/>
        <w:i w:val="0"/>
      </w:rPr>
    </w:lvl>
    <w:lvl w:ilvl="1">
      <w:start w:val="1"/>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66" w15:restartNumberingAfterBreak="0">
    <w:nsid w:val="29113BFE"/>
    <w:multiLevelType w:val="hybridMultilevel"/>
    <w:tmpl w:val="5B5099A4"/>
    <w:lvl w:ilvl="0" w:tplc="9DC60F62">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450" w:hanging="360"/>
      </w:pPr>
      <w:rPr>
        <w:rFonts w:ascii="Courier New" w:hAnsi="Courier New" w:hint="default"/>
      </w:rPr>
    </w:lvl>
    <w:lvl w:ilvl="2" w:tplc="00050409">
      <w:start w:val="1"/>
      <w:numFmt w:val="bullet"/>
      <w:lvlText w:val=""/>
      <w:lvlJc w:val="left"/>
      <w:pPr>
        <w:ind w:left="1170" w:hanging="360"/>
      </w:pPr>
      <w:rPr>
        <w:rFonts w:ascii="Wingdings" w:hAnsi="Wingdings" w:hint="default"/>
      </w:rPr>
    </w:lvl>
    <w:lvl w:ilvl="3" w:tplc="00010409">
      <w:start w:val="1"/>
      <w:numFmt w:val="bullet"/>
      <w:lvlText w:val=""/>
      <w:lvlJc w:val="left"/>
      <w:pPr>
        <w:ind w:left="1890" w:hanging="360"/>
      </w:pPr>
      <w:rPr>
        <w:rFonts w:ascii="Symbol" w:hAnsi="Symbol" w:hint="default"/>
      </w:rPr>
    </w:lvl>
    <w:lvl w:ilvl="4" w:tplc="00030409" w:tentative="1">
      <w:start w:val="1"/>
      <w:numFmt w:val="bullet"/>
      <w:lvlText w:val="o"/>
      <w:lvlJc w:val="left"/>
      <w:pPr>
        <w:ind w:left="2610" w:hanging="360"/>
      </w:pPr>
      <w:rPr>
        <w:rFonts w:ascii="Courier New" w:hAnsi="Courier New" w:hint="default"/>
      </w:rPr>
    </w:lvl>
    <w:lvl w:ilvl="5" w:tplc="00050409" w:tentative="1">
      <w:start w:val="1"/>
      <w:numFmt w:val="bullet"/>
      <w:lvlText w:val=""/>
      <w:lvlJc w:val="left"/>
      <w:pPr>
        <w:ind w:left="3330" w:hanging="360"/>
      </w:pPr>
      <w:rPr>
        <w:rFonts w:ascii="Wingdings" w:hAnsi="Wingdings" w:hint="default"/>
      </w:rPr>
    </w:lvl>
    <w:lvl w:ilvl="6" w:tplc="00010409" w:tentative="1">
      <w:start w:val="1"/>
      <w:numFmt w:val="bullet"/>
      <w:lvlText w:val=""/>
      <w:lvlJc w:val="left"/>
      <w:pPr>
        <w:ind w:left="4050" w:hanging="360"/>
      </w:pPr>
      <w:rPr>
        <w:rFonts w:ascii="Symbol" w:hAnsi="Symbol" w:hint="default"/>
      </w:rPr>
    </w:lvl>
    <w:lvl w:ilvl="7" w:tplc="00030409" w:tentative="1">
      <w:start w:val="1"/>
      <w:numFmt w:val="bullet"/>
      <w:lvlText w:val="o"/>
      <w:lvlJc w:val="left"/>
      <w:pPr>
        <w:ind w:left="4770" w:hanging="360"/>
      </w:pPr>
      <w:rPr>
        <w:rFonts w:ascii="Courier New" w:hAnsi="Courier New" w:hint="default"/>
      </w:rPr>
    </w:lvl>
    <w:lvl w:ilvl="8" w:tplc="00050409" w:tentative="1">
      <w:start w:val="1"/>
      <w:numFmt w:val="bullet"/>
      <w:lvlText w:val=""/>
      <w:lvlJc w:val="left"/>
      <w:pPr>
        <w:ind w:left="5490" w:hanging="360"/>
      </w:pPr>
      <w:rPr>
        <w:rFonts w:ascii="Wingdings" w:hAnsi="Wingdings" w:hint="default"/>
      </w:rPr>
    </w:lvl>
  </w:abstractNum>
  <w:abstractNum w:abstractNumId="167" w15:restartNumberingAfterBreak="0">
    <w:nsid w:val="2912568E"/>
    <w:multiLevelType w:val="hybridMultilevel"/>
    <w:tmpl w:val="91BC6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29433CF0"/>
    <w:multiLevelType w:val="hybridMultilevel"/>
    <w:tmpl w:val="14D22B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9" w15:restartNumberingAfterBreak="0">
    <w:nsid w:val="29C46D2A"/>
    <w:multiLevelType w:val="multilevel"/>
    <w:tmpl w:val="75F8124A"/>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0" w15:restartNumberingAfterBreak="0">
    <w:nsid w:val="29D03C7C"/>
    <w:multiLevelType w:val="hybridMultilevel"/>
    <w:tmpl w:val="55061FDE"/>
    <w:lvl w:ilvl="0" w:tplc="F122AE22">
      <w:start w:val="1"/>
      <w:numFmt w:val="bullet"/>
      <w:lvlText w:val=""/>
      <w:lvlJc w:val="left"/>
      <w:pPr>
        <w:tabs>
          <w:tab w:val="num" w:pos="3168"/>
        </w:tabs>
        <w:ind w:left="31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71" w15:restartNumberingAfterBreak="0">
    <w:nsid w:val="2A704B35"/>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72" w15:restartNumberingAfterBreak="0">
    <w:nsid w:val="2AD30C9B"/>
    <w:multiLevelType w:val="hybridMultilevel"/>
    <w:tmpl w:val="1CBA8804"/>
    <w:lvl w:ilvl="0" w:tplc="9C68B00E">
      <w:start w:val="7"/>
      <w:numFmt w:val="upperLetter"/>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tabs>
          <w:tab w:val="num" w:pos="1368"/>
        </w:tabs>
        <w:ind w:left="1368" w:hanging="360"/>
      </w:pPr>
    </w:lvl>
    <w:lvl w:ilvl="2" w:tplc="001B0409" w:tentative="1">
      <w:start w:val="1"/>
      <w:numFmt w:val="lowerRoman"/>
      <w:lvlText w:val="%3."/>
      <w:lvlJc w:val="right"/>
      <w:pPr>
        <w:tabs>
          <w:tab w:val="num" w:pos="2088"/>
        </w:tabs>
        <w:ind w:left="2088" w:hanging="180"/>
      </w:pPr>
    </w:lvl>
    <w:lvl w:ilvl="3" w:tplc="000F0409" w:tentative="1">
      <w:start w:val="1"/>
      <w:numFmt w:val="decimal"/>
      <w:lvlText w:val="%4."/>
      <w:lvlJc w:val="left"/>
      <w:pPr>
        <w:tabs>
          <w:tab w:val="num" w:pos="2808"/>
        </w:tabs>
        <w:ind w:left="2808" w:hanging="360"/>
      </w:pPr>
    </w:lvl>
    <w:lvl w:ilvl="4" w:tplc="00190409" w:tentative="1">
      <w:start w:val="1"/>
      <w:numFmt w:val="lowerLetter"/>
      <w:lvlText w:val="%5."/>
      <w:lvlJc w:val="left"/>
      <w:pPr>
        <w:tabs>
          <w:tab w:val="num" w:pos="3528"/>
        </w:tabs>
        <w:ind w:left="3528" w:hanging="360"/>
      </w:pPr>
    </w:lvl>
    <w:lvl w:ilvl="5" w:tplc="001B0409" w:tentative="1">
      <w:start w:val="1"/>
      <w:numFmt w:val="lowerRoman"/>
      <w:lvlText w:val="%6."/>
      <w:lvlJc w:val="right"/>
      <w:pPr>
        <w:tabs>
          <w:tab w:val="num" w:pos="4248"/>
        </w:tabs>
        <w:ind w:left="4248" w:hanging="180"/>
      </w:pPr>
    </w:lvl>
    <w:lvl w:ilvl="6" w:tplc="000F0409" w:tentative="1">
      <w:start w:val="1"/>
      <w:numFmt w:val="decimal"/>
      <w:lvlText w:val="%7."/>
      <w:lvlJc w:val="left"/>
      <w:pPr>
        <w:tabs>
          <w:tab w:val="num" w:pos="4968"/>
        </w:tabs>
        <w:ind w:left="4968" w:hanging="360"/>
      </w:pPr>
    </w:lvl>
    <w:lvl w:ilvl="7" w:tplc="00190409" w:tentative="1">
      <w:start w:val="1"/>
      <w:numFmt w:val="lowerLetter"/>
      <w:lvlText w:val="%8."/>
      <w:lvlJc w:val="left"/>
      <w:pPr>
        <w:tabs>
          <w:tab w:val="num" w:pos="5688"/>
        </w:tabs>
        <w:ind w:left="5688" w:hanging="360"/>
      </w:pPr>
    </w:lvl>
    <w:lvl w:ilvl="8" w:tplc="001B0409" w:tentative="1">
      <w:start w:val="1"/>
      <w:numFmt w:val="lowerRoman"/>
      <w:lvlText w:val="%9."/>
      <w:lvlJc w:val="right"/>
      <w:pPr>
        <w:tabs>
          <w:tab w:val="num" w:pos="6408"/>
        </w:tabs>
        <w:ind w:left="6408" w:hanging="180"/>
      </w:pPr>
    </w:lvl>
  </w:abstractNum>
  <w:abstractNum w:abstractNumId="173" w15:restartNumberingAfterBreak="0">
    <w:nsid w:val="2B7F59D5"/>
    <w:multiLevelType w:val="hybridMultilevel"/>
    <w:tmpl w:val="310AA28C"/>
    <w:lvl w:ilvl="0" w:tplc="D1B4844C">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4" w15:restartNumberingAfterBreak="0">
    <w:nsid w:val="2B9109EC"/>
    <w:multiLevelType w:val="hybridMultilevel"/>
    <w:tmpl w:val="90BE3AB4"/>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44A9740">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5" w15:restartNumberingAfterBreak="0">
    <w:nsid w:val="2BC324CF"/>
    <w:multiLevelType w:val="hybridMultilevel"/>
    <w:tmpl w:val="B84A85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6" w15:restartNumberingAfterBreak="0">
    <w:nsid w:val="2BF21D77"/>
    <w:multiLevelType w:val="hybridMultilevel"/>
    <w:tmpl w:val="2A3217A6"/>
    <w:lvl w:ilvl="0" w:tplc="16465480">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77" w15:restartNumberingAfterBreak="0">
    <w:nsid w:val="2C9515C5"/>
    <w:multiLevelType w:val="hybridMultilevel"/>
    <w:tmpl w:val="6754992A"/>
    <w:lvl w:ilvl="0" w:tplc="85AA53D2">
      <w:start w:val="1"/>
      <w:numFmt w:val="upperLetter"/>
      <w:lvlText w:val="%1."/>
      <w:lvlJc w:val="left"/>
      <w:pPr>
        <w:ind w:left="1530" w:hanging="360"/>
      </w:pPr>
      <w:rPr>
        <w:b/>
        <w:i w:val="0"/>
        <w:color w:val="auto"/>
        <w:sz w:val="22"/>
        <w:szCs w:val="22"/>
      </w:rPr>
    </w:lvl>
    <w:lvl w:ilvl="1" w:tplc="FFF0606C">
      <w:start w:val="1"/>
      <w:numFmt w:val="bullet"/>
      <w:lvlText w:val=""/>
      <w:lvlJc w:val="left"/>
      <w:pPr>
        <w:ind w:left="2160" w:hanging="360"/>
      </w:pPr>
      <w:rPr>
        <w:rFonts w:ascii="Symbol" w:hAnsi="Symbol" w:hint="default"/>
        <w:b w:val="0"/>
        <w:i w:val="0"/>
        <w:color w:val="auto"/>
        <w:sz w:val="20"/>
      </w:r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8" w15:restartNumberingAfterBreak="0">
    <w:nsid w:val="2CA72F82"/>
    <w:multiLevelType w:val="hybridMultilevel"/>
    <w:tmpl w:val="A30C8F56"/>
    <w:lvl w:ilvl="0" w:tplc="1E44A246">
      <w:start w:val="1"/>
      <w:numFmt w:val="bullet"/>
      <w:lvlText w:val=""/>
      <w:lvlJc w:val="left"/>
      <w:pPr>
        <w:ind w:left="1800" w:hanging="360"/>
      </w:pPr>
      <w:rPr>
        <w:rFonts w:ascii="Symbol" w:hAnsi="Symbol" w:hint="default"/>
        <w:b w:val="0"/>
        <w:i w:val="0"/>
        <w:color w:val="auto"/>
        <w:sz w:val="20"/>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2D2D408E"/>
    <w:multiLevelType w:val="hybridMultilevel"/>
    <w:tmpl w:val="B046F20A"/>
    <w:lvl w:ilvl="0" w:tplc="25E88D56">
      <w:start w:val="1"/>
      <w:numFmt w:val="upperLetter"/>
      <w:lvlText w:val="%1."/>
      <w:lvlJc w:val="left"/>
      <w:pPr>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80" w15:restartNumberingAfterBreak="0">
    <w:nsid w:val="2D4C7CE6"/>
    <w:multiLevelType w:val="hybridMultilevel"/>
    <w:tmpl w:val="DBE0D02E"/>
    <w:lvl w:ilvl="0" w:tplc="5E7015D8">
      <w:start w:val="2"/>
      <w:numFmt w:val="upperLetter"/>
      <w:lvlText w:val="%1."/>
      <w:lvlJc w:val="left"/>
      <w:pPr>
        <w:tabs>
          <w:tab w:val="num" w:pos="2088"/>
        </w:tabs>
        <w:ind w:left="2088" w:hanging="360"/>
      </w:pPr>
      <w:rPr>
        <w:b w:val="0"/>
        <w:i w:val="0"/>
        <w:color w:val="auto"/>
        <w:sz w:val="24"/>
      </w:rPr>
    </w:lvl>
    <w:lvl w:ilvl="1" w:tplc="5E7015D8">
      <w:start w:val="2"/>
      <w:numFmt w:val="upperLetter"/>
      <w:lvlText w:val="%2."/>
      <w:lvlJc w:val="left"/>
      <w:pPr>
        <w:tabs>
          <w:tab w:val="num" w:pos="1440"/>
        </w:tabs>
        <w:ind w:left="1440" w:hanging="360"/>
      </w:pPr>
      <w:rPr>
        <w:b w:val="0"/>
        <w:i w:val="0"/>
        <w:color w:val="auto"/>
        <w:sz w:val="24"/>
      </w:rPr>
    </w:lvl>
    <w:lvl w:ilvl="2" w:tplc="6AFCDE30">
      <w:start w:val="2"/>
      <w:numFmt w:val="bullet"/>
      <w:lvlText w:val=""/>
      <w:lvlJc w:val="left"/>
      <w:pPr>
        <w:tabs>
          <w:tab w:val="num" w:pos="2340"/>
        </w:tabs>
        <w:ind w:left="2340" w:hanging="360"/>
      </w:pPr>
      <w:rPr>
        <w:rFonts w:ascii="Symbol" w:hAnsi="Symbol" w:hint="default"/>
        <w:b w:val="0"/>
        <w:i w:val="0"/>
        <w:color w:val="auto"/>
        <w:sz w:val="20"/>
      </w:r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81" w15:restartNumberingAfterBreak="0">
    <w:nsid w:val="2D9D0AA2"/>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2" w15:restartNumberingAfterBreak="0">
    <w:nsid w:val="2E0943A9"/>
    <w:multiLevelType w:val="hybridMultilevel"/>
    <w:tmpl w:val="6E2C154A"/>
    <w:lvl w:ilvl="0" w:tplc="04090003">
      <w:start w:val="1"/>
      <w:numFmt w:val="bullet"/>
      <w:lvlText w:val="o"/>
      <w:lvlJc w:val="left"/>
      <w:pPr>
        <w:tabs>
          <w:tab w:val="num" w:pos="2160"/>
        </w:tabs>
        <w:ind w:left="2160" w:hanging="360"/>
      </w:pPr>
      <w:rPr>
        <w:rFonts w:ascii="Courier New" w:hAnsi="Courier New" w:cs="Courier New" w:hint="default"/>
        <w:b w:val="0"/>
        <w:i w:val="0"/>
        <w:color w:val="auto"/>
        <w:sz w:val="20"/>
      </w:rPr>
    </w:lvl>
    <w:lvl w:ilvl="1" w:tplc="FFFFFFFF">
      <w:start w:val="1"/>
      <w:numFmt w:val="bullet"/>
      <w:lvlText w:val="o"/>
      <w:lvlJc w:val="left"/>
      <w:pPr>
        <w:ind w:left="2232" w:hanging="360"/>
      </w:pPr>
      <w:rPr>
        <w:rFonts w:ascii="Courier New" w:hAnsi="Courier New" w:hint="default"/>
      </w:rPr>
    </w:lvl>
    <w:lvl w:ilvl="2" w:tplc="FFFFFFFF" w:tentative="1">
      <w:start w:val="1"/>
      <w:numFmt w:val="bullet"/>
      <w:lvlText w:val=""/>
      <w:lvlJc w:val="left"/>
      <w:pPr>
        <w:ind w:left="2952" w:hanging="360"/>
      </w:pPr>
      <w:rPr>
        <w:rFonts w:ascii="Wingdings" w:hAnsi="Wingdings" w:hint="default"/>
      </w:rPr>
    </w:lvl>
    <w:lvl w:ilvl="3" w:tplc="FFFFFFFF">
      <w:start w:val="1"/>
      <w:numFmt w:val="bullet"/>
      <w:lvlText w:val=""/>
      <w:lvlJc w:val="left"/>
      <w:pPr>
        <w:tabs>
          <w:tab w:val="num" w:pos="2952"/>
        </w:tabs>
        <w:ind w:left="2952" w:hanging="360"/>
      </w:pPr>
      <w:rPr>
        <w:rFonts w:ascii="Symbol" w:hAnsi="Symbol" w:hint="default"/>
        <w:b w:val="0"/>
        <w:i w:val="0"/>
        <w:color w:val="auto"/>
        <w:sz w:val="20"/>
      </w:rPr>
    </w:lvl>
    <w:lvl w:ilvl="4" w:tplc="FFFFFFFF" w:tentative="1">
      <w:start w:val="1"/>
      <w:numFmt w:val="bullet"/>
      <w:lvlText w:val="o"/>
      <w:lvlJc w:val="left"/>
      <w:pPr>
        <w:ind w:left="4392" w:hanging="360"/>
      </w:pPr>
      <w:rPr>
        <w:rFonts w:ascii="Courier New" w:hAnsi="Courier New" w:hint="default"/>
      </w:rPr>
    </w:lvl>
    <w:lvl w:ilvl="5" w:tplc="FFFFFFFF" w:tentative="1">
      <w:start w:val="1"/>
      <w:numFmt w:val="bullet"/>
      <w:lvlText w:val=""/>
      <w:lvlJc w:val="left"/>
      <w:pPr>
        <w:ind w:left="5112" w:hanging="360"/>
      </w:pPr>
      <w:rPr>
        <w:rFonts w:ascii="Wingdings" w:hAnsi="Wingdings" w:hint="default"/>
      </w:rPr>
    </w:lvl>
    <w:lvl w:ilvl="6" w:tplc="FFFFFFFF" w:tentative="1">
      <w:start w:val="1"/>
      <w:numFmt w:val="bullet"/>
      <w:lvlText w:val=""/>
      <w:lvlJc w:val="left"/>
      <w:pPr>
        <w:ind w:left="5832" w:hanging="360"/>
      </w:pPr>
      <w:rPr>
        <w:rFonts w:ascii="Symbol" w:hAnsi="Symbol" w:hint="default"/>
      </w:rPr>
    </w:lvl>
    <w:lvl w:ilvl="7" w:tplc="FFFFFFFF" w:tentative="1">
      <w:start w:val="1"/>
      <w:numFmt w:val="bullet"/>
      <w:lvlText w:val="o"/>
      <w:lvlJc w:val="left"/>
      <w:pPr>
        <w:ind w:left="6552" w:hanging="360"/>
      </w:pPr>
      <w:rPr>
        <w:rFonts w:ascii="Courier New" w:hAnsi="Courier New" w:hint="default"/>
      </w:rPr>
    </w:lvl>
    <w:lvl w:ilvl="8" w:tplc="FFFFFFFF" w:tentative="1">
      <w:start w:val="1"/>
      <w:numFmt w:val="bullet"/>
      <w:lvlText w:val=""/>
      <w:lvlJc w:val="left"/>
      <w:pPr>
        <w:ind w:left="7272" w:hanging="360"/>
      </w:pPr>
      <w:rPr>
        <w:rFonts w:ascii="Wingdings" w:hAnsi="Wingdings" w:hint="default"/>
      </w:rPr>
    </w:lvl>
  </w:abstractNum>
  <w:abstractNum w:abstractNumId="183" w15:restartNumberingAfterBreak="0">
    <w:nsid w:val="2E510D1D"/>
    <w:multiLevelType w:val="multilevel"/>
    <w:tmpl w:val="1752E6FE"/>
    <w:lvl w:ilvl="0">
      <w:start w:val="2"/>
      <w:numFmt w:val="upperLetter"/>
      <w:lvlText w:val="%1."/>
      <w:lvlJc w:val="left"/>
      <w:pPr>
        <w:tabs>
          <w:tab w:val="num" w:pos="288"/>
        </w:tabs>
        <w:ind w:left="1224" w:hanging="1224"/>
      </w:pPr>
      <w:rPr>
        <w:b w:val="0"/>
        <w:i w:val="0"/>
        <w:color w:val="auto"/>
        <w:sz w:val="24"/>
      </w:rPr>
    </w:lvl>
    <w:lvl w:ilvl="1">
      <w:start w:val="5"/>
      <w:numFmt w:val="upperLetter"/>
      <w:lvlText w:val="%2."/>
      <w:lvlJc w:val="left"/>
      <w:pPr>
        <w:tabs>
          <w:tab w:val="num" w:pos="720"/>
        </w:tabs>
        <w:ind w:left="720" w:hanging="432"/>
      </w:pPr>
      <w:rPr>
        <w:b w:val="0"/>
        <w:i w:val="0"/>
        <w:color w:val="auto"/>
        <w:sz w:val="24"/>
      </w:rPr>
    </w:lvl>
    <w:lvl w:ilvl="2">
      <w:start w:val="8"/>
      <w:numFmt w:val="upperLetter"/>
      <w:lvlText w:val="%3."/>
      <w:lvlJc w:val="left"/>
      <w:pPr>
        <w:tabs>
          <w:tab w:val="num" w:pos="1008"/>
        </w:tabs>
        <w:ind w:left="1008" w:hanging="288"/>
      </w:pPr>
      <w:rPr>
        <w:b/>
        <w:i w:val="0"/>
        <w:color w:val="auto"/>
        <w:sz w:val="22"/>
        <w:szCs w:val="22"/>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84" w15:restartNumberingAfterBreak="0">
    <w:nsid w:val="2EA81D92"/>
    <w:multiLevelType w:val="hybridMultilevel"/>
    <w:tmpl w:val="422AB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15:restartNumberingAfterBreak="0">
    <w:nsid w:val="2EFA6FFA"/>
    <w:multiLevelType w:val="hybridMultilevel"/>
    <w:tmpl w:val="6A98CBBE"/>
    <w:lvl w:ilvl="0" w:tplc="FFFFFFFF">
      <w:start w:val="1"/>
      <w:numFmt w:val="upperLetter"/>
      <w:lvlText w:val="%1."/>
      <w:lvlJc w:val="left"/>
      <w:pPr>
        <w:ind w:left="720" w:hanging="360"/>
      </w:pPr>
      <w:rPr>
        <w:b/>
        <w:i w:val="0"/>
        <w:color w:val="auto"/>
        <w:sz w:val="22"/>
        <w:szCs w:val="22"/>
      </w:rPr>
    </w:lvl>
    <w:lvl w:ilvl="1" w:tplc="FFFFFFFF">
      <w:start w:val="1"/>
      <w:numFmt w:val="lowerLetter"/>
      <w:lvlText w:val="%2."/>
      <w:lvlJc w:val="left"/>
      <w:pPr>
        <w:ind w:left="360" w:hanging="360"/>
      </w:pPr>
    </w:lvl>
    <w:lvl w:ilvl="2" w:tplc="FFFFFFFF">
      <w:start w:val="1"/>
      <w:numFmt w:val="lowerRoman"/>
      <w:lvlText w:val="%3."/>
      <w:lvlJc w:val="right"/>
      <w:pPr>
        <w:ind w:left="1080" w:hanging="180"/>
      </w:pPr>
    </w:lvl>
    <w:lvl w:ilvl="3" w:tplc="FFFFFFFF">
      <w:start w:val="1"/>
      <w:numFmt w:val="bullet"/>
      <w:lvlText w:val=""/>
      <w:lvlJc w:val="left"/>
      <w:pPr>
        <w:ind w:left="1800" w:hanging="360"/>
      </w:pPr>
      <w:rPr>
        <w:rFonts w:ascii="Symbol" w:hAnsi="Symbol" w:hint="default"/>
      </w:rPr>
    </w:lvl>
    <w:lvl w:ilvl="4" w:tplc="FFFFFFFF">
      <w:start w:val="1"/>
      <w:numFmt w:val="lowerLetter"/>
      <w:lvlText w:val="%5."/>
      <w:lvlJc w:val="left"/>
      <w:pPr>
        <w:ind w:left="2520" w:hanging="360"/>
      </w:pPr>
    </w:lvl>
    <w:lvl w:ilvl="5" w:tplc="FFFFFFFF" w:tentative="1">
      <w:start w:val="1"/>
      <w:numFmt w:val="lowerRoman"/>
      <w:lvlText w:val="%6."/>
      <w:lvlJc w:val="right"/>
      <w:pPr>
        <w:ind w:left="3240" w:hanging="180"/>
      </w:pPr>
    </w:lvl>
    <w:lvl w:ilvl="6" w:tplc="FFFFFFFF" w:tentative="1">
      <w:start w:val="1"/>
      <w:numFmt w:val="decimal"/>
      <w:lvlText w:val="%7."/>
      <w:lvlJc w:val="left"/>
      <w:pPr>
        <w:ind w:left="3960" w:hanging="360"/>
      </w:pPr>
    </w:lvl>
    <w:lvl w:ilvl="7" w:tplc="FFFFFFFF" w:tentative="1">
      <w:start w:val="1"/>
      <w:numFmt w:val="lowerLetter"/>
      <w:lvlText w:val="%8."/>
      <w:lvlJc w:val="left"/>
      <w:pPr>
        <w:ind w:left="4680" w:hanging="360"/>
      </w:pPr>
    </w:lvl>
    <w:lvl w:ilvl="8" w:tplc="FFFFFFFF" w:tentative="1">
      <w:start w:val="1"/>
      <w:numFmt w:val="lowerRoman"/>
      <w:lvlText w:val="%9."/>
      <w:lvlJc w:val="right"/>
      <w:pPr>
        <w:ind w:left="5400" w:hanging="180"/>
      </w:pPr>
    </w:lvl>
  </w:abstractNum>
  <w:abstractNum w:abstractNumId="186" w15:restartNumberingAfterBreak="0">
    <w:nsid w:val="2F1D3677"/>
    <w:multiLevelType w:val="hybridMultilevel"/>
    <w:tmpl w:val="F1FAB944"/>
    <w:lvl w:ilvl="0" w:tplc="EA8CC244">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87" w15:restartNumberingAfterBreak="0">
    <w:nsid w:val="2F760B50"/>
    <w:multiLevelType w:val="hybridMultilevel"/>
    <w:tmpl w:val="78B8C90E"/>
    <w:lvl w:ilvl="0" w:tplc="9DB6EC6A">
      <w:start w:val="5"/>
      <w:numFmt w:val="decimal"/>
      <w:lvlText w:val="%1."/>
      <w:lvlJc w:val="left"/>
      <w:pPr>
        <w:ind w:left="792"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188" w15:restartNumberingAfterBreak="0">
    <w:nsid w:val="301D0ED1"/>
    <w:multiLevelType w:val="hybridMultilevel"/>
    <w:tmpl w:val="338E299E"/>
    <w:lvl w:ilvl="0" w:tplc="FF480148">
      <w:start w:val="2"/>
      <w:numFmt w:val="upperLetter"/>
      <w:lvlText w:val="%1."/>
      <w:lvlJc w:val="left"/>
      <w:pPr>
        <w:tabs>
          <w:tab w:val="num" w:pos="1080"/>
        </w:tabs>
        <w:ind w:left="1080" w:hanging="360"/>
      </w:pPr>
      <w:rPr>
        <w:b/>
        <w:i w:val="0"/>
        <w:color w:val="auto"/>
        <w:sz w:val="22"/>
        <w:szCs w:val="22"/>
      </w:rPr>
    </w:lvl>
    <w:lvl w:ilvl="1" w:tplc="70ECA566">
      <w:start w:val="2"/>
      <w:numFmt w:val="bullet"/>
      <w:lvlText w:val=""/>
      <w:lvlJc w:val="left"/>
      <w:pPr>
        <w:tabs>
          <w:tab w:val="num" w:pos="1054"/>
        </w:tabs>
        <w:ind w:left="1054" w:hanging="360"/>
      </w:pPr>
      <w:rPr>
        <w:rFonts w:ascii="Symbol" w:hAnsi="Symbol" w:hint="default"/>
        <w:b w:val="0"/>
        <w:i w:val="0"/>
        <w:color w:val="auto"/>
        <w:sz w:val="20"/>
      </w:rPr>
    </w:lvl>
    <w:lvl w:ilvl="2" w:tplc="0409001B">
      <w:start w:val="1"/>
      <w:numFmt w:val="lowerRoman"/>
      <w:lvlText w:val="%3."/>
      <w:lvlJc w:val="right"/>
      <w:pPr>
        <w:tabs>
          <w:tab w:val="num" w:pos="1774"/>
        </w:tabs>
        <w:ind w:left="1774" w:hanging="180"/>
      </w:pPr>
    </w:lvl>
    <w:lvl w:ilvl="3" w:tplc="0409000F" w:tentative="1">
      <w:start w:val="1"/>
      <w:numFmt w:val="decimal"/>
      <w:lvlText w:val="%4."/>
      <w:lvlJc w:val="left"/>
      <w:pPr>
        <w:tabs>
          <w:tab w:val="num" w:pos="2494"/>
        </w:tabs>
        <w:ind w:left="2494" w:hanging="360"/>
      </w:pPr>
    </w:lvl>
    <w:lvl w:ilvl="4" w:tplc="04090019" w:tentative="1">
      <w:start w:val="1"/>
      <w:numFmt w:val="lowerLetter"/>
      <w:lvlText w:val="%5."/>
      <w:lvlJc w:val="left"/>
      <w:pPr>
        <w:tabs>
          <w:tab w:val="num" w:pos="3214"/>
        </w:tabs>
        <w:ind w:left="3214" w:hanging="360"/>
      </w:pPr>
    </w:lvl>
    <w:lvl w:ilvl="5" w:tplc="0409001B" w:tentative="1">
      <w:start w:val="1"/>
      <w:numFmt w:val="lowerRoman"/>
      <w:lvlText w:val="%6."/>
      <w:lvlJc w:val="right"/>
      <w:pPr>
        <w:tabs>
          <w:tab w:val="num" w:pos="3934"/>
        </w:tabs>
        <w:ind w:left="3934" w:hanging="180"/>
      </w:pPr>
    </w:lvl>
    <w:lvl w:ilvl="6" w:tplc="0409000F" w:tentative="1">
      <w:start w:val="1"/>
      <w:numFmt w:val="decimal"/>
      <w:lvlText w:val="%7."/>
      <w:lvlJc w:val="left"/>
      <w:pPr>
        <w:tabs>
          <w:tab w:val="num" w:pos="4654"/>
        </w:tabs>
        <w:ind w:left="4654" w:hanging="360"/>
      </w:pPr>
    </w:lvl>
    <w:lvl w:ilvl="7" w:tplc="04090019" w:tentative="1">
      <w:start w:val="1"/>
      <w:numFmt w:val="lowerLetter"/>
      <w:lvlText w:val="%8."/>
      <w:lvlJc w:val="left"/>
      <w:pPr>
        <w:tabs>
          <w:tab w:val="num" w:pos="5374"/>
        </w:tabs>
        <w:ind w:left="5374" w:hanging="360"/>
      </w:pPr>
    </w:lvl>
    <w:lvl w:ilvl="8" w:tplc="0409001B" w:tentative="1">
      <w:start w:val="1"/>
      <w:numFmt w:val="lowerRoman"/>
      <w:lvlText w:val="%9."/>
      <w:lvlJc w:val="right"/>
      <w:pPr>
        <w:tabs>
          <w:tab w:val="num" w:pos="6094"/>
        </w:tabs>
        <w:ind w:left="6094" w:hanging="180"/>
      </w:pPr>
    </w:lvl>
  </w:abstractNum>
  <w:abstractNum w:abstractNumId="189" w15:restartNumberingAfterBreak="0">
    <w:nsid w:val="30585111"/>
    <w:multiLevelType w:val="hybridMultilevel"/>
    <w:tmpl w:val="DC0439E6"/>
    <w:lvl w:ilvl="0" w:tplc="B1C8DE7A">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190" w15:restartNumberingAfterBreak="0">
    <w:nsid w:val="307364F0"/>
    <w:multiLevelType w:val="hybridMultilevel"/>
    <w:tmpl w:val="25A6DE78"/>
    <w:lvl w:ilvl="0" w:tplc="9DC60F62">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2250" w:hanging="360"/>
      </w:pPr>
      <w:rPr>
        <w:rFonts w:ascii="Courier New" w:hAnsi="Courier New" w:hint="default"/>
      </w:rPr>
    </w:lvl>
    <w:lvl w:ilvl="2" w:tplc="00050409" w:tentative="1">
      <w:start w:val="1"/>
      <w:numFmt w:val="bullet"/>
      <w:lvlText w:val=""/>
      <w:lvlJc w:val="left"/>
      <w:pPr>
        <w:ind w:left="2970" w:hanging="360"/>
      </w:pPr>
      <w:rPr>
        <w:rFonts w:ascii="Wingdings" w:hAnsi="Wingdings" w:hint="default"/>
      </w:rPr>
    </w:lvl>
    <w:lvl w:ilvl="3" w:tplc="00010409" w:tentative="1">
      <w:start w:val="1"/>
      <w:numFmt w:val="bullet"/>
      <w:lvlText w:val=""/>
      <w:lvlJc w:val="left"/>
      <w:pPr>
        <w:ind w:left="3690" w:hanging="360"/>
      </w:pPr>
      <w:rPr>
        <w:rFonts w:ascii="Symbol" w:hAnsi="Symbol" w:hint="default"/>
      </w:rPr>
    </w:lvl>
    <w:lvl w:ilvl="4" w:tplc="00030409" w:tentative="1">
      <w:start w:val="1"/>
      <w:numFmt w:val="bullet"/>
      <w:lvlText w:val="o"/>
      <w:lvlJc w:val="left"/>
      <w:pPr>
        <w:ind w:left="4410" w:hanging="360"/>
      </w:pPr>
      <w:rPr>
        <w:rFonts w:ascii="Courier New" w:hAnsi="Courier New" w:hint="default"/>
      </w:rPr>
    </w:lvl>
    <w:lvl w:ilvl="5" w:tplc="00050409" w:tentative="1">
      <w:start w:val="1"/>
      <w:numFmt w:val="bullet"/>
      <w:lvlText w:val=""/>
      <w:lvlJc w:val="left"/>
      <w:pPr>
        <w:ind w:left="5130" w:hanging="360"/>
      </w:pPr>
      <w:rPr>
        <w:rFonts w:ascii="Wingdings" w:hAnsi="Wingdings" w:hint="default"/>
      </w:rPr>
    </w:lvl>
    <w:lvl w:ilvl="6" w:tplc="00010409" w:tentative="1">
      <w:start w:val="1"/>
      <w:numFmt w:val="bullet"/>
      <w:lvlText w:val=""/>
      <w:lvlJc w:val="left"/>
      <w:pPr>
        <w:ind w:left="5850" w:hanging="360"/>
      </w:pPr>
      <w:rPr>
        <w:rFonts w:ascii="Symbol" w:hAnsi="Symbol" w:hint="default"/>
      </w:rPr>
    </w:lvl>
    <w:lvl w:ilvl="7" w:tplc="00030409" w:tentative="1">
      <w:start w:val="1"/>
      <w:numFmt w:val="bullet"/>
      <w:lvlText w:val="o"/>
      <w:lvlJc w:val="left"/>
      <w:pPr>
        <w:ind w:left="6570" w:hanging="360"/>
      </w:pPr>
      <w:rPr>
        <w:rFonts w:ascii="Courier New" w:hAnsi="Courier New" w:hint="default"/>
      </w:rPr>
    </w:lvl>
    <w:lvl w:ilvl="8" w:tplc="00050409" w:tentative="1">
      <w:start w:val="1"/>
      <w:numFmt w:val="bullet"/>
      <w:lvlText w:val=""/>
      <w:lvlJc w:val="left"/>
      <w:pPr>
        <w:ind w:left="7290" w:hanging="360"/>
      </w:pPr>
      <w:rPr>
        <w:rFonts w:ascii="Wingdings" w:hAnsi="Wingdings" w:hint="default"/>
      </w:rPr>
    </w:lvl>
  </w:abstractNum>
  <w:abstractNum w:abstractNumId="191" w15:restartNumberingAfterBreak="0">
    <w:nsid w:val="31751B02"/>
    <w:multiLevelType w:val="multilevel"/>
    <w:tmpl w:val="C394A8F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92" w15:restartNumberingAfterBreak="0">
    <w:nsid w:val="31B765A2"/>
    <w:multiLevelType w:val="hybridMultilevel"/>
    <w:tmpl w:val="423C858E"/>
    <w:lvl w:ilvl="0" w:tplc="04090003">
      <w:start w:val="1"/>
      <w:numFmt w:val="bullet"/>
      <w:lvlText w:val="o"/>
      <w:lvlJc w:val="left"/>
      <w:pPr>
        <w:tabs>
          <w:tab w:val="num" w:pos="2070"/>
        </w:tabs>
        <w:ind w:left="2070" w:hanging="360"/>
      </w:pPr>
      <w:rPr>
        <w:rFonts w:ascii="Courier New" w:hAnsi="Courier New" w:cs="Courier New" w:hint="default"/>
        <w:b w:val="0"/>
        <w:i w:val="0"/>
        <w:color w:val="auto"/>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3" w15:restartNumberingAfterBreak="0">
    <w:nsid w:val="32732AFA"/>
    <w:multiLevelType w:val="hybridMultilevel"/>
    <w:tmpl w:val="5596BC5C"/>
    <w:lvl w:ilvl="0" w:tplc="FFFFFFFF">
      <w:start w:val="1"/>
      <w:numFmt w:val="bullet"/>
      <w:lvlText w:val=""/>
      <w:lvlJc w:val="left"/>
      <w:pPr>
        <w:tabs>
          <w:tab w:val="num" w:pos="1368"/>
        </w:tabs>
        <w:ind w:left="1368" w:hanging="360"/>
      </w:pPr>
      <w:rPr>
        <w:rFonts w:ascii="Symbol" w:hAnsi="Symbol" w:hint="default"/>
        <w:b w:val="0"/>
        <w:i w:val="0"/>
        <w:color w:val="auto"/>
        <w:sz w:val="20"/>
      </w:rPr>
    </w:lvl>
    <w:lvl w:ilvl="1" w:tplc="FFFFFFFF">
      <w:start w:val="1"/>
      <w:numFmt w:val="bullet"/>
      <w:lvlText w:val="o"/>
      <w:lvlJc w:val="left"/>
      <w:pPr>
        <w:ind w:left="630" w:hanging="360"/>
      </w:pPr>
      <w:rPr>
        <w:rFonts w:ascii="Courier New" w:hAnsi="Courier New" w:hint="default"/>
      </w:rPr>
    </w:lvl>
    <w:lvl w:ilvl="2" w:tplc="FFFFFFFF">
      <w:start w:val="1"/>
      <w:numFmt w:val="bullet"/>
      <w:lvlText w:val=""/>
      <w:lvlJc w:val="left"/>
      <w:pPr>
        <w:ind w:left="1350" w:hanging="360"/>
      </w:pPr>
      <w:rPr>
        <w:rFonts w:ascii="Wingdings" w:hAnsi="Wingdings" w:hint="default"/>
      </w:rPr>
    </w:lvl>
    <w:lvl w:ilvl="3" w:tplc="FFFFFFFF">
      <w:start w:val="1"/>
      <w:numFmt w:val="bullet"/>
      <w:lvlText w:val=""/>
      <w:lvlJc w:val="left"/>
      <w:pPr>
        <w:tabs>
          <w:tab w:val="num" w:pos="2178"/>
        </w:tabs>
        <w:ind w:left="2178" w:hanging="360"/>
      </w:pPr>
      <w:rPr>
        <w:rFonts w:ascii="Symbol" w:hAnsi="Symbol" w:hint="default"/>
        <w:b w:val="0"/>
        <w:i w:val="0"/>
        <w:color w:val="auto"/>
        <w:sz w:val="20"/>
      </w:rPr>
    </w:lvl>
    <w:lvl w:ilvl="4" w:tplc="FFFFFFFF">
      <w:start w:val="1"/>
      <w:numFmt w:val="bullet"/>
      <w:lvlText w:val="o"/>
      <w:lvlJc w:val="left"/>
      <w:pPr>
        <w:ind w:left="2790" w:hanging="360"/>
      </w:pPr>
      <w:rPr>
        <w:rFonts w:ascii="Courier New" w:hAnsi="Courier New" w:hint="default"/>
      </w:rPr>
    </w:lvl>
    <w:lvl w:ilvl="5" w:tplc="04090003">
      <w:start w:val="1"/>
      <w:numFmt w:val="bullet"/>
      <w:lvlText w:val="o"/>
      <w:lvlJc w:val="left"/>
      <w:pPr>
        <w:ind w:left="1800" w:hanging="360"/>
      </w:pPr>
      <w:rPr>
        <w:rFonts w:ascii="Courier New" w:hAnsi="Courier New" w:cs="Courier New" w:hint="default"/>
      </w:rPr>
    </w:lvl>
    <w:lvl w:ilvl="6" w:tplc="FFFFFFFF" w:tentative="1">
      <w:start w:val="1"/>
      <w:numFmt w:val="bullet"/>
      <w:lvlText w:val=""/>
      <w:lvlJc w:val="left"/>
      <w:pPr>
        <w:ind w:left="4230" w:hanging="360"/>
      </w:pPr>
      <w:rPr>
        <w:rFonts w:ascii="Symbol" w:hAnsi="Symbol" w:hint="default"/>
      </w:rPr>
    </w:lvl>
    <w:lvl w:ilvl="7" w:tplc="FFFFFFFF" w:tentative="1">
      <w:start w:val="1"/>
      <w:numFmt w:val="bullet"/>
      <w:lvlText w:val="o"/>
      <w:lvlJc w:val="left"/>
      <w:pPr>
        <w:ind w:left="4950" w:hanging="360"/>
      </w:pPr>
      <w:rPr>
        <w:rFonts w:ascii="Courier New" w:hAnsi="Courier New" w:hint="default"/>
      </w:rPr>
    </w:lvl>
    <w:lvl w:ilvl="8" w:tplc="FFFFFFFF" w:tentative="1">
      <w:start w:val="1"/>
      <w:numFmt w:val="bullet"/>
      <w:lvlText w:val=""/>
      <w:lvlJc w:val="left"/>
      <w:pPr>
        <w:ind w:left="5670" w:hanging="360"/>
      </w:pPr>
      <w:rPr>
        <w:rFonts w:ascii="Wingdings" w:hAnsi="Wingdings" w:hint="default"/>
      </w:rPr>
    </w:lvl>
  </w:abstractNum>
  <w:abstractNum w:abstractNumId="194" w15:restartNumberingAfterBreak="0">
    <w:nsid w:val="331F7555"/>
    <w:multiLevelType w:val="hybridMultilevel"/>
    <w:tmpl w:val="3CAE6508"/>
    <w:lvl w:ilvl="0" w:tplc="C0AE637A">
      <w:start w:val="6"/>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195" w15:restartNumberingAfterBreak="0">
    <w:nsid w:val="332C6C69"/>
    <w:multiLevelType w:val="hybridMultilevel"/>
    <w:tmpl w:val="F822DC5C"/>
    <w:lvl w:ilvl="0" w:tplc="6D5276A2">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15:restartNumberingAfterBreak="0">
    <w:nsid w:val="334778A7"/>
    <w:multiLevelType w:val="hybridMultilevel"/>
    <w:tmpl w:val="62942FDC"/>
    <w:lvl w:ilvl="0" w:tplc="5066E54C">
      <w:start w:val="1"/>
      <w:numFmt w:val="upperLetter"/>
      <w:lvlText w:val="%1."/>
      <w:lvlJc w:val="left"/>
      <w:pPr>
        <w:ind w:left="810" w:hanging="360"/>
      </w:pPr>
      <w:rPr>
        <w:b/>
        <w:i w:val="0"/>
        <w:color w:val="auto"/>
        <w:sz w:val="22"/>
        <w:szCs w:val="22"/>
      </w:rPr>
    </w:lvl>
    <w:lvl w:ilvl="1" w:tplc="00190409">
      <w:start w:val="1"/>
      <w:numFmt w:val="lowerLetter"/>
      <w:lvlText w:val="%2."/>
      <w:lvlJc w:val="left"/>
      <w:pPr>
        <w:ind w:left="2160" w:hanging="360"/>
      </w:pPr>
    </w:lvl>
    <w:lvl w:ilvl="2" w:tplc="001B0409" w:tentative="1">
      <w:start w:val="1"/>
      <w:numFmt w:val="lowerRoman"/>
      <w:lvlText w:val="%3."/>
      <w:lvlJc w:val="right"/>
      <w:pPr>
        <w:ind w:left="2880" w:hanging="180"/>
      </w:pPr>
    </w:lvl>
    <w:lvl w:ilvl="3" w:tplc="000F0409" w:tentative="1">
      <w:start w:val="1"/>
      <w:numFmt w:val="decimal"/>
      <w:lvlText w:val="%4."/>
      <w:lvlJc w:val="left"/>
      <w:pPr>
        <w:ind w:left="3600" w:hanging="360"/>
      </w:pPr>
    </w:lvl>
    <w:lvl w:ilvl="4" w:tplc="00190409" w:tentative="1">
      <w:start w:val="1"/>
      <w:numFmt w:val="lowerLetter"/>
      <w:lvlText w:val="%5."/>
      <w:lvlJc w:val="left"/>
      <w:pPr>
        <w:ind w:left="4320" w:hanging="360"/>
      </w:pPr>
    </w:lvl>
    <w:lvl w:ilvl="5" w:tplc="001B0409" w:tentative="1">
      <w:start w:val="1"/>
      <w:numFmt w:val="lowerRoman"/>
      <w:lvlText w:val="%6."/>
      <w:lvlJc w:val="right"/>
      <w:pPr>
        <w:ind w:left="5040" w:hanging="180"/>
      </w:pPr>
    </w:lvl>
    <w:lvl w:ilvl="6" w:tplc="000F0409" w:tentative="1">
      <w:start w:val="1"/>
      <w:numFmt w:val="decimal"/>
      <w:lvlText w:val="%7."/>
      <w:lvlJc w:val="left"/>
      <w:pPr>
        <w:ind w:left="5760" w:hanging="360"/>
      </w:pPr>
    </w:lvl>
    <w:lvl w:ilvl="7" w:tplc="00190409" w:tentative="1">
      <w:start w:val="1"/>
      <w:numFmt w:val="lowerLetter"/>
      <w:lvlText w:val="%8."/>
      <w:lvlJc w:val="left"/>
      <w:pPr>
        <w:ind w:left="6480" w:hanging="360"/>
      </w:pPr>
    </w:lvl>
    <w:lvl w:ilvl="8" w:tplc="001B0409" w:tentative="1">
      <w:start w:val="1"/>
      <w:numFmt w:val="lowerRoman"/>
      <w:lvlText w:val="%9."/>
      <w:lvlJc w:val="right"/>
      <w:pPr>
        <w:ind w:left="7200" w:hanging="180"/>
      </w:pPr>
    </w:lvl>
  </w:abstractNum>
  <w:abstractNum w:abstractNumId="197" w15:restartNumberingAfterBreak="0">
    <w:nsid w:val="338C3A5E"/>
    <w:multiLevelType w:val="hybridMultilevel"/>
    <w:tmpl w:val="7F10FF2E"/>
    <w:lvl w:ilvl="0" w:tplc="29D424D0">
      <w:start w:val="1"/>
      <w:numFmt w:val="lowerLetter"/>
      <w:lvlText w:val="%1."/>
      <w:lvlJc w:val="left"/>
      <w:pPr>
        <w:ind w:left="648" w:hanging="360"/>
      </w:pPr>
      <w:rPr>
        <w:b/>
        <w:i w:val="0"/>
        <w:color w:val="auto"/>
        <w:sz w:val="22"/>
        <w:szCs w:val="22"/>
      </w:rPr>
    </w:lvl>
    <w:lvl w:ilvl="1" w:tplc="00030409">
      <w:start w:val="1"/>
      <w:numFmt w:val="bullet"/>
      <w:lvlText w:val="o"/>
      <w:lvlJc w:val="left"/>
      <w:pPr>
        <w:ind w:left="1440" w:hanging="360"/>
      </w:pPr>
      <w:rPr>
        <w:rFonts w:ascii="Courier New" w:hAnsi="Courier New" w:hint="default"/>
      </w:rPr>
    </w:lvl>
    <w:lvl w:ilvl="2" w:tplc="00050409">
      <w:start w:val="1"/>
      <w:numFmt w:val="bullet"/>
      <w:lvlText w:val=""/>
      <w:lvlJc w:val="left"/>
      <w:pPr>
        <w:ind w:left="2160" w:hanging="360"/>
      </w:pPr>
      <w:rPr>
        <w:rFonts w:ascii="Wingdings" w:hAnsi="Wingdings" w:hint="default"/>
      </w:rPr>
    </w:lvl>
    <w:lvl w:ilvl="3" w:tplc="A3F62BBE">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198" w15:restartNumberingAfterBreak="0">
    <w:nsid w:val="340A2535"/>
    <w:multiLevelType w:val="hybridMultilevel"/>
    <w:tmpl w:val="1998575C"/>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199" w15:restartNumberingAfterBreak="0">
    <w:nsid w:val="34350589"/>
    <w:multiLevelType w:val="hybridMultilevel"/>
    <w:tmpl w:val="06B0FD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0" w15:restartNumberingAfterBreak="0">
    <w:nsid w:val="344B7064"/>
    <w:multiLevelType w:val="multilevel"/>
    <w:tmpl w:val="E97258A2"/>
    <w:lvl w:ilvl="0">
      <w:start w:val="4"/>
      <w:numFmt w:val="decimal"/>
      <w:lvlText w:val="%1."/>
      <w:lvlJc w:val="left"/>
      <w:pPr>
        <w:tabs>
          <w:tab w:val="num" w:pos="360"/>
        </w:tabs>
        <w:ind w:left="360" w:hanging="360"/>
      </w:pPr>
      <w:rPr>
        <w:b/>
      </w:rPr>
    </w:lvl>
    <w:lvl w:ilvl="1">
      <w:start w:val="1"/>
      <w:numFmt w:val="upperLetter"/>
      <w:lvlText w:val="%2."/>
      <w:lvlJc w:val="left"/>
      <w:pPr>
        <w:tabs>
          <w:tab w:val="num" w:pos="792"/>
        </w:tabs>
        <w:ind w:left="792" w:hanging="432"/>
      </w:pPr>
      <w:rPr>
        <w:b/>
      </w:rPr>
    </w:lvl>
    <w:lvl w:ilvl="2">
      <w:start w:val="1"/>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01" w15:restartNumberingAfterBreak="0">
    <w:nsid w:val="34A560F1"/>
    <w:multiLevelType w:val="hybridMultilevel"/>
    <w:tmpl w:val="6A98CBBE"/>
    <w:lvl w:ilvl="0" w:tplc="04090015">
      <w:start w:val="1"/>
      <w:numFmt w:val="upperLetter"/>
      <w:lvlText w:val="%1."/>
      <w:lvlJc w:val="left"/>
      <w:pPr>
        <w:ind w:left="360" w:hanging="360"/>
      </w:pPr>
      <w:rPr>
        <w:b/>
        <w:i w:val="0"/>
        <w:color w:val="auto"/>
        <w:sz w:val="22"/>
        <w:szCs w:val="22"/>
      </w:rPr>
    </w:lvl>
    <w:lvl w:ilvl="1" w:tplc="00190409">
      <w:start w:val="1"/>
      <w:numFmt w:val="lowerLetter"/>
      <w:lvlText w:val="%2."/>
      <w:lvlJc w:val="left"/>
      <w:pPr>
        <w:ind w:left="0" w:hanging="360"/>
      </w:pPr>
    </w:lvl>
    <w:lvl w:ilvl="2" w:tplc="001B0409">
      <w:start w:val="1"/>
      <w:numFmt w:val="lowerRoman"/>
      <w:lvlText w:val="%3."/>
      <w:lvlJc w:val="right"/>
      <w:pPr>
        <w:ind w:left="720" w:hanging="180"/>
      </w:pPr>
    </w:lvl>
    <w:lvl w:ilvl="3" w:tplc="04090001">
      <w:start w:val="1"/>
      <w:numFmt w:val="bullet"/>
      <w:lvlText w:val=""/>
      <w:lvlJc w:val="left"/>
      <w:pPr>
        <w:ind w:left="1440" w:hanging="360"/>
      </w:pPr>
      <w:rPr>
        <w:rFonts w:ascii="Symbol" w:hAnsi="Symbol" w:hint="default"/>
      </w:rPr>
    </w:lvl>
    <w:lvl w:ilvl="4" w:tplc="00190409">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02" w15:restartNumberingAfterBreak="0">
    <w:nsid w:val="34DA46CD"/>
    <w:multiLevelType w:val="multilevel"/>
    <w:tmpl w:val="EA928406"/>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03" w15:restartNumberingAfterBreak="0">
    <w:nsid w:val="353A39AE"/>
    <w:multiLevelType w:val="hybridMultilevel"/>
    <w:tmpl w:val="F80A4FCA"/>
    <w:lvl w:ilvl="0" w:tplc="04090001">
      <w:start w:val="1"/>
      <w:numFmt w:val="bullet"/>
      <w:lvlText w:val=""/>
      <w:lvlJc w:val="left"/>
      <w:pPr>
        <w:ind w:left="1845" w:hanging="360"/>
      </w:pPr>
      <w:rPr>
        <w:rFonts w:ascii="Symbol" w:hAnsi="Symbol" w:hint="default"/>
      </w:rPr>
    </w:lvl>
    <w:lvl w:ilvl="1" w:tplc="04090003">
      <w:start w:val="1"/>
      <w:numFmt w:val="bullet"/>
      <w:lvlText w:val="o"/>
      <w:lvlJc w:val="left"/>
      <w:pPr>
        <w:ind w:left="2565" w:hanging="360"/>
      </w:pPr>
      <w:rPr>
        <w:rFonts w:ascii="Courier New" w:hAnsi="Courier New" w:cs="Courier New" w:hint="default"/>
      </w:rPr>
    </w:lvl>
    <w:lvl w:ilvl="2" w:tplc="04090005" w:tentative="1">
      <w:start w:val="1"/>
      <w:numFmt w:val="bullet"/>
      <w:lvlText w:val=""/>
      <w:lvlJc w:val="left"/>
      <w:pPr>
        <w:ind w:left="3285" w:hanging="360"/>
      </w:pPr>
      <w:rPr>
        <w:rFonts w:ascii="Wingdings" w:hAnsi="Wingdings" w:hint="default"/>
      </w:rPr>
    </w:lvl>
    <w:lvl w:ilvl="3" w:tplc="04090001" w:tentative="1">
      <w:start w:val="1"/>
      <w:numFmt w:val="bullet"/>
      <w:lvlText w:val=""/>
      <w:lvlJc w:val="left"/>
      <w:pPr>
        <w:ind w:left="4005" w:hanging="360"/>
      </w:pPr>
      <w:rPr>
        <w:rFonts w:ascii="Symbol" w:hAnsi="Symbol" w:hint="default"/>
      </w:rPr>
    </w:lvl>
    <w:lvl w:ilvl="4" w:tplc="04090003" w:tentative="1">
      <w:start w:val="1"/>
      <w:numFmt w:val="bullet"/>
      <w:lvlText w:val="o"/>
      <w:lvlJc w:val="left"/>
      <w:pPr>
        <w:ind w:left="4725" w:hanging="360"/>
      </w:pPr>
      <w:rPr>
        <w:rFonts w:ascii="Courier New" w:hAnsi="Courier New" w:cs="Courier New" w:hint="default"/>
      </w:rPr>
    </w:lvl>
    <w:lvl w:ilvl="5" w:tplc="04090005" w:tentative="1">
      <w:start w:val="1"/>
      <w:numFmt w:val="bullet"/>
      <w:lvlText w:val=""/>
      <w:lvlJc w:val="left"/>
      <w:pPr>
        <w:ind w:left="5445" w:hanging="360"/>
      </w:pPr>
      <w:rPr>
        <w:rFonts w:ascii="Wingdings" w:hAnsi="Wingdings" w:hint="default"/>
      </w:rPr>
    </w:lvl>
    <w:lvl w:ilvl="6" w:tplc="04090001" w:tentative="1">
      <w:start w:val="1"/>
      <w:numFmt w:val="bullet"/>
      <w:lvlText w:val=""/>
      <w:lvlJc w:val="left"/>
      <w:pPr>
        <w:ind w:left="6165" w:hanging="360"/>
      </w:pPr>
      <w:rPr>
        <w:rFonts w:ascii="Symbol" w:hAnsi="Symbol" w:hint="default"/>
      </w:rPr>
    </w:lvl>
    <w:lvl w:ilvl="7" w:tplc="04090003" w:tentative="1">
      <w:start w:val="1"/>
      <w:numFmt w:val="bullet"/>
      <w:lvlText w:val="o"/>
      <w:lvlJc w:val="left"/>
      <w:pPr>
        <w:ind w:left="6885" w:hanging="360"/>
      </w:pPr>
      <w:rPr>
        <w:rFonts w:ascii="Courier New" w:hAnsi="Courier New" w:cs="Courier New" w:hint="default"/>
      </w:rPr>
    </w:lvl>
    <w:lvl w:ilvl="8" w:tplc="04090005" w:tentative="1">
      <w:start w:val="1"/>
      <w:numFmt w:val="bullet"/>
      <w:lvlText w:val=""/>
      <w:lvlJc w:val="left"/>
      <w:pPr>
        <w:ind w:left="7605" w:hanging="360"/>
      </w:pPr>
      <w:rPr>
        <w:rFonts w:ascii="Wingdings" w:hAnsi="Wingdings" w:hint="default"/>
      </w:rPr>
    </w:lvl>
  </w:abstractNum>
  <w:abstractNum w:abstractNumId="204" w15:restartNumberingAfterBreak="0">
    <w:nsid w:val="35471B00"/>
    <w:multiLevelType w:val="hybridMultilevel"/>
    <w:tmpl w:val="23E4272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5" w15:restartNumberingAfterBreak="0">
    <w:nsid w:val="36657071"/>
    <w:multiLevelType w:val="hybridMultilevel"/>
    <w:tmpl w:val="80967472"/>
    <w:lvl w:ilvl="0" w:tplc="D5E02FEC">
      <w:start w:val="1"/>
      <w:numFmt w:val="upperLetter"/>
      <w:lvlText w:val="%1."/>
      <w:lvlJc w:val="left"/>
      <w:pPr>
        <w:ind w:left="1008" w:hanging="360"/>
      </w:pPr>
      <w:rPr>
        <w:b w:val="0"/>
        <w:i w:val="0"/>
        <w:color w:val="auto"/>
        <w:sz w:val="24"/>
      </w:rPr>
    </w:lvl>
    <w:lvl w:ilvl="1" w:tplc="A3F62BBE">
      <w:start w:val="1"/>
      <w:numFmt w:val="bullet"/>
      <w:lvlText w:val=""/>
      <w:lvlJc w:val="left"/>
      <w:pPr>
        <w:tabs>
          <w:tab w:val="num" w:pos="2880"/>
        </w:tabs>
        <w:ind w:left="2880" w:hanging="360"/>
      </w:pPr>
      <w:rPr>
        <w:rFonts w:ascii="Symbol" w:hAnsi="Symbol" w:hint="default"/>
        <w:b w:val="0"/>
        <w:i w:val="0"/>
        <w:color w:val="auto"/>
        <w:sz w:val="20"/>
      </w:rPr>
    </w:lvl>
    <w:lvl w:ilvl="2" w:tplc="C116DE6E">
      <w:start w:val="1"/>
      <w:numFmt w:val="bullet"/>
      <w:lvlText w:val=""/>
      <w:lvlJc w:val="left"/>
      <w:pPr>
        <w:tabs>
          <w:tab w:val="num" w:pos="2700"/>
        </w:tabs>
        <w:ind w:left="2700" w:hanging="360"/>
      </w:pPr>
      <w:rPr>
        <w:rFonts w:ascii="Symbol" w:hAnsi="Symbol" w:hint="default"/>
        <w:b w:val="0"/>
        <w:i w:val="0"/>
        <w:color w:val="auto"/>
        <w:sz w:val="20"/>
      </w:r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206" w15:restartNumberingAfterBreak="0">
    <w:nsid w:val="36A75312"/>
    <w:multiLevelType w:val="hybridMultilevel"/>
    <w:tmpl w:val="707CC8C2"/>
    <w:lvl w:ilvl="0" w:tplc="FFFFFFFF">
      <w:start w:val="1"/>
      <w:numFmt w:val="bullet"/>
      <w:lvlText w:val=""/>
      <w:lvlJc w:val="left"/>
      <w:pPr>
        <w:tabs>
          <w:tab w:val="num" w:pos="1368"/>
        </w:tabs>
        <w:ind w:left="1368" w:hanging="360"/>
      </w:pPr>
      <w:rPr>
        <w:rFonts w:ascii="Symbol" w:hAnsi="Symbol" w:hint="default"/>
        <w:b w:val="0"/>
        <w:i w:val="0"/>
        <w:color w:val="auto"/>
        <w:sz w:val="20"/>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04090003">
      <w:start w:val="1"/>
      <w:numFmt w:val="bullet"/>
      <w:lvlText w:val="o"/>
      <w:lvlJc w:val="left"/>
      <w:pPr>
        <w:ind w:left="216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7" w15:restartNumberingAfterBreak="0">
    <w:nsid w:val="36CA2410"/>
    <w:multiLevelType w:val="hybridMultilevel"/>
    <w:tmpl w:val="2F1A5010"/>
    <w:lvl w:ilvl="0" w:tplc="E446F6C4">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08" w15:restartNumberingAfterBreak="0">
    <w:nsid w:val="36DB28B6"/>
    <w:multiLevelType w:val="hybridMultilevel"/>
    <w:tmpl w:val="D662F7A8"/>
    <w:lvl w:ilvl="0" w:tplc="8EA4B8CE">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209" w15:restartNumberingAfterBreak="0">
    <w:nsid w:val="374C0B79"/>
    <w:multiLevelType w:val="hybridMultilevel"/>
    <w:tmpl w:val="9D4AC26C"/>
    <w:lvl w:ilvl="0" w:tplc="FFFFFFFF">
      <w:start w:val="2"/>
      <w:numFmt w:val="upperLetter"/>
      <w:lvlText w:val="%1."/>
      <w:lvlJc w:val="left"/>
      <w:pPr>
        <w:tabs>
          <w:tab w:val="num" w:pos="1080"/>
        </w:tabs>
        <w:ind w:left="1080" w:hanging="360"/>
      </w:pPr>
      <w:rPr>
        <w:b/>
        <w:i w:val="0"/>
        <w:color w:val="auto"/>
        <w:sz w:val="22"/>
        <w:szCs w:val="22"/>
      </w:rPr>
    </w:lvl>
    <w:lvl w:ilvl="1" w:tplc="FFFFFFFF">
      <w:start w:val="2"/>
      <w:numFmt w:val="bullet"/>
      <w:lvlText w:val=""/>
      <w:lvlJc w:val="left"/>
      <w:pPr>
        <w:tabs>
          <w:tab w:val="num" w:pos="1054"/>
        </w:tabs>
        <w:ind w:left="1054" w:hanging="360"/>
      </w:pPr>
      <w:rPr>
        <w:rFonts w:ascii="Symbol" w:hAnsi="Symbol" w:hint="default"/>
        <w:b w:val="0"/>
        <w:i w:val="0"/>
        <w:color w:val="auto"/>
        <w:sz w:val="20"/>
      </w:rPr>
    </w:lvl>
    <w:lvl w:ilvl="2" w:tplc="04090001">
      <w:start w:val="1"/>
      <w:numFmt w:val="bullet"/>
      <w:lvlText w:val=""/>
      <w:lvlJc w:val="left"/>
      <w:pPr>
        <w:ind w:left="1440" w:hanging="360"/>
      </w:pPr>
      <w:rPr>
        <w:rFonts w:ascii="Symbol" w:hAnsi="Symbol" w:hint="default"/>
      </w:rPr>
    </w:lvl>
    <w:lvl w:ilvl="3" w:tplc="FFFFFFFF" w:tentative="1">
      <w:start w:val="1"/>
      <w:numFmt w:val="decimal"/>
      <w:lvlText w:val="%4."/>
      <w:lvlJc w:val="left"/>
      <w:pPr>
        <w:tabs>
          <w:tab w:val="num" w:pos="2494"/>
        </w:tabs>
        <w:ind w:left="2494" w:hanging="360"/>
      </w:pPr>
    </w:lvl>
    <w:lvl w:ilvl="4" w:tplc="FFFFFFFF" w:tentative="1">
      <w:start w:val="1"/>
      <w:numFmt w:val="lowerLetter"/>
      <w:lvlText w:val="%5."/>
      <w:lvlJc w:val="left"/>
      <w:pPr>
        <w:tabs>
          <w:tab w:val="num" w:pos="3214"/>
        </w:tabs>
        <w:ind w:left="3214" w:hanging="360"/>
      </w:pPr>
    </w:lvl>
    <w:lvl w:ilvl="5" w:tplc="FFFFFFFF" w:tentative="1">
      <w:start w:val="1"/>
      <w:numFmt w:val="lowerRoman"/>
      <w:lvlText w:val="%6."/>
      <w:lvlJc w:val="right"/>
      <w:pPr>
        <w:tabs>
          <w:tab w:val="num" w:pos="3934"/>
        </w:tabs>
        <w:ind w:left="3934" w:hanging="180"/>
      </w:pPr>
    </w:lvl>
    <w:lvl w:ilvl="6" w:tplc="FFFFFFFF" w:tentative="1">
      <w:start w:val="1"/>
      <w:numFmt w:val="decimal"/>
      <w:lvlText w:val="%7."/>
      <w:lvlJc w:val="left"/>
      <w:pPr>
        <w:tabs>
          <w:tab w:val="num" w:pos="4654"/>
        </w:tabs>
        <w:ind w:left="4654" w:hanging="360"/>
      </w:pPr>
    </w:lvl>
    <w:lvl w:ilvl="7" w:tplc="FFFFFFFF" w:tentative="1">
      <w:start w:val="1"/>
      <w:numFmt w:val="lowerLetter"/>
      <w:lvlText w:val="%8."/>
      <w:lvlJc w:val="left"/>
      <w:pPr>
        <w:tabs>
          <w:tab w:val="num" w:pos="5374"/>
        </w:tabs>
        <w:ind w:left="5374" w:hanging="360"/>
      </w:pPr>
    </w:lvl>
    <w:lvl w:ilvl="8" w:tplc="FFFFFFFF" w:tentative="1">
      <w:start w:val="1"/>
      <w:numFmt w:val="lowerRoman"/>
      <w:lvlText w:val="%9."/>
      <w:lvlJc w:val="right"/>
      <w:pPr>
        <w:tabs>
          <w:tab w:val="num" w:pos="6094"/>
        </w:tabs>
        <w:ind w:left="6094" w:hanging="180"/>
      </w:pPr>
    </w:lvl>
  </w:abstractNum>
  <w:abstractNum w:abstractNumId="210" w15:restartNumberingAfterBreak="0">
    <w:nsid w:val="383B6976"/>
    <w:multiLevelType w:val="hybridMultilevel"/>
    <w:tmpl w:val="2C74AD48"/>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5F0AC6CE">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11" w15:restartNumberingAfterBreak="0">
    <w:nsid w:val="383D3F6F"/>
    <w:multiLevelType w:val="hybridMultilevel"/>
    <w:tmpl w:val="D1C63E18"/>
    <w:lvl w:ilvl="0" w:tplc="88B64990">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12" w15:restartNumberingAfterBreak="0">
    <w:nsid w:val="384F6B72"/>
    <w:multiLevelType w:val="hybridMultilevel"/>
    <w:tmpl w:val="8D20A3CC"/>
    <w:lvl w:ilvl="0" w:tplc="71BA5C44">
      <w:start w:val="1"/>
      <w:numFmt w:val="upperLetter"/>
      <w:lvlText w:val="%1."/>
      <w:lvlJc w:val="left"/>
      <w:pPr>
        <w:ind w:left="6300" w:hanging="360"/>
      </w:pPr>
      <w:rPr>
        <w:b/>
        <w:i w:val="0"/>
        <w:color w:val="auto"/>
        <w:sz w:val="22"/>
        <w:szCs w:val="22"/>
      </w:rPr>
    </w:lvl>
    <w:lvl w:ilvl="1" w:tplc="00190409" w:tentative="1">
      <w:start w:val="1"/>
      <w:numFmt w:val="lowerLetter"/>
      <w:lvlText w:val="%2."/>
      <w:lvlJc w:val="left"/>
      <w:pPr>
        <w:ind w:left="6948" w:hanging="360"/>
      </w:pPr>
    </w:lvl>
    <w:lvl w:ilvl="2" w:tplc="001B0409" w:tentative="1">
      <w:start w:val="1"/>
      <w:numFmt w:val="lowerRoman"/>
      <w:lvlText w:val="%3."/>
      <w:lvlJc w:val="right"/>
      <w:pPr>
        <w:ind w:left="7668" w:hanging="180"/>
      </w:pPr>
    </w:lvl>
    <w:lvl w:ilvl="3" w:tplc="000F0409" w:tentative="1">
      <w:start w:val="1"/>
      <w:numFmt w:val="decimal"/>
      <w:lvlText w:val="%4."/>
      <w:lvlJc w:val="left"/>
      <w:pPr>
        <w:ind w:left="8388" w:hanging="360"/>
      </w:pPr>
    </w:lvl>
    <w:lvl w:ilvl="4" w:tplc="00190409" w:tentative="1">
      <w:start w:val="1"/>
      <w:numFmt w:val="lowerLetter"/>
      <w:lvlText w:val="%5."/>
      <w:lvlJc w:val="left"/>
      <w:pPr>
        <w:ind w:left="9108" w:hanging="360"/>
      </w:pPr>
    </w:lvl>
    <w:lvl w:ilvl="5" w:tplc="001B0409" w:tentative="1">
      <w:start w:val="1"/>
      <w:numFmt w:val="lowerRoman"/>
      <w:lvlText w:val="%6."/>
      <w:lvlJc w:val="right"/>
      <w:pPr>
        <w:ind w:left="9828" w:hanging="180"/>
      </w:pPr>
    </w:lvl>
    <w:lvl w:ilvl="6" w:tplc="000F0409" w:tentative="1">
      <w:start w:val="1"/>
      <w:numFmt w:val="decimal"/>
      <w:lvlText w:val="%7."/>
      <w:lvlJc w:val="left"/>
      <w:pPr>
        <w:ind w:left="10548" w:hanging="360"/>
      </w:pPr>
    </w:lvl>
    <w:lvl w:ilvl="7" w:tplc="00190409" w:tentative="1">
      <w:start w:val="1"/>
      <w:numFmt w:val="lowerLetter"/>
      <w:lvlText w:val="%8."/>
      <w:lvlJc w:val="left"/>
      <w:pPr>
        <w:ind w:left="11268" w:hanging="360"/>
      </w:pPr>
    </w:lvl>
    <w:lvl w:ilvl="8" w:tplc="001B0409" w:tentative="1">
      <w:start w:val="1"/>
      <w:numFmt w:val="lowerRoman"/>
      <w:lvlText w:val="%9."/>
      <w:lvlJc w:val="right"/>
      <w:pPr>
        <w:ind w:left="11988" w:hanging="180"/>
      </w:pPr>
    </w:lvl>
  </w:abstractNum>
  <w:abstractNum w:abstractNumId="213" w15:restartNumberingAfterBreak="0">
    <w:nsid w:val="38DD28A7"/>
    <w:multiLevelType w:val="hybridMultilevel"/>
    <w:tmpl w:val="371E00EA"/>
    <w:lvl w:ilvl="0" w:tplc="9266C56C">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214" w15:restartNumberingAfterBreak="0">
    <w:nsid w:val="3994159C"/>
    <w:multiLevelType w:val="multilevel"/>
    <w:tmpl w:val="A58A21EE"/>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5" w15:restartNumberingAfterBreak="0">
    <w:nsid w:val="39A3593C"/>
    <w:multiLevelType w:val="multilevel"/>
    <w:tmpl w:val="5498DCE0"/>
    <w:lvl w:ilvl="0">
      <w:start w:val="1"/>
      <w:numFmt w:val="decimal"/>
      <w:lvlText w:val="%1."/>
      <w:lvlJc w:val="left"/>
      <w:pPr>
        <w:tabs>
          <w:tab w:val="num" w:pos="288"/>
        </w:tabs>
        <w:ind w:left="288" w:hanging="288"/>
      </w:pPr>
      <w:rPr>
        <w:b/>
        <w:i w:val="0"/>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16" w15:restartNumberingAfterBreak="0">
    <w:nsid w:val="39A7714D"/>
    <w:multiLevelType w:val="hybridMultilevel"/>
    <w:tmpl w:val="E8CA0E8E"/>
    <w:lvl w:ilvl="0" w:tplc="C90001C8">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160"/>
        </w:tabs>
        <w:ind w:left="2160" w:hanging="360"/>
      </w:pPr>
      <w:rPr>
        <w:rFonts w:ascii="Courier New" w:hAnsi="Courier New" w:hint="default"/>
      </w:rPr>
    </w:lvl>
    <w:lvl w:ilvl="2" w:tplc="00050409" w:tentative="1">
      <w:start w:val="1"/>
      <w:numFmt w:val="bullet"/>
      <w:lvlText w:val=""/>
      <w:lvlJc w:val="left"/>
      <w:pPr>
        <w:tabs>
          <w:tab w:val="num" w:pos="2880"/>
        </w:tabs>
        <w:ind w:left="2880" w:hanging="360"/>
      </w:pPr>
      <w:rPr>
        <w:rFonts w:ascii="Wingdings" w:hAnsi="Wingdings" w:hint="default"/>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217" w15:restartNumberingAfterBreak="0">
    <w:nsid w:val="3A3412C2"/>
    <w:multiLevelType w:val="hybridMultilevel"/>
    <w:tmpl w:val="924A8B7C"/>
    <w:lvl w:ilvl="0" w:tplc="FFFFFFFF">
      <w:numFmt w:val="bullet"/>
      <w:lvlText w:val=""/>
      <w:lvlJc w:val="left"/>
      <w:pPr>
        <w:tabs>
          <w:tab w:val="num" w:pos="1080"/>
        </w:tabs>
        <w:ind w:left="1080" w:hanging="360"/>
      </w:pPr>
      <w:rPr>
        <w:rFonts w:ascii="Symbol" w:hAnsi="Symbol" w:hint="default"/>
        <w:b w:val="0"/>
        <w:i w:val="0"/>
        <w:color w:val="auto"/>
        <w:sz w:val="20"/>
      </w:rPr>
    </w:lvl>
    <w:lvl w:ilvl="1" w:tplc="FFFFFFFF" w:tentative="1">
      <w:start w:val="1"/>
      <w:numFmt w:val="bullet"/>
      <w:lvlText w:val="o"/>
      <w:lvlJc w:val="left"/>
      <w:pPr>
        <w:tabs>
          <w:tab w:val="num" w:pos="0"/>
        </w:tabs>
        <w:ind w:left="0" w:hanging="360"/>
      </w:pPr>
      <w:rPr>
        <w:rFonts w:ascii="Courier New" w:hAnsi="Courier New" w:hint="default"/>
      </w:rPr>
    </w:lvl>
    <w:lvl w:ilvl="2" w:tplc="FFFFFFFF">
      <w:numFmt w:val="bullet"/>
      <w:lvlText w:val=""/>
      <w:lvlJc w:val="left"/>
      <w:pPr>
        <w:tabs>
          <w:tab w:val="num" w:pos="720"/>
        </w:tabs>
        <w:ind w:left="720" w:hanging="360"/>
      </w:pPr>
      <w:rPr>
        <w:rFonts w:ascii="Symbol" w:hAnsi="Symbol" w:hint="default"/>
        <w:b w:val="0"/>
        <w:i w:val="0"/>
        <w:color w:val="auto"/>
        <w:sz w:val="20"/>
      </w:rPr>
    </w:lvl>
    <w:lvl w:ilvl="3" w:tplc="FFFFFFFF">
      <w:start w:val="1"/>
      <w:numFmt w:val="bullet"/>
      <w:lvlText w:val=""/>
      <w:lvlJc w:val="left"/>
      <w:pPr>
        <w:tabs>
          <w:tab w:val="num" w:pos="1440"/>
        </w:tabs>
        <w:ind w:left="1440" w:hanging="360"/>
      </w:pPr>
      <w:rPr>
        <w:rFonts w:ascii="Symbol" w:hAnsi="Symbol" w:hint="default"/>
      </w:rPr>
    </w:lvl>
    <w:lvl w:ilvl="4" w:tplc="04090003">
      <w:start w:val="1"/>
      <w:numFmt w:val="bullet"/>
      <w:lvlText w:val="o"/>
      <w:lvlJc w:val="left"/>
      <w:pPr>
        <w:ind w:left="1800" w:hanging="360"/>
      </w:pPr>
      <w:rPr>
        <w:rFonts w:ascii="Courier New" w:hAnsi="Courier New" w:cs="Courier New" w:hint="default"/>
      </w:rPr>
    </w:lvl>
    <w:lvl w:ilvl="5" w:tplc="FFFFFFFF" w:tentative="1">
      <w:start w:val="1"/>
      <w:numFmt w:val="bullet"/>
      <w:lvlText w:val=""/>
      <w:lvlJc w:val="left"/>
      <w:pPr>
        <w:tabs>
          <w:tab w:val="num" w:pos="2880"/>
        </w:tabs>
        <w:ind w:left="2880" w:hanging="360"/>
      </w:pPr>
      <w:rPr>
        <w:rFonts w:ascii="Wingdings" w:hAnsi="Wingdings" w:hint="default"/>
      </w:rPr>
    </w:lvl>
    <w:lvl w:ilvl="6" w:tplc="FFFFFFFF" w:tentative="1">
      <w:start w:val="1"/>
      <w:numFmt w:val="bullet"/>
      <w:lvlText w:val=""/>
      <w:lvlJc w:val="left"/>
      <w:pPr>
        <w:tabs>
          <w:tab w:val="num" w:pos="3600"/>
        </w:tabs>
        <w:ind w:left="3600" w:hanging="360"/>
      </w:pPr>
      <w:rPr>
        <w:rFonts w:ascii="Symbol" w:hAnsi="Symbol" w:hint="default"/>
      </w:rPr>
    </w:lvl>
    <w:lvl w:ilvl="7" w:tplc="FFFFFFFF" w:tentative="1">
      <w:start w:val="1"/>
      <w:numFmt w:val="bullet"/>
      <w:lvlText w:val="o"/>
      <w:lvlJc w:val="left"/>
      <w:pPr>
        <w:tabs>
          <w:tab w:val="num" w:pos="4320"/>
        </w:tabs>
        <w:ind w:left="4320" w:hanging="360"/>
      </w:pPr>
      <w:rPr>
        <w:rFonts w:ascii="Courier New" w:hAnsi="Courier New" w:hint="default"/>
      </w:rPr>
    </w:lvl>
    <w:lvl w:ilvl="8" w:tplc="FFFFFFFF" w:tentative="1">
      <w:start w:val="1"/>
      <w:numFmt w:val="bullet"/>
      <w:lvlText w:val=""/>
      <w:lvlJc w:val="left"/>
      <w:pPr>
        <w:tabs>
          <w:tab w:val="num" w:pos="5040"/>
        </w:tabs>
        <w:ind w:left="5040" w:hanging="360"/>
      </w:pPr>
      <w:rPr>
        <w:rFonts w:ascii="Wingdings" w:hAnsi="Wingdings" w:hint="default"/>
      </w:rPr>
    </w:lvl>
  </w:abstractNum>
  <w:abstractNum w:abstractNumId="218" w15:restartNumberingAfterBreak="0">
    <w:nsid w:val="3A5F003F"/>
    <w:multiLevelType w:val="hybridMultilevel"/>
    <w:tmpl w:val="58B47B62"/>
    <w:lvl w:ilvl="0" w:tplc="55003922">
      <w:start w:val="1"/>
      <w:numFmt w:val="upperLetter"/>
      <w:lvlText w:val="%1."/>
      <w:lvlJc w:val="left"/>
      <w:pPr>
        <w:ind w:left="1080" w:hanging="360"/>
      </w:pPr>
      <w:rPr>
        <w:b w:val="0"/>
        <w:i w:val="0"/>
        <w:color w:val="auto"/>
        <w:sz w:val="24"/>
      </w:rPr>
    </w:lvl>
    <w:lvl w:ilvl="1" w:tplc="04090003">
      <w:start w:val="1"/>
      <w:numFmt w:val="bullet"/>
      <w:lvlText w:val="o"/>
      <w:lvlJc w:val="left"/>
      <w:pPr>
        <w:ind w:left="1080" w:hanging="360"/>
      </w:pPr>
      <w:rPr>
        <w:rFonts w:ascii="Courier New" w:hAnsi="Courier New" w:hint="default"/>
      </w:rPr>
    </w:lvl>
    <w:lvl w:ilvl="2" w:tplc="DC22ABF0">
      <w:start w:val="1"/>
      <w:numFmt w:val="bullet"/>
      <w:lvlText w:val=""/>
      <w:lvlJc w:val="left"/>
      <w:pPr>
        <w:ind w:left="1800" w:hanging="360"/>
      </w:pPr>
      <w:rPr>
        <w:rFonts w:ascii="Symbol" w:hAnsi="Symbol" w:hint="default"/>
        <w:b w:val="0"/>
        <w:i w:val="0"/>
        <w:color w:val="auto"/>
        <w:sz w:val="20"/>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9" w15:restartNumberingAfterBreak="0">
    <w:nsid w:val="3A6F06E2"/>
    <w:multiLevelType w:val="hybridMultilevel"/>
    <w:tmpl w:val="94225762"/>
    <w:lvl w:ilvl="0" w:tplc="12FEF11C">
      <w:start w:val="1"/>
      <w:numFmt w:val="decimal"/>
      <w:lvlText w:val="%1."/>
      <w:lvlJc w:val="left"/>
      <w:pPr>
        <w:tabs>
          <w:tab w:val="num" w:pos="720"/>
        </w:tabs>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3BDB0F39"/>
    <w:multiLevelType w:val="multilevel"/>
    <w:tmpl w:val="6206F00C"/>
    <w:lvl w:ilvl="0">
      <w:start w:val="4"/>
      <w:numFmt w:val="decimal"/>
      <w:lvlText w:val="%1."/>
      <w:lvlJc w:val="left"/>
      <w:pPr>
        <w:tabs>
          <w:tab w:val="num" w:pos="360"/>
        </w:tabs>
        <w:ind w:left="360" w:hanging="360"/>
      </w:pPr>
      <w:rPr>
        <w:b/>
        <w:i w:val="0"/>
      </w:rPr>
    </w:lvl>
    <w:lvl w:ilvl="1">
      <w:start w:val="1"/>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1" w15:restartNumberingAfterBreak="0">
    <w:nsid w:val="3C247E74"/>
    <w:multiLevelType w:val="hybridMultilevel"/>
    <w:tmpl w:val="EC8AFBAE"/>
    <w:lvl w:ilvl="0" w:tplc="1B20DFE0">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32D069E6">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2" w15:restartNumberingAfterBreak="0">
    <w:nsid w:val="3CC6364E"/>
    <w:multiLevelType w:val="hybridMultilevel"/>
    <w:tmpl w:val="2F3EAF04"/>
    <w:lvl w:ilvl="0" w:tplc="E368CB10">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39260482">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23" w15:restartNumberingAfterBreak="0">
    <w:nsid w:val="3CFC6217"/>
    <w:multiLevelType w:val="hybridMultilevel"/>
    <w:tmpl w:val="9CF01220"/>
    <w:lvl w:ilvl="0" w:tplc="A3F62BBE">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24" w15:restartNumberingAfterBreak="0">
    <w:nsid w:val="3D93615B"/>
    <w:multiLevelType w:val="hybridMultilevel"/>
    <w:tmpl w:val="3182D48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5" w15:restartNumberingAfterBreak="0">
    <w:nsid w:val="3DA11C38"/>
    <w:multiLevelType w:val="hybridMultilevel"/>
    <w:tmpl w:val="51FCAF50"/>
    <w:lvl w:ilvl="0" w:tplc="04090003">
      <w:start w:val="1"/>
      <w:numFmt w:val="bullet"/>
      <w:lvlText w:val="o"/>
      <w:lvlJc w:val="left"/>
      <w:pPr>
        <w:tabs>
          <w:tab w:val="num" w:pos="2160"/>
        </w:tabs>
        <w:ind w:left="2160" w:hanging="360"/>
      </w:pPr>
      <w:rPr>
        <w:rFonts w:ascii="Courier New" w:hAnsi="Courier New" w:cs="Courier New" w:hint="default"/>
        <w:b w:val="0"/>
        <w:i w:val="0"/>
        <w:color w:val="auto"/>
        <w:sz w:val="20"/>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6" w15:restartNumberingAfterBreak="0">
    <w:nsid w:val="3DB33D46"/>
    <w:multiLevelType w:val="hybridMultilevel"/>
    <w:tmpl w:val="6AF6D6CA"/>
    <w:lvl w:ilvl="0" w:tplc="C60AE916">
      <w:start w:val="5"/>
      <w:numFmt w:val="upperLetter"/>
      <w:lvlText w:val="%1."/>
      <w:lvlJc w:val="left"/>
      <w:pPr>
        <w:ind w:left="1800" w:hanging="360"/>
      </w:pPr>
      <w:rPr>
        <w:b/>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7" w15:restartNumberingAfterBreak="0">
    <w:nsid w:val="3E1C743B"/>
    <w:multiLevelType w:val="hybridMultilevel"/>
    <w:tmpl w:val="89DC3ECC"/>
    <w:name w:val="OutlineHeadings222222"/>
    <w:lvl w:ilvl="0" w:tplc="30AAEF04">
      <w:start w:val="1"/>
      <w:numFmt w:val="bullet"/>
      <w:lvlText w:val=""/>
      <w:lvlJc w:val="left"/>
      <w:pPr>
        <w:tabs>
          <w:tab w:val="num" w:pos="3240"/>
        </w:tabs>
        <w:ind w:left="324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28" w15:restartNumberingAfterBreak="0">
    <w:nsid w:val="3E284EEA"/>
    <w:multiLevelType w:val="multilevel"/>
    <w:tmpl w:val="75C0E36A"/>
    <w:lvl w:ilvl="0">
      <w:start w:val="3"/>
      <w:numFmt w:val="decimal"/>
      <w:lvlText w:val="%1."/>
      <w:lvlJc w:val="left"/>
      <w:pPr>
        <w:tabs>
          <w:tab w:val="num" w:pos="288"/>
        </w:tabs>
        <w:ind w:left="1224" w:hanging="1224"/>
      </w:pPr>
      <w:rPr>
        <w:b/>
        <w:i w:val="0"/>
      </w:rPr>
    </w:lvl>
    <w:lvl w:ilvl="1">
      <w:start w:val="2"/>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bullet"/>
      <w:lvlText w:val=""/>
      <w:lvlJc w:val="left"/>
      <w:pPr>
        <w:ind w:left="244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29" w15:restartNumberingAfterBreak="0">
    <w:nsid w:val="3E5D361D"/>
    <w:multiLevelType w:val="hybridMultilevel"/>
    <w:tmpl w:val="5E042E62"/>
    <w:lvl w:ilvl="0" w:tplc="AFBA33E8">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AFBA33E8">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0" w15:restartNumberingAfterBreak="0">
    <w:nsid w:val="3E6901A4"/>
    <w:multiLevelType w:val="hybridMultilevel"/>
    <w:tmpl w:val="51386624"/>
    <w:name w:val="OutlineHeadings22222342"/>
    <w:lvl w:ilvl="0" w:tplc="CB9EF2F6">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31" w15:restartNumberingAfterBreak="0">
    <w:nsid w:val="3E741F49"/>
    <w:multiLevelType w:val="hybridMultilevel"/>
    <w:tmpl w:val="EA50A9A6"/>
    <w:lvl w:ilvl="0" w:tplc="2B00BA00">
      <w:start w:val="1"/>
      <w:numFmt w:val="bullet"/>
      <w:lvlText w:val=""/>
      <w:lvlJc w:val="left"/>
      <w:pPr>
        <w:tabs>
          <w:tab w:val="num" w:pos="1468"/>
        </w:tabs>
        <w:ind w:left="1468" w:hanging="360"/>
      </w:pPr>
      <w:rPr>
        <w:rFonts w:ascii="Symbol" w:hAnsi="Symbol" w:hint="default"/>
        <w:b w:val="0"/>
        <w:i w:val="0"/>
        <w:sz w:val="18"/>
      </w:rPr>
    </w:lvl>
    <w:lvl w:ilvl="1" w:tplc="00030409" w:tentative="1">
      <w:start w:val="1"/>
      <w:numFmt w:val="bullet"/>
      <w:lvlText w:val="o"/>
      <w:lvlJc w:val="left"/>
      <w:pPr>
        <w:tabs>
          <w:tab w:val="num" w:pos="1828"/>
        </w:tabs>
        <w:ind w:left="1828" w:hanging="360"/>
      </w:pPr>
      <w:rPr>
        <w:rFonts w:ascii="Courier New" w:hAnsi="Courier New" w:hint="default"/>
      </w:rPr>
    </w:lvl>
    <w:lvl w:ilvl="2" w:tplc="00050409" w:tentative="1">
      <w:start w:val="1"/>
      <w:numFmt w:val="bullet"/>
      <w:lvlText w:val=""/>
      <w:lvlJc w:val="left"/>
      <w:pPr>
        <w:tabs>
          <w:tab w:val="num" w:pos="2548"/>
        </w:tabs>
        <w:ind w:left="2548" w:hanging="360"/>
      </w:pPr>
      <w:rPr>
        <w:rFonts w:ascii="Wingdings" w:hAnsi="Wingdings" w:hint="default"/>
      </w:rPr>
    </w:lvl>
    <w:lvl w:ilvl="3" w:tplc="00010409" w:tentative="1">
      <w:start w:val="1"/>
      <w:numFmt w:val="bullet"/>
      <w:lvlText w:val=""/>
      <w:lvlJc w:val="left"/>
      <w:pPr>
        <w:tabs>
          <w:tab w:val="num" w:pos="3268"/>
        </w:tabs>
        <w:ind w:left="3268" w:hanging="360"/>
      </w:pPr>
      <w:rPr>
        <w:rFonts w:ascii="Symbol" w:hAnsi="Symbol" w:hint="default"/>
      </w:rPr>
    </w:lvl>
    <w:lvl w:ilvl="4" w:tplc="00030409" w:tentative="1">
      <w:start w:val="1"/>
      <w:numFmt w:val="bullet"/>
      <w:lvlText w:val="o"/>
      <w:lvlJc w:val="left"/>
      <w:pPr>
        <w:tabs>
          <w:tab w:val="num" w:pos="3988"/>
        </w:tabs>
        <w:ind w:left="3988" w:hanging="360"/>
      </w:pPr>
      <w:rPr>
        <w:rFonts w:ascii="Courier New" w:hAnsi="Courier New" w:hint="default"/>
      </w:rPr>
    </w:lvl>
    <w:lvl w:ilvl="5" w:tplc="00050409" w:tentative="1">
      <w:start w:val="1"/>
      <w:numFmt w:val="bullet"/>
      <w:lvlText w:val=""/>
      <w:lvlJc w:val="left"/>
      <w:pPr>
        <w:tabs>
          <w:tab w:val="num" w:pos="4708"/>
        </w:tabs>
        <w:ind w:left="4708" w:hanging="360"/>
      </w:pPr>
      <w:rPr>
        <w:rFonts w:ascii="Wingdings" w:hAnsi="Wingdings" w:hint="default"/>
      </w:rPr>
    </w:lvl>
    <w:lvl w:ilvl="6" w:tplc="00010409" w:tentative="1">
      <w:start w:val="1"/>
      <w:numFmt w:val="bullet"/>
      <w:lvlText w:val=""/>
      <w:lvlJc w:val="left"/>
      <w:pPr>
        <w:tabs>
          <w:tab w:val="num" w:pos="5428"/>
        </w:tabs>
        <w:ind w:left="5428" w:hanging="360"/>
      </w:pPr>
      <w:rPr>
        <w:rFonts w:ascii="Symbol" w:hAnsi="Symbol" w:hint="default"/>
      </w:rPr>
    </w:lvl>
    <w:lvl w:ilvl="7" w:tplc="00030409" w:tentative="1">
      <w:start w:val="1"/>
      <w:numFmt w:val="bullet"/>
      <w:lvlText w:val="o"/>
      <w:lvlJc w:val="left"/>
      <w:pPr>
        <w:tabs>
          <w:tab w:val="num" w:pos="6148"/>
        </w:tabs>
        <w:ind w:left="6148" w:hanging="360"/>
      </w:pPr>
      <w:rPr>
        <w:rFonts w:ascii="Courier New" w:hAnsi="Courier New" w:hint="default"/>
      </w:rPr>
    </w:lvl>
    <w:lvl w:ilvl="8" w:tplc="00050409" w:tentative="1">
      <w:start w:val="1"/>
      <w:numFmt w:val="bullet"/>
      <w:lvlText w:val=""/>
      <w:lvlJc w:val="left"/>
      <w:pPr>
        <w:tabs>
          <w:tab w:val="num" w:pos="6868"/>
        </w:tabs>
        <w:ind w:left="6868" w:hanging="360"/>
      </w:pPr>
      <w:rPr>
        <w:rFonts w:ascii="Wingdings" w:hAnsi="Wingdings" w:hint="default"/>
      </w:rPr>
    </w:lvl>
  </w:abstractNum>
  <w:abstractNum w:abstractNumId="232" w15:restartNumberingAfterBreak="0">
    <w:nsid w:val="3EC2475E"/>
    <w:multiLevelType w:val="hybridMultilevel"/>
    <w:tmpl w:val="37F61FF0"/>
    <w:lvl w:ilvl="0" w:tplc="2C762A5A">
      <w:start w:val="1"/>
      <w:numFmt w:val="bullet"/>
      <w:lvlText w:val=""/>
      <w:lvlJc w:val="left"/>
      <w:pPr>
        <w:tabs>
          <w:tab w:val="num" w:pos="360"/>
        </w:tabs>
        <w:ind w:left="36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1080"/>
        </w:tabs>
        <w:ind w:left="-1080" w:hanging="360"/>
      </w:pPr>
      <w:rPr>
        <w:rFonts w:ascii="Wingdings" w:hAnsi="Wingdings" w:hint="default"/>
      </w:rPr>
    </w:lvl>
    <w:lvl w:ilvl="3" w:tplc="00010409" w:tentative="1">
      <w:start w:val="1"/>
      <w:numFmt w:val="bullet"/>
      <w:lvlText w:val=""/>
      <w:lvlJc w:val="left"/>
      <w:pPr>
        <w:tabs>
          <w:tab w:val="num" w:pos="-360"/>
        </w:tabs>
        <w:ind w:left="-360" w:hanging="360"/>
      </w:pPr>
      <w:rPr>
        <w:rFonts w:ascii="Symbol" w:hAnsi="Symbol" w:hint="default"/>
      </w:rPr>
    </w:lvl>
    <w:lvl w:ilvl="4" w:tplc="00030409" w:tentative="1">
      <w:start w:val="1"/>
      <w:numFmt w:val="bullet"/>
      <w:lvlText w:val="o"/>
      <w:lvlJc w:val="left"/>
      <w:pPr>
        <w:tabs>
          <w:tab w:val="num" w:pos="360"/>
        </w:tabs>
        <w:ind w:left="360" w:hanging="360"/>
      </w:pPr>
      <w:rPr>
        <w:rFonts w:ascii="Courier New" w:hAnsi="Courier New" w:hint="default"/>
      </w:rPr>
    </w:lvl>
    <w:lvl w:ilvl="5" w:tplc="00050409" w:tentative="1">
      <w:start w:val="1"/>
      <w:numFmt w:val="bullet"/>
      <w:lvlText w:val=""/>
      <w:lvlJc w:val="left"/>
      <w:pPr>
        <w:tabs>
          <w:tab w:val="num" w:pos="1080"/>
        </w:tabs>
        <w:ind w:left="1080" w:hanging="360"/>
      </w:pPr>
      <w:rPr>
        <w:rFonts w:ascii="Wingdings" w:hAnsi="Wingdings" w:hint="default"/>
      </w:rPr>
    </w:lvl>
    <w:lvl w:ilvl="6" w:tplc="00010409" w:tentative="1">
      <w:start w:val="1"/>
      <w:numFmt w:val="bullet"/>
      <w:lvlText w:val=""/>
      <w:lvlJc w:val="left"/>
      <w:pPr>
        <w:tabs>
          <w:tab w:val="num" w:pos="1800"/>
        </w:tabs>
        <w:ind w:left="1800" w:hanging="360"/>
      </w:pPr>
      <w:rPr>
        <w:rFonts w:ascii="Symbol" w:hAnsi="Symbol" w:hint="default"/>
      </w:rPr>
    </w:lvl>
    <w:lvl w:ilvl="7" w:tplc="00030409" w:tentative="1">
      <w:start w:val="1"/>
      <w:numFmt w:val="bullet"/>
      <w:lvlText w:val="o"/>
      <w:lvlJc w:val="left"/>
      <w:pPr>
        <w:tabs>
          <w:tab w:val="num" w:pos="2520"/>
        </w:tabs>
        <w:ind w:left="2520" w:hanging="360"/>
      </w:pPr>
      <w:rPr>
        <w:rFonts w:ascii="Courier New" w:hAnsi="Courier New" w:hint="default"/>
      </w:rPr>
    </w:lvl>
    <w:lvl w:ilvl="8" w:tplc="00050409" w:tentative="1">
      <w:start w:val="1"/>
      <w:numFmt w:val="bullet"/>
      <w:lvlText w:val=""/>
      <w:lvlJc w:val="left"/>
      <w:pPr>
        <w:tabs>
          <w:tab w:val="num" w:pos="3240"/>
        </w:tabs>
        <w:ind w:left="3240" w:hanging="360"/>
      </w:pPr>
      <w:rPr>
        <w:rFonts w:ascii="Wingdings" w:hAnsi="Wingdings" w:hint="default"/>
      </w:rPr>
    </w:lvl>
  </w:abstractNum>
  <w:abstractNum w:abstractNumId="233" w15:restartNumberingAfterBreak="0">
    <w:nsid w:val="3EF91445"/>
    <w:multiLevelType w:val="multilevel"/>
    <w:tmpl w:val="B7A0033A"/>
    <w:lvl w:ilvl="0">
      <w:start w:val="1"/>
      <w:numFmt w:val="upperLetter"/>
      <w:lvlText w:val="%1."/>
      <w:lvlJc w:val="left"/>
      <w:pPr>
        <w:ind w:left="360" w:hanging="360"/>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4" w15:restartNumberingAfterBreak="0">
    <w:nsid w:val="3F154809"/>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5" w15:restartNumberingAfterBreak="0">
    <w:nsid w:val="3F1E15E8"/>
    <w:multiLevelType w:val="multilevel"/>
    <w:tmpl w:val="1F5EE3EE"/>
    <w:lvl w:ilvl="0">
      <w:start w:val="2"/>
      <w:numFmt w:val="upperLetter"/>
      <w:lvlText w:val="%1."/>
      <w:lvlJc w:val="left"/>
      <w:pPr>
        <w:tabs>
          <w:tab w:val="num" w:pos="288"/>
        </w:tabs>
        <w:ind w:left="1224" w:hanging="1224"/>
      </w:pPr>
      <w:rPr>
        <w:b w:val="0"/>
        <w:i w:val="0"/>
        <w:color w:val="auto"/>
        <w:sz w:val="24"/>
      </w:rPr>
    </w:lvl>
    <w:lvl w:ilvl="1">
      <w:start w:val="5"/>
      <w:numFmt w:val="upperLetter"/>
      <w:lvlText w:val="%2."/>
      <w:lvlJc w:val="left"/>
      <w:pPr>
        <w:tabs>
          <w:tab w:val="num" w:pos="720"/>
        </w:tabs>
        <w:ind w:left="720" w:hanging="432"/>
      </w:pPr>
      <w:rPr>
        <w:b w:val="0"/>
        <w:i w:val="0"/>
        <w:color w:val="auto"/>
        <w:sz w:val="24"/>
      </w:rPr>
    </w:lvl>
    <w:lvl w:ilvl="2">
      <w:start w:val="1"/>
      <w:numFmt w:val="upperLetter"/>
      <w:lvlText w:val="%3."/>
      <w:lvlJc w:val="left"/>
      <w:pPr>
        <w:tabs>
          <w:tab w:val="num" w:pos="1008"/>
        </w:tabs>
        <w:ind w:left="1008" w:hanging="288"/>
      </w:pPr>
      <w:rPr>
        <w:b/>
        <w:i w:val="0"/>
        <w:color w:val="auto"/>
        <w:sz w:val="22"/>
        <w:szCs w:val="22"/>
      </w:rPr>
    </w:lvl>
    <w:lvl w:ilvl="3">
      <w:start w:val="1"/>
      <w:numFmt w:val="bullet"/>
      <w:lvlText w:val=""/>
      <w:lvlJc w:val="left"/>
      <w:pPr>
        <w:tabs>
          <w:tab w:val="num" w:pos="1368"/>
        </w:tabs>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36" w15:restartNumberingAfterBreak="0">
    <w:nsid w:val="3FC247E8"/>
    <w:multiLevelType w:val="hybridMultilevel"/>
    <w:tmpl w:val="E98A0472"/>
    <w:lvl w:ilvl="0" w:tplc="FFFFFFFF">
      <w:start w:val="1"/>
      <w:numFmt w:val="upperLetter"/>
      <w:lvlText w:val="%1."/>
      <w:lvlJc w:val="left"/>
      <w:pPr>
        <w:ind w:left="792" w:hanging="360"/>
      </w:pPr>
      <w:rPr>
        <w:b/>
        <w:i w:val="0"/>
        <w:color w:val="auto"/>
        <w:sz w:val="22"/>
        <w:szCs w:val="22"/>
      </w:rPr>
    </w:lvl>
    <w:lvl w:ilvl="1" w:tplc="FFFFFFFF" w:tentative="1">
      <w:start w:val="1"/>
      <w:numFmt w:val="lowerLetter"/>
      <w:lvlText w:val="%2."/>
      <w:lvlJc w:val="left"/>
      <w:pPr>
        <w:ind w:left="144" w:hanging="360"/>
      </w:pPr>
    </w:lvl>
    <w:lvl w:ilvl="2" w:tplc="FFFFFFFF" w:tentative="1">
      <w:start w:val="1"/>
      <w:numFmt w:val="lowerRoman"/>
      <w:lvlText w:val="%3."/>
      <w:lvlJc w:val="right"/>
      <w:pPr>
        <w:ind w:left="864" w:hanging="180"/>
      </w:pPr>
    </w:lvl>
    <w:lvl w:ilvl="3" w:tplc="FFFFFFFF">
      <w:start w:val="1"/>
      <w:numFmt w:val="decimal"/>
      <w:lvlText w:val="%4."/>
      <w:lvlJc w:val="left"/>
      <w:pPr>
        <w:ind w:left="1584" w:hanging="360"/>
      </w:pPr>
    </w:lvl>
    <w:lvl w:ilvl="4" w:tplc="FFFFFFFF" w:tentative="1">
      <w:start w:val="1"/>
      <w:numFmt w:val="lowerLetter"/>
      <w:lvlText w:val="%5."/>
      <w:lvlJc w:val="left"/>
      <w:pPr>
        <w:ind w:left="2304" w:hanging="360"/>
      </w:pPr>
    </w:lvl>
    <w:lvl w:ilvl="5" w:tplc="FFFFFFFF" w:tentative="1">
      <w:start w:val="1"/>
      <w:numFmt w:val="lowerRoman"/>
      <w:lvlText w:val="%6."/>
      <w:lvlJc w:val="right"/>
      <w:pPr>
        <w:ind w:left="3024" w:hanging="180"/>
      </w:pPr>
    </w:lvl>
    <w:lvl w:ilvl="6" w:tplc="FFFFFFFF" w:tentative="1">
      <w:start w:val="1"/>
      <w:numFmt w:val="decimal"/>
      <w:lvlText w:val="%7."/>
      <w:lvlJc w:val="left"/>
      <w:pPr>
        <w:ind w:left="3744" w:hanging="360"/>
      </w:pPr>
    </w:lvl>
    <w:lvl w:ilvl="7" w:tplc="FFFFFFFF" w:tentative="1">
      <w:start w:val="1"/>
      <w:numFmt w:val="lowerLetter"/>
      <w:lvlText w:val="%8."/>
      <w:lvlJc w:val="left"/>
      <w:pPr>
        <w:ind w:left="4464" w:hanging="360"/>
      </w:pPr>
    </w:lvl>
    <w:lvl w:ilvl="8" w:tplc="FFFFFFFF" w:tentative="1">
      <w:start w:val="1"/>
      <w:numFmt w:val="lowerRoman"/>
      <w:lvlText w:val="%9."/>
      <w:lvlJc w:val="right"/>
      <w:pPr>
        <w:ind w:left="5184" w:hanging="180"/>
      </w:pPr>
    </w:lvl>
  </w:abstractNum>
  <w:abstractNum w:abstractNumId="237" w15:restartNumberingAfterBreak="0">
    <w:nsid w:val="403E4ED1"/>
    <w:multiLevelType w:val="hybridMultilevel"/>
    <w:tmpl w:val="92D0D342"/>
    <w:lvl w:ilvl="0" w:tplc="C92EF24A">
      <w:start w:val="21"/>
      <w:numFmt w:val="decimal"/>
      <w:lvlText w:val="%1"/>
      <w:lvlJc w:val="left"/>
      <w:pPr>
        <w:ind w:left="720" w:hanging="360"/>
      </w:p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38" w15:restartNumberingAfterBreak="0">
    <w:nsid w:val="40DC7DB8"/>
    <w:multiLevelType w:val="hybridMultilevel"/>
    <w:tmpl w:val="A1AE3906"/>
    <w:lvl w:ilvl="0" w:tplc="4FA28EB6">
      <w:start w:val="1"/>
      <w:numFmt w:val="bullet"/>
      <w:lvlText w:val=""/>
      <w:lvlJc w:val="left"/>
      <w:pPr>
        <w:tabs>
          <w:tab w:val="num" w:pos="2088"/>
        </w:tabs>
        <w:ind w:left="2088" w:hanging="360"/>
      </w:pPr>
      <w:rPr>
        <w:rFonts w:ascii="Symbol" w:hAnsi="Symbol" w:hint="default"/>
        <w:b w:val="0"/>
        <w:i w:val="0"/>
        <w:color w:val="auto"/>
        <w:sz w:val="20"/>
      </w:rPr>
    </w:lvl>
    <w:lvl w:ilvl="1" w:tplc="00030409">
      <w:start w:val="1"/>
      <w:numFmt w:val="bullet"/>
      <w:lvlText w:val="o"/>
      <w:lvlJc w:val="left"/>
      <w:pPr>
        <w:tabs>
          <w:tab w:val="num" w:pos="2808"/>
        </w:tabs>
        <w:ind w:left="2808" w:hanging="360"/>
      </w:pPr>
      <w:rPr>
        <w:rFonts w:ascii="Courier New" w:hAnsi="Courier New" w:hint="default"/>
      </w:rPr>
    </w:lvl>
    <w:lvl w:ilvl="2" w:tplc="00050409">
      <w:start w:val="1"/>
      <w:numFmt w:val="bullet"/>
      <w:lvlText w:val=""/>
      <w:lvlJc w:val="left"/>
      <w:pPr>
        <w:tabs>
          <w:tab w:val="num" w:pos="3528"/>
        </w:tabs>
        <w:ind w:left="3528" w:hanging="360"/>
      </w:pPr>
      <w:rPr>
        <w:rFonts w:ascii="Wingdings" w:hAnsi="Wingdings" w:hint="default"/>
      </w:rPr>
    </w:lvl>
    <w:lvl w:ilvl="3" w:tplc="9954D3A2">
      <w:start w:val="1"/>
      <w:numFmt w:val="bullet"/>
      <w:lvlText w:val=""/>
      <w:lvlJc w:val="left"/>
      <w:pPr>
        <w:tabs>
          <w:tab w:val="num" w:pos="4248"/>
        </w:tabs>
        <w:ind w:left="4248" w:hanging="360"/>
      </w:pPr>
      <w:rPr>
        <w:rFonts w:ascii="Symbol" w:hAnsi="Symbol" w:hint="default"/>
        <w:b w:val="0"/>
        <w:i w:val="0"/>
        <w:color w:val="auto"/>
        <w:sz w:val="20"/>
      </w:rPr>
    </w:lvl>
    <w:lvl w:ilvl="4" w:tplc="00030409" w:tentative="1">
      <w:start w:val="1"/>
      <w:numFmt w:val="bullet"/>
      <w:lvlText w:val="o"/>
      <w:lvlJc w:val="left"/>
      <w:pPr>
        <w:tabs>
          <w:tab w:val="num" w:pos="4968"/>
        </w:tabs>
        <w:ind w:left="4968" w:hanging="360"/>
      </w:pPr>
      <w:rPr>
        <w:rFonts w:ascii="Courier New" w:hAnsi="Courier New" w:hint="default"/>
      </w:rPr>
    </w:lvl>
    <w:lvl w:ilvl="5" w:tplc="00050409" w:tentative="1">
      <w:start w:val="1"/>
      <w:numFmt w:val="bullet"/>
      <w:lvlText w:val=""/>
      <w:lvlJc w:val="left"/>
      <w:pPr>
        <w:tabs>
          <w:tab w:val="num" w:pos="5688"/>
        </w:tabs>
        <w:ind w:left="5688" w:hanging="360"/>
      </w:pPr>
      <w:rPr>
        <w:rFonts w:ascii="Wingdings" w:hAnsi="Wingdings" w:hint="default"/>
      </w:rPr>
    </w:lvl>
    <w:lvl w:ilvl="6" w:tplc="00010409" w:tentative="1">
      <w:start w:val="1"/>
      <w:numFmt w:val="bullet"/>
      <w:lvlText w:val=""/>
      <w:lvlJc w:val="left"/>
      <w:pPr>
        <w:tabs>
          <w:tab w:val="num" w:pos="6408"/>
        </w:tabs>
        <w:ind w:left="6408" w:hanging="360"/>
      </w:pPr>
      <w:rPr>
        <w:rFonts w:ascii="Symbol" w:hAnsi="Symbol" w:hint="default"/>
      </w:rPr>
    </w:lvl>
    <w:lvl w:ilvl="7" w:tplc="00030409" w:tentative="1">
      <w:start w:val="1"/>
      <w:numFmt w:val="bullet"/>
      <w:lvlText w:val="o"/>
      <w:lvlJc w:val="left"/>
      <w:pPr>
        <w:tabs>
          <w:tab w:val="num" w:pos="7128"/>
        </w:tabs>
        <w:ind w:left="7128" w:hanging="360"/>
      </w:pPr>
      <w:rPr>
        <w:rFonts w:ascii="Courier New" w:hAnsi="Courier New" w:hint="default"/>
      </w:rPr>
    </w:lvl>
    <w:lvl w:ilvl="8" w:tplc="00050409" w:tentative="1">
      <w:start w:val="1"/>
      <w:numFmt w:val="bullet"/>
      <w:lvlText w:val=""/>
      <w:lvlJc w:val="left"/>
      <w:pPr>
        <w:tabs>
          <w:tab w:val="num" w:pos="7848"/>
        </w:tabs>
        <w:ind w:left="7848" w:hanging="360"/>
      </w:pPr>
      <w:rPr>
        <w:rFonts w:ascii="Wingdings" w:hAnsi="Wingdings" w:hint="default"/>
      </w:rPr>
    </w:lvl>
  </w:abstractNum>
  <w:abstractNum w:abstractNumId="239" w15:restartNumberingAfterBreak="0">
    <w:nsid w:val="41046B7C"/>
    <w:multiLevelType w:val="hybridMultilevel"/>
    <w:tmpl w:val="0D946200"/>
    <w:lvl w:ilvl="0" w:tplc="EEE8D6F8">
      <w:start w:val="1"/>
      <w:numFmt w:val="upperLetter"/>
      <w:lvlText w:val="%1."/>
      <w:lvlJc w:val="left"/>
      <w:pPr>
        <w:ind w:left="720" w:hanging="360"/>
      </w:pPr>
      <w:rPr>
        <w:b/>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0" w15:restartNumberingAfterBreak="0">
    <w:nsid w:val="414F25A4"/>
    <w:multiLevelType w:val="multilevel"/>
    <w:tmpl w:val="8528D66C"/>
    <w:lvl w:ilvl="0">
      <w:start w:val="1"/>
      <w:numFmt w:val="upperLetter"/>
      <w:lvlText w:val="%1."/>
      <w:lvlJc w:val="left"/>
      <w:pPr>
        <w:tabs>
          <w:tab w:val="num" w:pos="360"/>
        </w:tabs>
        <w:ind w:left="360" w:hanging="360"/>
      </w:pPr>
      <w:rPr>
        <w:b/>
        <w:i w:val="0"/>
        <w:color w:val="auto"/>
        <w:sz w:val="24"/>
      </w:rPr>
    </w:lvl>
    <w:lvl w:ilvl="1">
      <w:start w:val="4"/>
      <w:numFmt w:val="upperLetter"/>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lvl>
    <w:lvl w:ilvl="3">
      <w:start w:val="1"/>
      <w:numFmt w:val="upperLetter"/>
      <w:lvlText w:val="%4."/>
      <w:lvlJc w:val="left"/>
      <w:pPr>
        <w:tabs>
          <w:tab w:val="num" w:pos="1368"/>
        </w:tabs>
        <w:ind w:left="1368" w:hanging="360"/>
      </w:pPr>
      <w:rPr>
        <w:b w:val="0"/>
        <w:i w:val="0"/>
        <w:color w:val="auto"/>
        <w:sz w:val="24"/>
      </w:rPr>
    </w:lvl>
    <w:lvl w:ilvl="4">
      <w:start w:val="4"/>
      <w:numFmt w:val="upperLetter"/>
      <w:lvlText w:val="%5."/>
      <w:lvlJc w:val="left"/>
      <w:pPr>
        <w:tabs>
          <w:tab w:val="num" w:pos="1512"/>
        </w:tabs>
        <w:ind w:left="1512" w:hanging="360"/>
      </w:pPr>
      <w:rPr>
        <w:b/>
        <w:i w:val="0"/>
        <w:color w:val="auto"/>
        <w:sz w:val="22"/>
        <w:szCs w:val="22"/>
      </w:r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41" w15:restartNumberingAfterBreak="0">
    <w:nsid w:val="41593D73"/>
    <w:multiLevelType w:val="hybridMultilevel"/>
    <w:tmpl w:val="769C9D70"/>
    <w:lvl w:ilvl="0" w:tplc="4DBA7BF8">
      <w:start w:val="1"/>
      <w:numFmt w:val="lowerLetter"/>
      <w:lvlText w:val="%1."/>
      <w:lvlJc w:val="left"/>
      <w:pPr>
        <w:tabs>
          <w:tab w:val="num" w:pos="1800"/>
        </w:tabs>
        <w:ind w:left="1800" w:hanging="360"/>
      </w:pPr>
    </w:lvl>
    <w:lvl w:ilvl="1" w:tplc="A9F6F084">
      <w:start w:val="4"/>
      <w:numFmt w:val="decimal"/>
      <w:lvlText w:val="%2."/>
      <w:lvlJc w:val="left"/>
      <w:pPr>
        <w:tabs>
          <w:tab w:val="num" w:pos="1800"/>
        </w:tabs>
        <w:ind w:left="1800" w:hanging="360"/>
      </w:pPr>
      <w:rPr>
        <w:b/>
        <w:i w:val="0"/>
      </w:rPr>
    </w:lvl>
    <w:lvl w:ilvl="2" w:tplc="4DBA7BF8">
      <w:start w:val="1"/>
      <w:numFmt w:val="lowerLetter"/>
      <w:lvlText w:val="%3."/>
      <w:lvlJc w:val="left"/>
      <w:pPr>
        <w:tabs>
          <w:tab w:val="num" w:pos="2700"/>
        </w:tabs>
        <w:ind w:left="2700" w:hanging="360"/>
      </w:pPr>
    </w:lvl>
    <w:lvl w:ilvl="3" w:tplc="B8D6DCAE">
      <w:start w:val="5"/>
      <w:numFmt w:val="decimal"/>
      <w:lvlText w:val="%4."/>
      <w:lvlJc w:val="left"/>
      <w:pPr>
        <w:tabs>
          <w:tab w:val="num" w:pos="3240"/>
        </w:tabs>
        <w:ind w:left="3240" w:hanging="360"/>
      </w:pPr>
      <w:rPr>
        <w:b/>
        <w:i w:val="0"/>
      </w:rPr>
    </w:lvl>
    <w:lvl w:ilvl="4" w:tplc="00190409">
      <w:start w:val="1"/>
      <w:numFmt w:val="lowerLetter"/>
      <w:lvlText w:val="%5."/>
      <w:lvlJc w:val="left"/>
      <w:pPr>
        <w:tabs>
          <w:tab w:val="num" w:pos="3960"/>
        </w:tabs>
        <w:ind w:left="3960" w:hanging="360"/>
      </w:pPr>
    </w:lvl>
    <w:lvl w:ilvl="5" w:tplc="001B0409" w:tentative="1">
      <w:start w:val="1"/>
      <w:numFmt w:val="lowerRoman"/>
      <w:lvlText w:val="%6."/>
      <w:lvlJc w:val="right"/>
      <w:pPr>
        <w:tabs>
          <w:tab w:val="num" w:pos="4680"/>
        </w:tabs>
        <w:ind w:left="4680" w:hanging="180"/>
      </w:pPr>
    </w:lvl>
    <w:lvl w:ilvl="6" w:tplc="000F0409" w:tentative="1">
      <w:start w:val="1"/>
      <w:numFmt w:val="decimal"/>
      <w:lvlText w:val="%7."/>
      <w:lvlJc w:val="left"/>
      <w:pPr>
        <w:tabs>
          <w:tab w:val="num" w:pos="5400"/>
        </w:tabs>
        <w:ind w:left="5400" w:hanging="360"/>
      </w:pPr>
    </w:lvl>
    <w:lvl w:ilvl="7" w:tplc="00190409" w:tentative="1">
      <w:start w:val="1"/>
      <w:numFmt w:val="lowerLetter"/>
      <w:lvlText w:val="%8."/>
      <w:lvlJc w:val="left"/>
      <w:pPr>
        <w:tabs>
          <w:tab w:val="num" w:pos="6120"/>
        </w:tabs>
        <w:ind w:left="6120" w:hanging="360"/>
      </w:pPr>
    </w:lvl>
    <w:lvl w:ilvl="8" w:tplc="001B0409" w:tentative="1">
      <w:start w:val="1"/>
      <w:numFmt w:val="lowerRoman"/>
      <w:lvlText w:val="%9."/>
      <w:lvlJc w:val="right"/>
      <w:pPr>
        <w:tabs>
          <w:tab w:val="num" w:pos="6840"/>
        </w:tabs>
        <w:ind w:left="6840" w:hanging="180"/>
      </w:pPr>
    </w:lvl>
  </w:abstractNum>
  <w:abstractNum w:abstractNumId="242" w15:restartNumberingAfterBreak="0">
    <w:nsid w:val="41965E2F"/>
    <w:multiLevelType w:val="hybridMultilevel"/>
    <w:tmpl w:val="90744418"/>
    <w:lvl w:ilvl="0" w:tplc="E3503380">
      <w:start w:val="9"/>
      <w:numFmt w:val="decimal"/>
      <w:lvlText w:val="%1."/>
      <w:lvlJc w:val="left"/>
      <w:pPr>
        <w:tabs>
          <w:tab w:val="num" w:pos="540"/>
        </w:tabs>
        <w:ind w:left="540" w:hanging="360"/>
      </w:pPr>
      <w:rPr>
        <w:b/>
        <w:i w:val="0"/>
        <w:color w:val="auto"/>
        <w:sz w:val="22"/>
        <w:szCs w:val="22"/>
      </w:rPr>
    </w:lvl>
    <w:lvl w:ilvl="1" w:tplc="00190409">
      <w:start w:val="1"/>
      <w:numFmt w:val="lowerLetter"/>
      <w:lvlText w:val="%2."/>
      <w:lvlJc w:val="left"/>
      <w:pPr>
        <w:ind w:left="1068" w:hanging="360"/>
      </w:pPr>
    </w:lvl>
    <w:lvl w:ilvl="2" w:tplc="001B0409" w:tentative="1">
      <w:start w:val="1"/>
      <w:numFmt w:val="lowerRoman"/>
      <w:lvlText w:val="%3."/>
      <w:lvlJc w:val="right"/>
      <w:pPr>
        <w:ind w:left="1788" w:hanging="180"/>
      </w:pPr>
    </w:lvl>
    <w:lvl w:ilvl="3" w:tplc="000F0409" w:tentative="1">
      <w:start w:val="1"/>
      <w:numFmt w:val="decimal"/>
      <w:lvlText w:val="%4."/>
      <w:lvlJc w:val="left"/>
      <w:pPr>
        <w:ind w:left="2508" w:hanging="360"/>
      </w:pPr>
    </w:lvl>
    <w:lvl w:ilvl="4" w:tplc="00190409" w:tentative="1">
      <w:start w:val="1"/>
      <w:numFmt w:val="lowerLetter"/>
      <w:lvlText w:val="%5."/>
      <w:lvlJc w:val="left"/>
      <w:pPr>
        <w:ind w:left="3228" w:hanging="360"/>
      </w:pPr>
    </w:lvl>
    <w:lvl w:ilvl="5" w:tplc="001B0409" w:tentative="1">
      <w:start w:val="1"/>
      <w:numFmt w:val="lowerRoman"/>
      <w:lvlText w:val="%6."/>
      <w:lvlJc w:val="right"/>
      <w:pPr>
        <w:ind w:left="3948" w:hanging="180"/>
      </w:pPr>
    </w:lvl>
    <w:lvl w:ilvl="6" w:tplc="000F0409" w:tentative="1">
      <w:start w:val="1"/>
      <w:numFmt w:val="decimal"/>
      <w:lvlText w:val="%7."/>
      <w:lvlJc w:val="left"/>
      <w:pPr>
        <w:ind w:left="4668" w:hanging="360"/>
      </w:pPr>
    </w:lvl>
    <w:lvl w:ilvl="7" w:tplc="00190409" w:tentative="1">
      <w:start w:val="1"/>
      <w:numFmt w:val="lowerLetter"/>
      <w:lvlText w:val="%8."/>
      <w:lvlJc w:val="left"/>
      <w:pPr>
        <w:ind w:left="5388" w:hanging="360"/>
      </w:pPr>
    </w:lvl>
    <w:lvl w:ilvl="8" w:tplc="001B0409" w:tentative="1">
      <w:start w:val="1"/>
      <w:numFmt w:val="lowerRoman"/>
      <w:lvlText w:val="%9."/>
      <w:lvlJc w:val="right"/>
      <w:pPr>
        <w:ind w:left="6108" w:hanging="180"/>
      </w:pPr>
    </w:lvl>
  </w:abstractNum>
  <w:abstractNum w:abstractNumId="243" w15:restartNumberingAfterBreak="0">
    <w:nsid w:val="41CB56FA"/>
    <w:multiLevelType w:val="hybridMultilevel"/>
    <w:tmpl w:val="1EC602B0"/>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244" w15:restartNumberingAfterBreak="0">
    <w:nsid w:val="41D0791C"/>
    <w:multiLevelType w:val="hybridMultilevel"/>
    <w:tmpl w:val="60448DB2"/>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5" w15:restartNumberingAfterBreak="0">
    <w:nsid w:val="41E77C17"/>
    <w:multiLevelType w:val="hybridMultilevel"/>
    <w:tmpl w:val="340CF8BC"/>
    <w:lvl w:ilvl="0" w:tplc="FC56F8B6">
      <w:start w:val="6"/>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46" w15:restartNumberingAfterBreak="0">
    <w:nsid w:val="41F47A47"/>
    <w:multiLevelType w:val="hybridMultilevel"/>
    <w:tmpl w:val="E440F9EE"/>
    <w:lvl w:ilvl="0" w:tplc="6BF28C9A">
      <w:start w:val="1"/>
      <w:numFmt w:val="upperLetter"/>
      <w:lvlText w:val="%1."/>
      <w:lvlJc w:val="left"/>
      <w:pPr>
        <w:tabs>
          <w:tab w:val="num" w:pos="2822"/>
        </w:tabs>
        <w:ind w:left="2822" w:hanging="360"/>
      </w:pPr>
      <w:rPr>
        <w:b w:val="0"/>
        <w:i w:val="0"/>
        <w:color w:val="auto"/>
        <w:sz w:val="24"/>
      </w:rPr>
    </w:lvl>
    <w:lvl w:ilvl="1" w:tplc="C23E60EA">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47" w15:restartNumberingAfterBreak="0">
    <w:nsid w:val="421853FC"/>
    <w:multiLevelType w:val="hybridMultilevel"/>
    <w:tmpl w:val="A28C3BFE"/>
    <w:lvl w:ilvl="0" w:tplc="A40AA014">
      <w:start w:val="1"/>
      <w:numFmt w:val="upperLetter"/>
      <w:lvlText w:val="%1."/>
      <w:lvlJc w:val="left"/>
      <w:pPr>
        <w:ind w:left="1080" w:hanging="360"/>
      </w:pPr>
      <w:rPr>
        <w:b/>
        <w:i w:val="0"/>
        <w:color w:val="auto"/>
        <w:sz w:val="22"/>
        <w:szCs w:val="2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E2C43EC4">
      <w:start w:val="1"/>
      <w:numFmt w:val="decimal"/>
      <w:lvlText w:val="%4."/>
      <w:lvlJc w:val="left"/>
      <w:pPr>
        <w:ind w:left="2880" w:hanging="360"/>
      </w:pPr>
      <w:rPr>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8" w15:restartNumberingAfterBreak="0">
    <w:nsid w:val="43247B93"/>
    <w:multiLevelType w:val="hybridMultilevel"/>
    <w:tmpl w:val="664CF852"/>
    <w:lvl w:ilvl="0" w:tplc="E5965824">
      <w:start w:val="7"/>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49" w15:restartNumberingAfterBreak="0">
    <w:nsid w:val="43560CCC"/>
    <w:multiLevelType w:val="hybridMultilevel"/>
    <w:tmpl w:val="E804918A"/>
    <w:lvl w:ilvl="0" w:tplc="D0A4AFB0">
      <w:start w:val="6"/>
      <w:numFmt w:val="decimal"/>
      <w:lvlText w:val="%1."/>
      <w:lvlJc w:val="left"/>
      <w:pPr>
        <w:tabs>
          <w:tab w:val="num" w:pos="720"/>
        </w:tabs>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0" w15:restartNumberingAfterBreak="0">
    <w:nsid w:val="43C76C08"/>
    <w:multiLevelType w:val="hybridMultilevel"/>
    <w:tmpl w:val="8870BD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1" w15:restartNumberingAfterBreak="0">
    <w:nsid w:val="440F4649"/>
    <w:multiLevelType w:val="hybridMultilevel"/>
    <w:tmpl w:val="CAC6B7E8"/>
    <w:lvl w:ilvl="0" w:tplc="C3484C16">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2" w15:restartNumberingAfterBreak="0">
    <w:nsid w:val="443273AE"/>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53" w15:restartNumberingAfterBreak="0">
    <w:nsid w:val="446F2412"/>
    <w:multiLevelType w:val="hybridMultilevel"/>
    <w:tmpl w:val="36C46C98"/>
    <w:lvl w:ilvl="0" w:tplc="60946AB0">
      <w:start w:val="1"/>
      <w:numFmt w:val="decimal"/>
      <w:lvlText w:val="%1."/>
      <w:lvlJc w:val="left"/>
      <w:pPr>
        <w:tabs>
          <w:tab w:val="num" w:pos="1092"/>
        </w:tabs>
        <w:ind w:left="10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54" w15:restartNumberingAfterBreak="0">
    <w:nsid w:val="44A82BAD"/>
    <w:multiLevelType w:val="hybridMultilevel"/>
    <w:tmpl w:val="76E25E7E"/>
    <w:lvl w:ilvl="0" w:tplc="A2144814">
      <w:start w:val="1"/>
      <w:numFmt w:val="bullet"/>
      <w:lvlText w:val=""/>
      <w:lvlJc w:val="left"/>
      <w:pPr>
        <w:tabs>
          <w:tab w:val="num" w:pos="3600"/>
        </w:tabs>
        <w:ind w:left="360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5" w15:restartNumberingAfterBreak="0">
    <w:nsid w:val="44A95BA5"/>
    <w:multiLevelType w:val="hybridMultilevel"/>
    <w:tmpl w:val="4462EB66"/>
    <w:lvl w:ilvl="0" w:tplc="E854788A">
      <w:start w:val="9"/>
      <w:numFmt w:val="decimal"/>
      <w:lvlText w:val="%1."/>
      <w:lvlJc w:val="left"/>
      <w:pPr>
        <w:tabs>
          <w:tab w:val="num" w:pos="3240"/>
        </w:tabs>
        <w:ind w:left="3240" w:hanging="360"/>
      </w:pPr>
      <w:rPr>
        <w:b/>
        <w:i w:val="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56" w15:restartNumberingAfterBreak="0">
    <w:nsid w:val="452E38E9"/>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57" w15:restartNumberingAfterBreak="0">
    <w:nsid w:val="45784CA5"/>
    <w:multiLevelType w:val="hybridMultilevel"/>
    <w:tmpl w:val="E2E4E972"/>
    <w:lvl w:ilvl="0" w:tplc="0409000F">
      <w:start w:val="1"/>
      <w:numFmt w:val="decimal"/>
      <w:lvlText w:val="%1."/>
      <w:lvlJc w:val="left"/>
      <w:pPr>
        <w:tabs>
          <w:tab w:val="num" w:pos="360"/>
        </w:tabs>
        <w:ind w:left="360" w:hanging="360"/>
      </w:pPr>
    </w:lvl>
    <w:lvl w:ilvl="1" w:tplc="FFFFFFFF">
      <w:start w:val="1"/>
      <w:numFmt w:val="bullet"/>
      <w:lvlText w:val=""/>
      <w:lvlJc w:val="left"/>
      <w:pPr>
        <w:tabs>
          <w:tab w:val="num" w:pos="1080"/>
        </w:tabs>
        <w:ind w:left="1080" w:hanging="360"/>
      </w:pPr>
      <w:rPr>
        <w:rFonts w:ascii="Symbol" w:hAnsi="Symbol" w:hint="default"/>
      </w:rPr>
    </w:lvl>
    <w:lvl w:ilvl="2" w:tplc="FFFFFFFF">
      <w:start w:val="1"/>
      <w:numFmt w:val="lowerRoman"/>
      <w:lvlText w:val="%3."/>
      <w:lvlJc w:val="right"/>
      <w:pPr>
        <w:tabs>
          <w:tab w:val="num" w:pos="1800"/>
        </w:tabs>
        <w:ind w:left="1800" w:hanging="180"/>
      </w:pPr>
    </w:lvl>
    <w:lvl w:ilvl="3" w:tplc="FFFFFFFF">
      <w:start w:val="1"/>
      <w:numFmt w:val="bullet"/>
      <w:lvlText w:val=""/>
      <w:lvlJc w:val="left"/>
      <w:pPr>
        <w:tabs>
          <w:tab w:val="num" w:pos="2520"/>
        </w:tabs>
        <w:ind w:left="2520" w:hanging="360"/>
      </w:pPr>
      <w:rPr>
        <w:rFonts w:ascii="Symbol" w:hAnsi="Symbol" w:hint="default"/>
      </w:r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8" w15:restartNumberingAfterBreak="0">
    <w:nsid w:val="45951E19"/>
    <w:multiLevelType w:val="hybridMultilevel"/>
    <w:tmpl w:val="55AE4B3E"/>
    <w:lvl w:ilvl="0" w:tplc="FA706E2C">
      <w:start w:val="1"/>
      <w:numFmt w:val="bullet"/>
      <w:lvlText w:val=""/>
      <w:lvlJc w:val="left"/>
      <w:pPr>
        <w:ind w:left="1800" w:hanging="360"/>
      </w:pPr>
      <w:rPr>
        <w:rFonts w:ascii="Symbol" w:hAnsi="Symbol" w:hint="default"/>
        <w:b w:val="0"/>
        <w:i w:val="0"/>
        <w:color w:val="auto"/>
        <w:sz w:val="2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59" w15:restartNumberingAfterBreak="0">
    <w:nsid w:val="460B47AF"/>
    <w:multiLevelType w:val="multilevel"/>
    <w:tmpl w:val="235CD314"/>
    <w:lvl w:ilvl="0">
      <w:start w:val="1"/>
      <w:numFmt w:val="upperRoman"/>
      <w:lvlText w:val="%1."/>
      <w:lvlJc w:val="left"/>
      <w:pPr>
        <w:tabs>
          <w:tab w:val="num" w:pos="288"/>
        </w:tabs>
        <w:ind w:left="1224" w:hanging="1224"/>
      </w:pPr>
      <w:rPr>
        <w:b/>
        <w:i w:val="0"/>
      </w:rPr>
    </w:lvl>
    <w:lvl w:ilvl="1">
      <w:start w:val="3"/>
      <w:numFmt w:val="upperLetter"/>
      <w:lvlText w:val="%2."/>
      <w:lvlJc w:val="left"/>
      <w:pPr>
        <w:tabs>
          <w:tab w:val="num" w:pos="720"/>
        </w:tabs>
        <w:ind w:left="720" w:hanging="432"/>
      </w:pPr>
      <w:rPr>
        <w:b w:val="0"/>
        <w:i w:val="0"/>
      </w:rPr>
    </w:lvl>
    <w:lvl w:ilvl="2">
      <w:start w:val="3"/>
      <w:numFmt w:val="upperLetter"/>
      <w:lvlText w:val="%3."/>
      <w:lvlJc w:val="left"/>
      <w:pPr>
        <w:tabs>
          <w:tab w:val="num" w:pos="1008"/>
        </w:tabs>
        <w:ind w:left="1008" w:hanging="288"/>
      </w:pPr>
      <w:rPr>
        <w:b/>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60" w15:restartNumberingAfterBreak="0">
    <w:nsid w:val="460B56BB"/>
    <w:multiLevelType w:val="hybridMultilevel"/>
    <w:tmpl w:val="0B700FB8"/>
    <w:lvl w:ilvl="0" w:tplc="0524C402">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61" w15:restartNumberingAfterBreak="0">
    <w:nsid w:val="462B1008"/>
    <w:multiLevelType w:val="hybridMultilevel"/>
    <w:tmpl w:val="8E1EB61C"/>
    <w:lvl w:ilvl="0" w:tplc="A4A0F376">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2520"/>
        </w:tabs>
        <w:ind w:left="2520" w:hanging="360"/>
      </w:pPr>
      <w:rPr>
        <w:rFonts w:ascii="Courier New" w:hAnsi="Courier New" w:hint="default"/>
      </w:rPr>
    </w:lvl>
    <w:lvl w:ilvl="2" w:tplc="00050409" w:tentative="1">
      <w:start w:val="1"/>
      <w:numFmt w:val="bullet"/>
      <w:lvlText w:val=""/>
      <w:lvlJc w:val="left"/>
      <w:pPr>
        <w:tabs>
          <w:tab w:val="num" w:pos="3240"/>
        </w:tabs>
        <w:ind w:left="3240" w:hanging="360"/>
      </w:pPr>
      <w:rPr>
        <w:rFonts w:ascii="Wingdings" w:hAnsi="Wingdings" w:hint="default"/>
      </w:rPr>
    </w:lvl>
    <w:lvl w:ilvl="3" w:tplc="00010409" w:tentative="1">
      <w:start w:val="1"/>
      <w:numFmt w:val="bullet"/>
      <w:lvlText w:val=""/>
      <w:lvlJc w:val="left"/>
      <w:pPr>
        <w:tabs>
          <w:tab w:val="num" w:pos="3960"/>
        </w:tabs>
        <w:ind w:left="3960" w:hanging="360"/>
      </w:pPr>
      <w:rPr>
        <w:rFonts w:ascii="Symbol" w:hAnsi="Symbol" w:hint="default"/>
      </w:rPr>
    </w:lvl>
    <w:lvl w:ilvl="4" w:tplc="00030409" w:tentative="1">
      <w:start w:val="1"/>
      <w:numFmt w:val="bullet"/>
      <w:lvlText w:val="o"/>
      <w:lvlJc w:val="left"/>
      <w:pPr>
        <w:tabs>
          <w:tab w:val="num" w:pos="4680"/>
        </w:tabs>
        <w:ind w:left="4680" w:hanging="360"/>
      </w:pPr>
      <w:rPr>
        <w:rFonts w:ascii="Courier New" w:hAnsi="Courier New" w:hint="default"/>
      </w:rPr>
    </w:lvl>
    <w:lvl w:ilvl="5" w:tplc="00050409" w:tentative="1">
      <w:start w:val="1"/>
      <w:numFmt w:val="bullet"/>
      <w:lvlText w:val=""/>
      <w:lvlJc w:val="left"/>
      <w:pPr>
        <w:tabs>
          <w:tab w:val="num" w:pos="5400"/>
        </w:tabs>
        <w:ind w:left="5400" w:hanging="360"/>
      </w:pPr>
      <w:rPr>
        <w:rFonts w:ascii="Wingdings" w:hAnsi="Wingdings" w:hint="default"/>
      </w:rPr>
    </w:lvl>
    <w:lvl w:ilvl="6" w:tplc="00010409" w:tentative="1">
      <w:start w:val="1"/>
      <w:numFmt w:val="bullet"/>
      <w:lvlText w:val=""/>
      <w:lvlJc w:val="left"/>
      <w:pPr>
        <w:tabs>
          <w:tab w:val="num" w:pos="6120"/>
        </w:tabs>
        <w:ind w:left="6120" w:hanging="360"/>
      </w:pPr>
      <w:rPr>
        <w:rFonts w:ascii="Symbol" w:hAnsi="Symbol" w:hint="default"/>
      </w:rPr>
    </w:lvl>
    <w:lvl w:ilvl="7" w:tplc="00030409" w:tentative="1">
      <w:start w:val="1"/>
      <w:numFmt w:val="bullet"/>
      <w:lvlText w:val="o"/>
      <w:lvlJc w:val="left"/>
      <w:pPr>
        <w:tabs>
          <w:tab w:val="num" w:pos="6840"/>
        </w:tabs>
        <w:ind w:left="6840" w:hanging="360"/>
      </w:pPr>
      <w:rPr>
        <w:rFonts w:ascii="Courier New" w:hAnsi="Courier New" w:hint="default"/>
      </w:rPr>
    </w:lvl>
    <w:lvl w:ilvl="8" w:tplc="00050409" w:tentative="1">
      <w:start w:val="1"/>
      <w:numFmt w:val="bullet"/>
      <w:lvlText w:val=""/>
      <w:lvlJc w:val="left"/>
      <w:pPr>
        <w:tabs>
          <w:tab w:val="num" w:pos="7560"/>
        </w:tabs>
        <w:ind w:left="7560" w:hanging="360"/>
      </w:pPr>
      <w:rPr>
        <w:rFonts w:ascii="Wingdings" w:hAnsi="Wingdings" w:hint="default"/>
      </w:rPr>
    </w:lvl>
  </w:abstractNum>
  <w:abstractNum w:abstractNumId="262" w15:restartNumberingAfterBreak="0">
    <w:nsid w:val="470301FE"/>
    <w:multiLevelType w:val="multilevel"/>
    <w:tmpl w:val="CE4CD000"/>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bullet"/>
      <w:lvlText w:val=""/>
      <w:lvlJc w:val="left"/>
      <w:pPr>
        <w:ind w:left="1845" w:hanging="360"/>
      </w:pPr>
      <w:rPr>
        <w:rFonts w:ascii="Symbol" w:hAnsi="Symbol" w:hint="default"/>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63" w15:restartNumberingAfterBreak="0">
    <w:nsid w:val="47181447"/>
    <w:multiLevelType w:val="hybridMultilevel"/>
    <w:tmpl w:val="2F9244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4" w15:restartNumberingAfterBreak="0">
    <w:nsid w:val="475C5FF2"/>
    <w:multiLevelType w:val="hybridMultilevel"/>
    <w:tmpl w:val="3064D5FC"/>
    <w:lvl w:ilvl="0" w:tplc="05A88F6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D3DE4A6E">
      <w:start w:val="1"/>
      <w:numFmt w:val="bullet"/>
      <w:lvlText w:val=""/>
      <w:lvlJc w:val="left"/>
      <w:pPr>
        <w:tabs>
          <w:tab w:val="num" w:pos="2160"/>
        </w:tabs>
        <w:ind w:left="216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65" w15:restartNumberingAfterBreak="0">
    <w:nsid w:val="47862BA9"/>
    <w:multiLevelType w:val="multilevel"/>
    <w:tmpl w:val="76D0A768"/>
    <w:lvl w:ilvl="0">
      <w:start w:val="1"/>
      <w:numFmt w:val="upperLetter"/>
      <w:lvlText w:val="%1."/>
      <w:lvlJc w:val="left"/>
      <w:pPr>
        <w:tabs>
          <w:tab w:val="num" w:pos="1008"/>
        </w:tabs>
        <w:ind w:left="1944" w:hanging="1224"/>
      </w:pPr>
      <w:rPr>
        <w:b/>
        <w:i w:val="0"/>
      </w:rPr>
    </w:lvl>
    <w:lvl w:ilvl="1">
      <w:start w:val="1"/>
      <w:numFmt w:val="upperLetter"/>
      <w:lvlText w:val="%2."/>
      <w:lvlJc w:val="left"/>
      <w:pPr>
        <w:tabs>
          <w:tab w:val="num" w:pos="1440"/>
        </w:tabs>
        <w:ind w:left="1440" w:hanging="432"/>
      </w:pPr>
      <w:rPr>
        <w:b/>
      </w:rPr>
    </w:lvl>
    <w:lvl w:ilvl="2">
      <w:start w:val="1"/>
      <w:numFmt w:val="bullet"/>
      <w:lvlText w:val=""/>
      <w:lvlJc w:val="left"/>
      <w:pPr>
        <w:ind w:left="1800" w:hanging="360"/>
      </w:pPr>
      <w:rPr>
        <w:rFonts w:ascii="Symbol" w:hAnsi="Symbol" w:hint="default"/>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66" w15:restartNumberingAfterBreak="0">
    <w:nsid w:val="47AB24F3"/>
    <w:multiLevelType w:val="hybridMultilevel"/>
    <w:tmpl w:val="E65CE996"/>
    <w:lvl w:ilvl="0" w:tplc="04090015">
      <w:start w:val="1"/>
      <w:numFmt w:val="upperLetter"/>
      <w:lvlText w:val="%1."/>
      <w:lvlJc w:val="left"/>
      <w:pPr>
        <w:tabs>
          <w:tab w:val="num" w:pos="720"/>
        </w:tabs>
        <w:ind w:left="720" w:hanging="360"/>
      </w:pPr>
      <w:rPr>
        <w:b/>
        <w:i w:val="0"/>
        <w:color w:val="auto"/>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7" w15:restartNumberingAfterBreak="0">
    <w:nsid w:val="48145C9E"/>
    <w:multiLevelType w:val="hybridMultilevel"/>
    <w:tmpl w:val="DBB8E05E"/>
    <w:lvl w:ilvl="0" w:tplc="8D280FFC">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68" w15:restartNumberingAfterBreak="0">
    <w:nsid w:val="49017911"/>
    <w:multiLevelType w:val="multilevel"/>
    <w:tmpl w:val="EF005826"/>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3"/>
      <w:numFmt w:val="upp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9" w15:restartNumberingAfterBreak="0">
    <w:nsid w:val="490C0394"/>
    <w:multiLevelType w:val="hybridMultilevel"/>
    <w:tmpl w:val="CD6AD888"/>
    <w:lvl w:ilvl="0" w:tplc="96480086">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270" w15:restartNumberingAfterBreak="0">
    <w:nsid w:val="49242930"/>
    <w:multiLevelType w:val="multilevel"/>
    <w:tmpl w:val="81C04418"/>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1"/>
      <w:numFmt w:val="upperLetter"/>
      <w:lvlText w:val="%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1" w15:restartNumberingAfterBreak="0">
    <w:nsid w:val="49697ADF"/>
    <w:multiLevelType w:val="hybridMultilevel"/>
    <w:tmpl w:val="08A62EC0"/>
    <w:lvl w:ilvl="0" w:tplc="9DC60F6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738" w:hanging="360"/>
      </w:pPr>
      <w:rPr>
        <w:rFonts w:ascii="Courier New" w:hAnsi="Courier New" w:hint="default"/>
      </w:rPr>
    </w:lvl>
    <w:lvl w:ilvl="2" w:tplc="00050409" w:tentative="1">
      <w:start w:val="1"/>
      <w:numFmt w:val="bullet"/>
      <w:lvlText w:val=""/>
      <w:lvlJc w:val="left"/>
      <w:pPr>
        <w:ind w:left="1458"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898" w:hanging="360"/>
      </w:pPr>
      <w:rPr>
        <w:rFonts w:ascii="Courier New" w:hAnsi="Courier New" w:hint="default"/>
      </w:rPr>
    </w:lvl>
    <w:lvl w:ilvl="5" w:tplc="00050409" w:tentative="1">
      <w:start w:val="1"/>
      <w:numFmt w:val="bullet"/>
      <w:lvlText w:val=""/>
      <w:lvlJc w:val="left"/>
      <w:pPr>
        <w:ind w:left="3618" w:hanging="360"/>
      </w:pPr>
      <w:rPr>
        <w:rFonts w:ascii="Wingdings" w:hAnsi="Wingdings" w:hint="default"/>
      </w:rPr>
    </w:lvl>
    <w:lvl w:ilvl="6" w:tplc="00010409" w:tentative="1">
      <w:start w:val="1"/>
      <w:numFmt w:val="bullet"/>
      <w:lvlText w:val=""/>
      <w:lvlJc w:val="left"/>
      <w:pPr>
        <w:ind w:left="4338" w:hanging="360"/>
      </w:pPr>
      <w:rPr>
        <w:rFonts w:ascii="Symbol" w:hAnsi="Symbol" w:hint="default"/>
      </w:rPr>
    </w:lvl>
    <w:lvl w:ilvl="7" w:tplc="00030409" w:tentative="1">
      <w:start w:val="1"/>
      <w:numFmt w:val="bullet"/>
      <w:lvlText w:val="o"/>
      <w:lvlJc w:val="left"/>
      <w:pPr>
        <w:ind w:left="5058" w:hanging="360"/>
      </w:pPr>
      <w:rPr>
        <w:rFonts w:ascii="Courier New" w:hAnsi="Courier New" w:hint="default"/>
      </w:rPr>
    </w:lvl>
    <w:lvl w:ilvl="8" w:tplc="00050409" w:tentative="1">
      <w:start w:val="1"/>
      <w:numFmt w:val="bullet"/>
      <w:lvlText w:val=""/>
      <w:lvlJc w:val="left"/>
      <w:pPr>
        <w:ind w:left="5778" w:hanging="360"/>
      </w:pPr>
      <w:rPr>
        <w:rFonts w:ascii="Wingdings" w:hAnsi="Wingdings" w:hint="default"/>
      </w:rPr>
    </w:lvl>
  </w:abstractNum>
  <w:abstractNum w:abstractNumId="272" w15:restartNumberingAfterBreak="0">
    <w:nsid w:val="49AE4BC6"/>
    <w:multiLevelType w:val="hybridMultilevel"/>
    <w:tmpl w:val="C8C854B8"/>
    <w:lvl w:ilvl="0" w:tplc="FA706E2C">
      <w:start w:val="1"/>
      <w:numFmt w:val="bullet"/>
      <w:lvlText w:val=""/>
      <w:lvlJc w:val="left"/>
      <w:pPr>
        <w:tabs>
          <w:tab w:val="num" w:pos="1368"/>
        </w:tabs>
        <w:ind w:left="1368"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97748F86">
      <w:start w:val="1"/>
      <w:numFmt w:val="bullet"/>
      <w:lvlText w:val=""/>
      <w:lvlJc w:val="left"/>
      <w:pPr>
        <w:tabs>
          <w:tab w:val="num" w:pos="2160"/>
        </w:tabs>
        <w:ind w:left="216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73" w15:restartNumberingAfterBreak="0">
    <w:nsid w:val="49B86663"/>
    <w:multiLevelType w:val="hybridMultilevel"/>
    <w:tmpl w:val="D7AEB0AE"/>
    <w:lvl w:ilvl="0" w:tplc="7BEC69FE">
      <w:start w:val="5"/>
      <w:numFmt w:val="upperLetter"/>
      <w:lvlText w:val="%1."/>
      <w:lvlJc w:val="left"/>
      <w:pPr>
        <w:ind w:left="3888"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74" w15:restartNumberingAfterBreak="0">
    <w:nsid w:val="49E811D0"/>
    <w:multiLevelType w:val="hybridMultilevel"/>
    <w:tmpl w:val="96A23D6C"/>
    <w:lvl w:ilvl="0" w:tplc="BC06CD4E">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4A197842"/>
    <w:multiLevelType w:val="hybridMultilevel"/>
    <w:tmpl w:val="812A9F70"/>
    <w:lvl w:ilvl="0" w:tplc="BDA2C194">
      <w:start w:val="1"/>
      <w:numFmt w:val="bullet"/>
      <w:lvlText w:val=""/>
      <w:lvlJc w:val="left"/>
      <w:pPr>
        <w:tabs>
          <w:tab w:val="num" w:pos="2160"/>
        </w:tabs>
        <w:ind w:left="216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276" w15:restartNumberingAfterBreak="0">
    <w:nsid w:val="4A335549"/>
    <w:multiLevelType w:val="hybridMultilevel"/>
    <w:tmpl w:val="089A3C08"/>
    <w:lvl w:ilvl="0" w:tplc="923A4CC0">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432" w:hanging="360"/>
      </w:pPr>
    </w:lvl>
    <w:lvl w:ilvl="2" w:tplc="001B0409" w:tentative="1">
      <w:start w:val="1"/>
      <w:numFmt w:val="lowerRoman"/>
      <w:lvlText w:val="%3."/>
      <w:lvlJc w:val="right"/>
      <w:pPr>
        <w:ind w:left="1152" w:hanging="180"/>
      </w:pPr>
    </w:lvl>
    <w:lvl w:ilvl="3" w:tplc="000F0409" w:tentative="1">
      <w:start w:val="1"/>
      <w:numFmt w:val="decimal"/>
      <w:lvlText w:val="%4."/>
      <w:lvlJc w:val="left"/>
      <w:pPr>
        <w:ind w:left="1872" w:hanging="360"/>
      </w:pPr>
    </w:lvl>
    <w:lvl w:ilvl="4" w:tplc="00190409" w:tentative="1">
      <w:start w:val="1"/>
      <w:numFmt w:val="lowerLetter"/>
      <w:lvlText w:val="%5."/>
      <w:lvlJc w:val="left"/>
      <w:pPr>
        <w:ind w:left="2592" w:hanging="360"/>
      </w:pPr>
    </w:lvl>
    <w:lvl w:ilvl="5" w:tplc="001B0409" w:tentative="1">
      <w:start w:val="1"/>
      <w:numFmt w:val="lowerRoman"/>
      <w:lvlText w:val="%6."/>
      <w:lvlJc w:val="right"/>
      <w:pPr>
        <w:ind w:left="3312" w:hanging="180"/>
      </w:pPr>
    </w:lvl>
    <w:lvl w:ilvl="6" w:tplc="000F0409" w:tentative="1">
      <w:start w:val="1"/>
      <w:numFmt w:val="decimal"/>
      <w:lvlText w:val="%7."/>
      <w:lvlJc w:val="left"/>
      <w:pPr>
        <w:ind w:left="4032" w:hanging="360"/>
      </w:pPr>
    </w:lvl>
    <w:lvl w:ilvl="7" w:tplc="00190409" w:tentative="1">
      <w:start w:val="1"/>
      <w:numFmt w:val="lowerLetter"/>
      <w:lvlText w:val="%8."/>
      <w:lvlJc w:val="left"/>
      <w:pPr>
        <w:ind w:left="4752" w:hanging="360"/>
      </w:pPr>
    </w:lvl>
    <w:lvl w:ilvl="8" w:tplc="001B0409" w:tentative="1">
      <w:start w:val="1"/>
      <w:numFmt w:val="lowerRoman"/>
      <w:lvlText w:val="%9."/>
      <w:lvlJc w:val="right"/>
      <w:pPr>
        <w:ind w:left="5472" w:hanging="180"/>
      </w:pPr>
    </w:lvl>
  </w:abstractNum>
  <w:abstractNum w:abstractNumId="277" w15:restartNumberingAfterBreak="0">
    <w:nsid w:val="4A777597"/>
    <w:multiLevelType w:val="hybridMultilevel"/>
    <w:tmpl w:val="44420C6A"/>
    <w:lvl w:ilvl="0" w:tplc="8E0E4126">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78" w15:restartNumberingAfterBreak="0">
    <w:nsid w:val="4ACA622C"/>
    <w:multiLevelType w:val="hybridMultilevel"/>
    <w:tmpl w:val="155A7A5A"/>
    <w:lvl w:ilvl="0" w:tplc="2D7C5232">
      <w:start w:val="1"/>
      <w:numFmt w:val="bullet"/>
      <w:lvlText w:val=""/>
      <w:lvlJc w:val="left"/>
      <w:pPr>
        <w:ind w:left="2340" w:hanging="360"/>
      </w:pPr>
      <w:rPr>
        <w:rFonts w:ascii="Symbol" w:hAnsi="Symbol" w:hint="default"/>
        <w:b w:val="0"/>
        <w:i w:val="0"/>
        <w:color w:val="auto"/>
        <w:sz w:val="22"/>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79" w15:restartNumberingAfterBreak="0">
    <w:nsid w:val="4AD925E4"/>
    <w:multiLevelType w:val="hybridMultilevel"/>
    <w:tmpl w:val="D04699F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0" w15:restartNumberingAfterBreak="0">
    <w:nsid w:val="4ADB097A"/>
    <w:multiLevelType w:val="hybridMultilevel"/>
    <w:tmpl w:val="501CD8A4"/>
    <w:lvl w:ilvl="0" w:tplc="E21257E6">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A93AB622">
      <w:start w:val="1"/>
      <w:numFmt w:val="decimal"/>
      <w:lvlText w:val="%4."/>
      <w:lvlJc w:val="left"/>
      <w:pPr>
        <w:ind w:left="2880" w:hanging="360"/>
      </w:pPr>
      <w:rPr>
        <w:b/>
        <w:i w:val="0"/>
        <w:color w:val="auto"/>
        <w:sz w:val="22"/>
        <w:szCs w:val="22"/>
      </w:rPr>
    </w:lvl>
    <w:lvl w:ilvl="4" w:tplc="42280F02">
      <w:start w:val="1"/>
      <w:numFmt w:val="bullet"/>
      <w:lvlText w:val=""/>
      <w:lvlJc w:val="left"/>
      <w:pPr>
        <w:tabs>
          <w:tab w:val="num" w:pos="3600"/>
        </w:tabs>
        <w:ind w:left="3600" w:hanging="360"/>
      </w:pPr>
      <w:rPr>
        <w:rFonts w:ascii="Symbol" w:hAnsi="Symbol" w:hint="default"/>
        <w:b w:val="0"/>
        <w:i w:val="0"/>
        <w:color w:val="auto"/>
        <w:sz w:val="20"/>
      </w:r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81" w15:restartNumberingAfterBreak="0">
    <w:nsid w:val="4AF02395"/>
    <w:multiLevelType w:val="hybridMultilevel"/>
    <w:tmpl w:val="B8C4B214"/>
    <w:lvl w:ilvl="0" w:tplc="26DC3AC2">
      <w:start w:val="2"/>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432" w:hanging="360"/>
      </w:pPr>
    </w:lvl>
    <w:lvl w:ilvl="2" w:tplc="001B0409" w:tentative="1">
      <w:start w:val="1"/>
      <w:numFmt w:val="lowerRoman"/>
      <w:lvlText w:val="%3."/>
      <w:lvlJc w:val="right"/>
      <w:pPr>
        <w:ind w:left="1152" w:hanging="180"/>
      </w:pPr>
    </w:lvl>
    <w:lvl w:ilvl="3" w:tplc="000F0409" w:tentative="1">
      <w:start w:val="1"/>
      <w:numFmt w:val="decimal"/>
      <w:lvlText w:val="%4."/>
      <w:lvlJc w:val="left"/>
      <w:pPr>
        <w:ind w:left="1872" w:hanging="360"/>
      </w:pPr>
    </w:lvl>
    <w:lvl w:ilvl="4" w:tplc="00190409" w:tentative="1">
      <w:start w:val="1"/>
      <w:numFmt w:val="lowerLetter"/>
      <w:lvlText w:val="%5."/>
      <w:lvlJc w:val="left"/>
      <w:pPr>
        <w:ind w:left="2592" w:hanging="360"/>
      </w:pPr>
    </w:lvl>
    <w:lvl w:ilvl="5" w:tplc="001B0409" w:tentative="1">
      <w:start w:val="1"/>
      <w:numFmt w:val="lowerRoman"/>
      <w:lvlText w:val="%6."/>
      <w:lvlJc w:val="right"/>
      <w:pPr>
        <w:ind w:left="3312" w:hanging="180"/>
      </w:pPr>
    </w:lvl>
    <w:lvl w:ilvl="6" w:tplc="000F0409" w:tentative="1">
      <w:start w:val="1"/>
      <w:numFmt w:val="decimal"/>
      <w:lvlText w:val="%7."/>
      <w:lvlJc w:val="left"/>
      <w:pPr>
        <w:ind w:left="4032" w:hanging="360"/>
      </w:pPr>
    </w:lvl>
    <w:lvl w:ilvl="7" w:tplc="00190409" w:tentative="1">
      <w:start w:val="1"/>
      <w:numFmt w:val="lowerLetter"/>
      <w:lvlText w:val="%8."/>
      <w:lvlJc w:val="left"/>
      <w:pPr>
        <w:ind w:left="4752" w:hanging="360"/>
      </w:pPr>
    </w:lvl>
    <w:lvl w:ilvl="8" w:tplc="001B0409" w:tentative="1">
      <w:start w:val="1"/>
      <w:numFmt w:val="lowerRoman"/>
      <w:lvlText w:val="%9."/>
      <w:lvlJc w:val="right"/>
      <w:pPr>
        <w:ind w:left="5472" w:hanging="180"/>
      </w:pPr>
    </w:lvl>
  </w:abstractNum>
  <w:abstractNum w:abstractNumId="282" w15:restartNumberingAfterBreak="0">
    <w:nsid w:val="4B8579B6"/>
    <w:multiLevelType w:val="hybridMultilevel"/>
    <w:tmpl w:val="19DC4CB4"/>
    <w:lvl w:ilvl="0" w:tplc="2C0E8E0E">
      <w:start w:val="1"/>
      <w:numFmt w:val="decimal"/>
      <w:lvlText w:val="%1."/>
      <w:lvlJc w:val="left"/>
      <w:pPr>
        <w:ind w:left="720" w:hanging="360"/>
      </w:pPr>
      <w:rPr>
        <w:b/>
        <w:i w:val="0"/>
        <w:color w:val="auto"/>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3" w15:restartNumberingAfterBreak="0">
    <w:nsid w:val="4BC46BEB"/>
    <w:multiLevelType w:val="hybridMultilevel"/>
    <w:tmpl w:val="EC900B2C"/>
    <w:lvl w:ilvl="0" w:tplc="22B2CE5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368" w:hanging="360"/>
      </w:pPr>
      <w:rPr>
        <w:rFonts w:ascii="Courier New" w:hAnsi="Courier New" w:hint="default"/>
      </w:rPr>
    </w:lvl>
    <w:lvl w:ilvl="2" w:tplc="00050409" w:tentative="1">
      <w:start w:val="1"/>
      <w:numFmt w:val="bullet"/>
      <w:lvlText w:val=""/>
      <w:lvlJc w:val="left"/>
      <w:pPr>
        <w:ind w:left="2088" w:hanging="360"/>
      </w:pPr>
      <w:rPr>
        <w:rFonts w:ascii="Wingdings" w:hAnsi="Wingdings" w:hint="default"/>
      </w:rPr>
    </w:lvl>
    <w:lvl w:ilvl="3" w:tplc="C116DE6E">
      <w:start w:val="1"/>
      <w:numFmt w:val="bullet"/>
      <w:lvlText w:val=""/>
      <w:lvlJc w:val="left"/>
      <w:pPr>
        <w:tabs>
          <w:tab w:val="num" w:pos="3168"/>
        </w:tabs>
        <w:ind w:left="3168" w:hanging="360"/>
      </w:pPr>
      <w:rPr>
        <w:rFonts w:ascii="Symbol" w:hAnsi="Symbol" w:hint="default"/>
        <w:b w:val="0"/>
        <w:i w:val="0"/>
        <w:color w:val="auto"/>
        <w:sz w:val="20"/>
      </w:rPr>
    </w:lvl>
    <w:lvl w:ilvl="4" w:tplc="00030409" w:tentative="1">
      <w:start w:val="1"/>
      <w:numFmt w:val="bullet"/>
      <w:lvlText w:val="o"/>
      <w:lvlJc w:val="left"/>
      <w:pPr>
        <w:ind w:left="3528" w:hanging="360"/>
      </w:pPr>
      <w:rPr>
        <w:rFonts w:ascii="Courier New" w:hAnsi="Courier New" w:hint="default"/>
      </w:rPr>
    </w:lvl>
    <w:lvl w:ilvl="5" w:tplc="00050409" w:tentative="1">
      <w:start w:val="1"/>
      <w:numFmt w:val="bullet"/>
      <w:lvlText w:val=""/>
      <w:lvlJc w:val="left"/>
      <w:pPr>
        <w:ind w:left="4248" w:hanging="360"/>
      </w:pPr>
      <w:rPr>
        <w:rFonts w:ascii="Wingdings" w:hAnsi="Wingdings" w:hint="default"/>
      </w:rPr>
    </w:lvl>
    <w:lvl w:ilvl="6" w:tplc="00010409" w:tentative="1">
      <w:start w:val="1"/>
      <w:numFmt w:val="bullet"/>
      <w:lvlText w:val=""/>
      <w:lvlJc w:val="left"/>
      <w:pPr>
        <w:ind w:left="4968" w:hanging="360"/>
      </w:pPr>
      <w:rPr>
        <w:rFonts w:ascii="Symbol" w:hAnsi="Symbol" w:hint="default"/>
      </w:rPr>
    </w:lvl>
    <w:lvl w:ilvl="7" w:tplc="00030409" w:tentative="1">
      <w:start w:val="1"/>
      <w:numFmt w:val="bullet"/>
      <w:lvlText w:val="o"/>
      <w:lvlJc w:val="left"/>
      <w:pPr>
        <w:ind w:left="5688" w:hanging="360"/>
      </w:pPr>
      <w:rPr>
        <w:rFonts w:ascii="Courier New" w:hAnsi="Courier New" w:hint="default"/>
      </w:rPr>
    </w:lvl>
    <w:lvl w:ilvl="8" w:tplc="00050409" w:tentative="1">
      <w:start w:val="1"/>
      <w:numFmt w:val="bullet"/>
      <w:lvlText w:val=""/>
      <w:lvlJc w:val="left"/>
      <w:pPr>
        <w:ind w:left="6408" w:hanging="360"/>
      </w:pPr>
      <w:rPr>
        <w:rFonts w:ascii="Wingdings" w:hAnsi="Wingdings" w:hint="default"/>
      </w:rPr>
    </w:lvl>
  </w:abstractNum>
  <w:abstractNum w:abstractNumId="284" w15:restartNumberingAfterBreak="0">
    <w:nsid w:val="4BD440E1"/>
    <w:multiLevelType w:val="hybridMultilevel"/>
    <w:tmpl w:val="678CD140"/>
    <w:lvl w:ilvl="0" w:tplc="12FEF11C">
      <w:start w:val="1"/>
      <w:numFmt w:val="decimal"/>
      <w:lvlText w:val="%1."/>
      <w:lvlJc w:val="left"/>
      <w:pPr>
        <w:tabs>
          <w:tab w:val="num" w:pos="720"/>
        </w:tabs>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15:restartNumberingAfterBreak="0">
    <w:nsid w:val="4CB05050"/>
    <w:multiLevelType w:val="hybridMultilevel"/>
    <w:tmpl w:val="F8CC5A38"/>
    <w:lvl w:ilvl="0" w:tplc="8C8A42F2">
      <w:start w:val="1"/>
      <w:numFmt w:val="bullet"/>
      <w:lvlText w:val=""/>
      <w:lvlJc w:val="left"/>
      <w:pPr>
        <w:tabs>
          <w:tab w:val="num" w:pos="1440"/>
        </w:tabs>
        <w:ind w:left="144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86" w15:restartNumberingAfterBreak="0">
    <w:nsid w:val="4D3F26EA"/>
    <w:multiLevelType w:val="hybridMultilevel"/>
    <w:tmpl w:val="9378DFD0"/>
    <w:lvl w:ilvl="0" w:tplc="B4C0CF26">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87" w15:restartNumberingAfterBreak="0">
    <w:nsid w:val="4D9D4F2F"/>
    <w:multiLevelType w:val="hybridMultilevel"/>
    <w:tmpl w:val="50D8DDF4"/>
    <w:lvl w:ilvl="0" w:tplc="970AE7B2">
      <w:start w:val="1"/>
      <w:numFmt w:val="decimal"/>
      <w:lvlText w:val="%1."/>
      <w:lvlJc w:val="left"/>
      <w:pPr>
        <w:ind w:left="720" w:hanging="360"/>
      </w:pPr>
      <w:rPr>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15:restartNumberingAfterBreak="0">
    <w:nsid w:val="4DB260FC"/>
    <w:multiLevelType w:val="multilevel"/>
    <w:tmpl w:val="BB485AC8"/>
    <w:lvl w:ilvl="0">
      <w:start w:val="4"/>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2"/>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89" w15:restartNumberingAfterBreak="0">
    <w:nsid w:val="4DC6764F"/>
    <w:multiLevelType w:val="hybridMultilevel"/>
    <w:tmpl w:val="74B4835C"/>
    <w:lvl w:ilvl="0" w:tplc="C644AA60">
      <w:start w:val="1"/>
      <w:numFmt w:val="decimal"/>
      <w:lvlText w:val="%1."/>
      <w:lvlJc w:val="left"/>
      <w:pPr>
        <w:ind w:left="720" w:hanging="360"/>
      </w:pPr>
      <w:rPr>
        <w:b w:val="0"/>
        <w:i w:val="0"/>
        <w:caps w:val="0"/>
        <w:strike w:val="0"/>
        <w:dstrike w:val="0"/>
        <w:vanish w:val="0"/>
        <w:kern w:val="0"/>
        <w:sz w:val="24"/>
        <w:szCs w:val="20"/>
        <w:vertAlign w:val="baseline"/>
        <w14:cntxtAlts w14: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15:restartNumberingAfterBreak="0">
    <w:nsid w:val="4DD77235"/>
    <w:multiLevelType w:val="hybridMultilevel"/>
    <w:tmpl w:val="E35E509A"/>
    <w:lvl w:ilvl="0" w:tplc="8816550C">
      <w:start w:val="1"/>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291" w15:restartNumberingAfterBreak="0">
    <w:nsid w:val="4DE761E0"/>
    <w:multiLevelType w:val="hybridMultilevel"/>
    <w:tmpl w:val="94529282"/>
    <w:lvl w:ilvl="0" w:tplc="F6FE1D90">
      <w:start w:val="7"/>
      <w:numFmt w:val="upperLetter"/>
      <w:lvlText w:val="%1."/>
      <w:lvlJc w:val="left"/>
      <w:pPr>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92" w15:restartNumberingAfterBreak="0">
    <w:nsid w:val="4DFE3D6B"/>
    <w:multiLevelType w:val="multilevel"/>
    <w:tmpl w:val="2E9C982A"/>
    <w:lvl w:ilvl="0">
      <w:start w:val="1"/>
      <w:numFmt w:val="upperLetter"/>
      <w:lvlText w:val="%1."/>
      <w:lvlJc w:val="left"/>
      <w:pPr>
        <w:tabs>
          <w:tab w:val="num" w:pos="1080"/>
        </w:tabs>
        <w:ind w:left="1080" w:hanging="360"/>
      </w:pPr>
      <w:rPr>
        <w:b/>
        <w:i w:val="0"/>
      </w:rPr>
    </w:lvl>
    <w:lvl w:ilvl="1">
      <w:start w:val="1"/>
      <w:numFmt w:val="upperLetter"/>
      <w:lvlText w:val="%2."/>
      <w:lvlJc w:val="left"/>
      <w:pPr>
        <w:tabs>
          <w:tab w:val="num" w:pos="1440"/>
        </w:tabs>
        <w:ind w:left="1440" w:hanging="432"/>
      </w:pPr>
      <w:rPr>
        <w:b/>
        <w:i w:val="0"/>
      </w:rPr>
    </w:lvl>
    <w:lvl w:ilvl="2">
      <w:start w:val="1"/>
      <w:numFmt w:val="bullet"/>
      <w:lvlText w:val=""/>
      <w:lvlJc w:val="left"/>
      <w:pPr>
        <w:tabs>
          <w:tab w:val="num" w:pos="1800"/>
        </w:tabs>
        <w:ind w:left="1800" w:hanging="360"/>
      </w:pPr>
      <w:rPr>
        <w:rFonts w:ascii="Symbol" w:hAnsi="Symbol" w:hint="default"/>
        <w:b w:val="0"/>
        <w:i w:val="0"/>
      </w:rPr>
    </w:lvl>
    <w:lvl w:ilvl="3">
      <w:start w:val="1"/>
      <w:numFmt w:val="lowerLetter"/>
      <w:lvlText w:val="%4)"/>
      <w:lvlJc w:val="left"/>
      <w:pPr>
        <w:tabs>
          <w:tab w:val="num" w:pos="2088"/>
        </w:tabs>
        <w:ind w:left="2088" w:hanging="360"/>
      </w:pPr>
    </w:lvl>
    <w:lvl w:ilvl="4">
      <w:start w:val="1"/>
      <w:numFmt w:val="decimal"/>
      <w:lvlText w:val="(%5)"/>
      <w:lvlJc w:val="left"/>
      <w:pPr>
        <w:tabs>
          <w:tab w:val="num" w:pos="2232"/>
        </w:tabs>
        <w:ind w:left="2232" w:hanging="360"/>
      </w:pPr>
    </w:lvl>
    <w:lvl w:ilvl="5">
      <w:start w:val="1"/>
      <w:numFmt w:val="lowerLetter"/>
      <w:lvlText w:val="(%6)"/>
      <w:lvlJc w:val="left"/>
      <w:pPr>
        <w:tabs>
          <w:tab w:val="num" w:pos="2520"/>
        </w:tabs>
        <w:ind w:left="2520" w:hanging="360"/>
      </w:pPr>
    </w:lvl>
    <w:lvl w:ilvl="6">
      <w:start w:val="1"/>
      <w:numFmt w:val="lowerRoman"/>
      <w:lvlText w:val="(%7)"/>
      <w:lvlJc w:val="left"/>
      <w:pPr>
        <w:tabs>
          <w:tab w:val="num" w:pos="5400"/>
        </w:tabs>
        <w:ind w:left="5040" w:firstLine="0"/>
      </w:pPr>
    </w:lvl>
    <w:lvl w:ilvl="7">
      <w:start w:val="1"/>
      <w:numFmt w:val="lowerLetter"/>
      <w:lvlText w:val="(%8)"/>
      <w:lvlJc w:val="left"/>
      <w:pPr>
        <w:tabs>
          <w:tab w:val="num" w:pos="6120"/>
        </w:tabs>
        <w:ind w:left="5760" w:firstLine="0"/>
      </w:pPr>
    </w:lvl>
    <w:lvl w:ilvl="8">
      <w:start w:val="1"/>
      <w:numFmt w:val="lowerRoman"/>
      <w:lvlText w:val="(%9)"/>
      <w:lvlJc w:val="left"/>
      <w:pPr>
        <w:tabs>
          <w:tab w:val="num" w:pos="6840"/>
        </w:tabs>
        <w:ind w:left="6480" w:firstLine="0"/>
      </w:pPr>
    </w:lvl>
  </w:abstractNum>
  <w:abstractNum w:abstractNumId="293" w15:restartNumberingAfterBreak="0">
    <w:nsid w:val="4E16704F"/>
    <w:multiLevelType w:val="hybridMultilevel"/>
    <w:tmpl w:val="E27AF026"/>
    <w:lvl w:ilvl="0" w:tplc="E21C4300">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294" w15:restartNumberingAfterBreak="0">
    <w:nsid w:val="4E1F4E0B"/>
    <w:multiLevelType w:val="hybridMultilevel"/>
    <w:tmpl w:val="9D3809B4"/>
    <w:lvl w:ilvl="0" w:tplc="7DFA6A0E">
      <w:start w:val="6"/>
      <w:numFmt w:val="decimal"/>
      <w:lvlText w:val="%1."/>
      <w:lvlJc w:val="left"/>
      <w:pPr>
        <w:tabs>
          <w:tab w:val="num" w:pos="360"/>
        </w:tabs>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295" w15:restartNumberingAfterBreak="0">
    <w:nsid w:val="4EB239E8"/>
    <w:multiLevelType w:val="hybridMultilevel"/>
    <w:tmpl w:val="A99A022C"/>
    <w:lvl w:ilvl="0" w:tplc="B622DE82">
      <w:start w:val="8"/>
      <w:numFmt w:val="decimal"/>
      <w:lvlText w:val="%1."/>
      <w:lvlJc w:val="left"/>
      <w:pPr>
        <w:tabs>
          <w:tab w:val="num" w:pos="360"/>
        </w:tabs>
        <w:ind w:left="360" w:hanging="360"/>
      </w:pPr>
      <w:rPr>
        <w:b/>
        <w:i w:val="0"/>
        <w:color w:val="auto"/>
        <w:sz w:val="22"/>
        <w:szCs w:val="22"/>
      </w:rPr>
    </w:lvl>
    <w:lvl w:ilvl="1" w:tplc="00190409">
      <w:start w:val="1"/>
      <w:numFmt w:val="lowerLetter"/>
      <w:lvlText w:val="%2."/>
      <w:lvlJc w:val="left"/>
      <w:pPr>
        <w:ind w:left="1152" w:hanging="360"/>
      </w:pPr>
    </w:lvl>
    <w:lvl w:ilvl="2" w:tplc="001B0409" w:tentative="1">
      <w:start w:val="1"/>
      <w:numFmt w:val="lowerRoman"/>
      <w:lvlText w:val="%3."/>
      <w:lvlJc w:val="right"/>
      <w:pPr>
        <w:ind w:left="1872" w:hanging="180"/>
      </w:pPr>
    </w:lvl>
    <w:lvl w:ilvl="3" w:tplc="000F0409" w:tentative="1">
      <w:start w:val="1"/>
      <w:numFmt w:val="decimal"/>
      <w:lvlText w:val="%4."/>
      <w:lvlJc w:val="left"/>
      <w:pPr>
        <w:ind w:left="2592" w:hanging="360"/>
      </w:pPr>
    </w:lvl>
    <w:lvl w:ilvl="4" w:tplc="00190409" w:tentative="1">
      <w:start w:val="1"/>
      <w:numFmt w:val="lowerLetter"/>
      <w:lvlText w:val="%5."/>
      <w:lvlJc w:val="left"/>
      <w:pPr>
        <w:ind w:left="3312" w:hanging="360"/>
      </w:pPr>
    </w:lvl>
    <w:lvl w:ilvl="5" w:tplc="001B0409" w:tentative="1">
      <w:start w:val="1"/>
      <w:numFmt w:val="lowerRoman"/>
      <w:lvlText w:val="%6."/>
      <w:lvlJc w:val="right"/>
      <w:pPr>
        <w:ind w:left="4032" w:hanging="180"/>
      </w:pPr>
    </w:lvl>
    <w:lvl w:ilvl="6" w:tplc="000F0409" w:tentative="1">
      <w:start w:val="1"/>
      <w:numFmt w:val="decimal"/>
      <w:lvlText w:val="%7."/>
      <w:lvlJc w:val="left"/>
      <w:pPr>
        <w:ind w:left="4752" w:hanging="360"/>
      </w:pPr>
    </w:lvl>
    <w:lvl w:ilvl="7" w:tplc="00190409" w:tentative="1">
      <w:start w:val="1"/>
      <w:numFmt w:val="lowerLetter"/>
      <w:lvlText w:val="%8."/>
      <w:lvlJc w:val="left"/>
      <w:pPr>
        <w:ind w:left="5472" w:hanging="360"/>
      </w:pPr>
    </w:lvl>
    <w:lvl w:ilvl="8" w:tplc="001B0409" w:tentative="1">
      <w:start w:val="1"/>
      <w:numFmt w:val="lowerRoman"/>
      <w:lvlText w:val="%9."/>
      <w:lvlJc w:val="right"/>
      <w:pPr>
        <w:ind w:left="6192" w:hanging="180"/>
      </w:pPr>
    </w:lvl>
  </w:abstractNum>
  <w:abstractNum w:abstractNumId="296" w15:restartNumberingAfterBreak="0">
    <w:nsid w:val="4F135147"/>
    <w:multiLevelType w:val="hybridMultilevel"/>
    <w:tmpl w:val="008C57DC"/>
    <w:lvl w:ilvl="0" w:tplc="04090015">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15:restartNumberingAfterBreak="0">
    <w:nsid w:val="4F792028"/>
    <w:multiLevelType w:val="multilevel"/>
    <w:tmpl w:val="F6B66A2A"/>
    <w:lvl w:ilvl="0">
      <w:start w:val="5"/>
      <w:numFmt w:val="decimal"/>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color w:val="auto"/>
        <w:sz w:val="24"/>
      </w:rPr>
    </w:lvl>
    <w:lvl w:ilvl="2">
      <w:start w:val="1"/>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b w:val="0"/>
        <w:i w:val="0"/>
        <w:color w:val="auto"/>
        <w:sz w:val="20"/>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298" w15:restartNumberingAfterBreak="0">
    <w:nsid w:val="4F966E07"/>
    <w:multiLevelType w:val="hybridMultilevel"/>
    <w:tmpl w:val="BC989056"/>
    <w:lvl w:ilvl="0" w:tplc="2B00BA00">
      <w:start w:val="1"/>
      <w:numFmt w:val="bullet"/>
      <w:lvlText w:val=""/>
      <w:lvlJc w:val="left"/>
      <w:pPr>
        <w:tabs>
          <w:tab w:val="num" w:pos="1512"/>
        </w:tabs>
        <w:ind w:left="1512" w:hanging="360"/>
      </w:pPr>
      <w:rPr>
        <w:rFonts w:ascii="Symbol" w:hAnsi="Symbol" w:hint="default"/>
        <w:b w:val="0"/>
        <w:i w:val="0"/>
        <w:sz w:val="18"/>
      </w:rPr>
    </w:lvl>
    <w:lvl w:ilvl="1" w:tplc="00030409" w:tentative="1">
      <w:start w:val="1"/>
      <w:numFmt w:val="bullet"/>
      <w:lvlText w:val="o"/>
      <w:lvlJc w:val="left"/>
      <w:pPr>
        <w:tabs>
          <w:tab w:val="num" w:pos="1872"/>
        </w:tabs>
        <w:ind w:left="1872" w:hanging="360"/>
      </w:pPr>
      <w:rPr>
        <w:rFonts w:ascii="Courier New" w:hAnsi="Courier New" w:hint="default"/>
      </w:rPr>
    </w:lvl>
    <w:lvl w:ilvl="2" w:tplc="00050409" w:tentative="1">
      <w:start w:val="1"/>
      <w:numFmt w:val="bullet"/>
      <w:lvlText w:val=""/>
      <w:lvlJc w:val="left"/>
      <w:pPr>
        <w:tabs>
          <w:tab w:val="num" w:pos="2592"/>
        </w:tabs>
        <w:ind w:left="2592" w:hanging="360"/>
      </w:pPr>
      <w:rPr>
        <w:rFonts w:ascii="Wingdings" w:hAnsi="Wingdings" w:hint="default"/>
      </w:rPr>
    </w:lvl>
    <w:lvl w:ilvl="3" w:tplc="00010409" w:tentative="1">
      <w:start w:val="1"/>
      <w:numFmt w:val="bullet"/>
      <w:lvlText w:val=""/>
      <w:lvlJc w:val="left"/>
      <w:pPr>
        <w:tabs>
          <w:tab w:val="num" w:pos="3312"/>
        </w:tabs>
        <w:ind w:left="3312" w:hanging="360"/>
      </w:pPr>
      <w:rPr>
        <w:rFonts w:ascii="Symbol" w:hAnsi="Symbol" w:hint="default"/>
      </w:rPr>
    </w:lvl>
    <w:lvl w:ilvl="4" w:tplc="00030409" w:tentative="1">
      <w:start w:val="1"/>
      <w:numFmt w:val="bullet"/>
      <w:lvlText w:val="o"/>
      <w:lvlJc w:val="left"/>
      <w:pPr>
        <w:tabs>
          <w:tab w:val="num" w:pos="4032"/>
        </w:tabs>
        <w:ind w:left="4032" w:hanging="360"/>
      </w:pPr>
      <w:rPr>
        <w:rFonts w:ascii="Courier New" w:hAnsi="Courier New" w:hint="default"/>
      </w:rPr>
    </w:lvl>
    <w:lvl w:ilvl="5" w:tplc="00050409" w:tentative="1">
      <w:start w:val="1"/>
      <w:numFmt w:val="bullet"/>
      <w:lvlText w:val=""/>
      <w:lvlJc w:val="left"/>
      <w:pPr>
        <w:tabs>
          <w:tab w:val="num" w:pos="4752"/>
        </w:tabs>
        <w:ind w:left="4752" w:hanging="360"/>
      </w:pPr>
      <w:rPr>
        <w:rFonts w:ascii="Wingdings" w:hAnsi="Wingdings" w:hint="default"/>
      </w:rPr>
    </w:lvl>
    <w:lvl w:ilvl="6" w:tplc="00010409" w:tentative="1">
      <w:start w:val="1"/>
      <w:numFmt w:val="bullet"/>
      <w:lvlText w:val=""/>
      <w:lvlJc w:val="left"/>
      <w:pPr>
        <w:tabs>
          <w:tab w:val="num" w:pos="5472"/>
        </w:tabs>
        <w:ind w:left="5472" w:hanging="360"/>
      </w:pPr>
      <w:rPr>
        <w:rFonts w:ascii="Symbol" w:hAnsi="Symbol" w:hint="default"/>
      </w:rPr>
    </w:lvl>
    <w:lvl w:ilvl="7" w:tplc="00030409" w:tentative="1">
      <w:start w:val="1"/>
      <w:numFmt w:val="bullet"/>
      <w:lvlText w:val="o"/>
      <w:lvlJc w:val="left"/>
      <w:pPr>
        <w:tabs>
          <w:tab w:val="num" w:pos="6192"/>
        </w:tabs>
        <w:ind w:left="6192" w:hanging="360"/>
      </w:pPr>
      <w:rPr>
        <w:rFonts w:ascii="Courier New" w:hAnsi="Courier New" w:hint="default"/>
      </w:rPr>
    </w:lvl>
    <w:lvl w:ilvl="8" w:tplc="00050409" w:tentative="1">
      <w:start w:val="1"/>
      <w:numFmt w:val="bullet"/>
      <w:lvlText w:val=""/>
      <w:lvlJc w:val="left"/>
      <w:pPr>
        <w:tabs>
          <w:tab w:val="num" w:pos="6912"/>
        </w:tabs>
        <w:ind w:left="6912" w:hanging="360"/>
      </w:pPr>
      <w:rPr>
        <w:rFonts w:ascii="Wingdings" w:hAnsi="Wingdings" w:hint="default"/>
      </w:rPr>
    </w:lvl>
  </w:abstractNum>
  <w:abstractNum w:abstractNumId="299" w15:restartNumberingAfterBreak="0">
    <w:nsid w:val="4FF821AF"/>
    <w:multiLevelType w:val="hybridMultilevel"/>
    <w:tmpl w:val="E2AC72CA"/>
    <w:lvl w:ilvl="0" w:tplc="9DC60F62">
      <w:start w:val="1"/>
      <w:numFmt w:val="bullet"/>
      <w:lvlText w:val=""/>
      <w:lvlJc w:val="left"/>
      <w:pPr>
        <w:tabs>
          <w:tab w:val="num" w:pos="2430"/>
        </w:tabs>
        <w:ind w:left="243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00" w15:restartNumberingAfterBreak="0">
    <w:nsid w:val="50006548"/>
    <w:multiLevelType w:val="hybridMultilevel"/>
    <w:tmpl w:val="AE708D10"/>
    <w:lvl w:ilvl="0" w:tplc="5B408374">
      <w:start w:val="1"/>
      <w:numFmt w:val="bullet"/>
      <w:lvlText w:val=""/>
      <w:lvlJc w:val="left"/>
      <w:pPr>
        <w:tabs>
          <w:tab w:val="num" w:pos="2448"/>
        </w:tabs>
        <w:ind w:left="2448" w:hanging="360"/>
      </w:pPr>
      <w:rPr>
        <w:rFonts w:ascii="Symbol" w:hAnsi="Symbol" w:hint="default"/>
        <w:b w:val="0"/>
        <w:i w:val="0"/>
        <w:color w:val="auto"/>
        <w:sz w:val="20"/>
      </w:rPr>
    </w:lvl>
    <w:lvl w:ilvl="1" w:tplc="00030409">
      <w:start w:val="1"/>
      <w:numFmt w:val="bullet"/>
      <w:lvlText w:val="o"/>
      <w:lvlJc w:val="left"/>
      <w:pPr>
        <w:ind w:left="2520" w:hanging="360"/>
      </w:pPr>
      <w:rPr>
        <w:rFonts w:ascii="Courier New" w:hAnsi="Courier New" w:hint="default"/>
      </w:rPr>
    </w:lvl>
    <w:lvl w:ilvl="2" w:tplc="00050409" w:tentative="1">
      <w:start w:val="1"/>
      <w:numFmt w:val="bullet"/>
      <w:lvlText w:val=""/>
      <w:lvlJc w:val="left"/>
      <w:pPr>
        <w:ind w:left="3240" w:hanging="360"/>
      </w:pPr>
      <w:rPr>
        <w:rFonts w:ascii="Wingdings" w:hAnsi="Wingdings" w:hint="default"/>
      </w:rPr>
    </w:lvl>
    <w:lvl w:ilvl="3" w:tplc="00010409">
      <w:start w:val="1"/>
      <w:numFmt w:val="bullet"/>
      <w:lvlText w:val=""/>
      <w:lvlJc w:val="left"/>
      <w:pPr>
        <w:ind w:left="3960" w:hanging="360"/>
      </w:pPr>
      <w:rPr>
        <w:rFonts w:ascii="Symbol" w:hAnsi="Symbol" w:hint="default"/>
      </w:rPr>
    </w:lvl>
    <w:lvl w:ilvl="4" w:tplc="00030409" w:tentative="1">
      <w:start w:val="1"/>
      <w:numFmt w:val="bullet"/>
      <w:lvlText w:val="o"/>
      <w:lvlJc w:val="left"/>
      <w:pPr>
        <w:ind w:left="4680" w:hanging="360"/>
      </w:pPr>
      <w:rPr>
        <w:rFonts w:ascii="Courier New" w:hAnsi="Courier New" w:hint="default"/>
      </w:rPr>
    </w:lvl>
    <w:lvl w:ilvl="5" w:tplc="00050409" w:tentative="1">
      <w:start w:val="1"/>
      <w:numFmt w:val="bullet"/>
      <w:lvlText w:val=""/>
      <w:lvlJc w:val="left"/>
      <w:pPr>
        <w:ind w:left="5400" w:hanging="360"/>
      </w:pPr>
      <w:rPr>
        <w:rFonts w:ascii="Wingdings" w:hAnsi="Wingdings" w:hint="default"/>
      </w:rPr>
    </w:lvl>
    <w:lvl w:ilvl="6" w:tplc="00010409" w:tentative="1">
      <w:start w:val="1"/>
      <w:numFmt w:val="bullet"/>
      <w:lvlText w:val=""/>
      <w:lvlJc w:val="left"/>
      <w:pPr>
        <w:ind w:left="6120" w:hanging="360"/>
      </w:pPr>
      <w:rPr>
        <w:rFonts w:ascii="Symbol" w:hAnsi="Symbol" w:hint="default"/>
      </w:rPr>
    </w:lvl>
    <w:lvl w:ilvl="7" w:tplc="00030409" w:tentative="1">
      <w:start w:val="1"/>
      <w:numFmt w:val="bullet"/>
      <w:lvlText w:val="o"/>
      <w:lvlJc w:val="left"/>
      <w:pPr>
        <w:ind w:left="6840" w:hanging="360"/>
      </w:pPr>
      <w:rPr>
        <w:rFonts w:ascii="Courier New" w:hAnsi="Courier New" w:hint="default"/>
      </w:rPr>
    </w:lvl>
    <w:lvl w:ilvl="8" w:tplc="00050409" w:tentative="1">
      <w:start w:val="1"/>
      <w:numFmt w:val="bullet"/>
      <w:lvlText w:val=""/>
      <w:lvlJc w:val="left"/>
      <w:pPr>
        <w:ind w:left="7560" w:hanging="360"/>
      </w:pPr>
      <w:rPr>
        <w:rFonts w:ascii="Wingdings" w:hAnsi="Wingdings" w:hint="default"/>
      </w:rPr>
    </w:lvl>
  </w:abstractNum>
  <w:abstractNum w:abstractNumId="301" w15:restartNumberingAfterBreak="0">
    <w:nsid w:val="500D4471"/>
    <w:multiLevelType w:val="hybridMultilevel"/>
    <w:tmpl w:val="85DCE9FA"/>
    <w:name w:val="OutlineHeadings222223"/>
    <w:lvl w:ilvl="0" w:tplc="D456A7AC">
      <w:start w:val="4"/>
      <w:numFmt w:val="upperLetter"/>
      <w:lvlText w:val="%1."/>
      <w:lvlJc w:val="left"/>
      <w:pPr>
        <w:ind w:left="36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02" w15:restartNumberingAfterBreak="0">
    <w:nsid w:val="504F342A"/>
    <w:multiLevelType w:val="hybridMultilevel"/>
    <w:tmpl w:val="8CBC8D8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3" w15:restartNumberingAfterBreak="0">
    <w:nsid w:val="506E6170"/>
    <w:multiLevelType w:val="hybridMultilevel"/>
    <w:tmpl w:val="9F24C06A"/>
    <w:lvl w:ilvl="0" w:tplc="9DC60F62">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ind w:left="450" w:hanging="360"/>
      </w:pPr>
      <w:rPr>
        <w:rFonts w:ascii="Courier New" w:hAnsi="Courier New" w:hint="default"/>
      </w:rPr>
    </w:lvl>
    <w:lvl w:ilvl="2" w:tplc="00050409">
      <w:start w:val="1"/>
      <w:numFmt w:val="bullet"/>
      <w:lvlText w:val=""/>
      <w:lvlJc w:val="left"/>
      <w:pPr>
        <w:ind w:left="1170" w:hanging="360"/>
      </w:pPr>
      <w:rPr>
        <w:rFonts w:ascii="Wingdings" w:hAnsi="Wingdings" w:hint="default"/>
      </w:rPr>
    </w:lvl>
    <w:lvl w:ilvl="3" w:tplc="F4283538">
      <w:start w:val="1"/>
      <w:numFmt w:val="bullet"/>
      <w:lvlText w:val=""/>
      <w:lvlJc w:val="left"/>
      <w:pPr>
        <w:tabs>
          <w:tab w:val="num" w:pos="0"/>
        </w:tabs>
        <w:ind w:left="1890" w:hanging="360"/>
      </w:pPr>
      <w:rPr>
        <w:rFonts w:ascii="Symbol" w:hAnsi="Symbol" w:hint="default"/>
        <w:b w:val="0"/>
        <w:i w:val="0"/>
        <w:color w:val="auto"/>
        <w:sz w:val="20"/>
      </w:rPr>
    </w:lvl>
    <w:lvl w:ilvl="4" w:tplc="00030409">
      <w:start w:val="1"/>
      <w:numFmt w:val="bullet"/>
      <w:lvlText w:val="o"/>
      <w:lvlJc w:val="left"/>
      <w:pPr>
        <w:ind w:left="2610" w:hanging="360"/>
      </w:pPr>
      <w:rPr>
        <w:rFonts w:ascii="Courier New" w:hAnsi="Courier New" w:hint="default"/>
      </w:rPr>
    </w:lvl>
    <w:lvl w:ilvl="5" w:tplc="00050409" w:tentative="1">
      <w:start w:val="1"/>
      <w:numFmt w:val="bullet"/>
      <w:lvlText w:val=""/>
      <w:lvlJc w:val="left"/>
      <w:pPr>
        <w:ind w:left="3330" w:hanging="360"/>
      </w:pPr>
      <w:rPr>
        <w:rFonts w:ascii="Wingdings" w:hAnsi="Wingdings" w:hint="default"/>
      </w:rPr>
    </w:lvl>
    <w:lvl w:ilvl="6" w:tplc="00010409" w:tentative="1">
      <w:start w:val="1"/>
      <w:numFmt w:val="bullet"/>
      <w:lvlText w:val=""/>
      <w:lvlJc w:val="left"/>
      <w:pPr>
        <w:ind w:left="4050" w:hanging="360"/>
      </w:pPr>
      <w:rPr>
        <w:rFonts w:ascii="Symbol" w:hAnsi="Symbol" w:hint="default"/>
      </w:rPr>
    </w:lvl>
    <w:lvl w:ilvl="7" w:tplc="00030409" w:tentative="1">
      <w:start w:val="1"/>
      <w:numFmt w:val="bullet"/>
      <w:lvlText w:val="o"/>
      <w:lvlJc w:val="left"/>
      <w:pPr>
        <w:ind w:left="4770" w:hanging="360"/>
      </w:pPr>
      <w:rPr>
        <w:rFonts w:ascii="Courier New" w:hAnsi="Courier New" w:hint="default"/>
      </w:rPr>
    </w:lvl>
    <w:lvl w:ilvl="8" w:tplc="00050409" w:tentative="1">
      <w:start w:val="1"/>
      <w:numFmt w:val="bullet"/>
      <w:lvlText w:val=""/>
      <w:lvlJc w:val="left"/>
      <w:pPr>
        <w:ind w:left="5490" w:hanging="360"/>
      </w:pPr>
      <w:rPr>
        <w:rFonts w:ascii="Wingdings" w:hAnsi="Wingdings" w:hint="default"/>
      </w:rPr>
    </w:lvl>
  </w:abstractNum>
  <w:abstractNum w:abstractNumId="304" w15:restartNumberingAfterBreak="0">
    <w:nsid w:val="50C679DD"/>
    <w:multiLevelType w:val="hybridMultilevel"/>
    <w:tmpl w:val="236C4740"/>
    <w:lvl w:ilvl="0" w:tplc="FFFFFFFF">
      <w:start w:val="1"/>
      <w:numFmt w:val="bullet"/>
      <w:lvlText w:val=""/>
      <w:lvlJc w:val="left"/>
      <w:pPr>
        <w:ind w:left="1080" w:hanging="360"/>
      </w:pPr>
      <w:rPr>
        <w:rFonts w:ascii="Symbol" w:hAnsi="Symbol" w:hint="default"/>
        <w:b w:val="0"/>
        <w:i w:val="0"/>
        <w:color w:val="auto"/>
        <w:sz w:val="20"/>
      </w:rPr>
    </w:lvl>
    <w:lvl w:ilvl="1" w:tplc="FFFFFFFF">
      <w:start w:val="1"/>
      <w:numFmt w:val="bullet"/>
      <w:lvlText w:val="o"/>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5" w15:restartNumberingAfterBreak="0">
    <w:nsid w:val="5104425E"/>
    <w:multiLevelType w:val="hybridMultilevel"/>
    <w:tmpl w:val="3014B75E"/>
    <w:lvl w:ilvl="0" w:tplc="0BD2B72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15:restartNumberingAfterBreak="0">
    <w:nsid w:val="511E42BB"/>
    <w:multiLevelType w:val="hybridMultilevel"/>
    <w:tmpl w:val="91B8C5D8"/>
    <w:lvl w:ilvl="0" w:tplc="5B408374">
      <w:start w:val="1"/>
      <w:numFmt w:val="bullet"/>
      <w:lvlText w:val=""/>
      <w:lvlJc w:val="left"/>
      <w:pPr>
        <w:tabs>
          <w:tab w:val="num" w:pos="2376"/>
        </w:tabs>
        <w:ind w:left="2376" w:hanging="360"/>
      </w:pPr>
      <w:rPr>
        <w:rFonts w:ascii="Symbol" w:hAnsi="Symbol" w:hint="default"/>
        <w:b w:val="0"/>
        <w:i w:val="0"/>
        <w:color w:val="auto"/>
        <w:sz w:val="20"/>
      </w:rPr>
    </w:lvl>
    <w:lvl w:ilvl="1" w:tplc="00030409" w:tentative="1">
      <w:start w:val="1"/>
      <w:numFmt w:val="bullet"/>
      <w:lvlText w:val="o"/>
      <w:lvlJc w:val="left"/>
      <w:pPr>
        <w:ind w:left="2448" w:hanging="360"/>
      </w:pPr>
      <w:rPr>
        <w:rFonts w:ascii="Courier New" w:hAnsi="Courier New" w:hint="default"/>
      </w:rPr>
    </w:lvl>
    <w:lvl w:ilvl="2" w:tplc="00050409" w:tentative="1">
      <w:start w:val="1"/>
      <w:numFmt w:val="bullet"/>
      <w:lvlText w:val=""/>
      <w:lvlJc w:val="left"/>
      <w:pPr>
        <w:ind w:left="3168" w:hanging="360"/>
      </w:pPr>
      <w:rPr>
        <w:rFonts w:ascii="Wingdings" w:hAnsi="Wingdings" w:hint="default"/>
      </w:rPr>
    </w:lvl>
    <w:lvl w:ilvl="3" w:tplc="00010409" w:tentative="1">
      <w:start w:val="1"/>
      <w:numFmt w:val="bullet"/>
      <w:lvlText w:val=""/>
      <w:lvlJc w:val="left"/>
      <w:pPr>
        <w:ind w:left="3888" w:hanging="360"/>
      </w:pPr>
      <w:rPr>
        <w:rFonts w:ascii="Symbol" w:hAnsi="Symbol" w:hint="default"/>
      </w:rPr>
    </w:lvl>
    <w:lvl w:ilvl="4" w:tplc="00030409" w:tentative="1">
      <w:start w:val="1"/>
      <w:numFmt w:val="bullet"/>
      <w:lvlText w:val="o"/>
      <w:lvlJc w:val="left"/>
      <w:pPr>
        <w:ind w:left="4608" w:hanging="360"/>
      </w:pPr>
      <w:rPr>
        <w:rFonts w:ascii="Courier New" w:hAnsi="Courier New" w:hint="default"/>
      </w:rPr>
    </w:lvl>
    <w:lvl w:ilvl="5" w:tplc="00050409" w:tentative="1">
      <w:start w:val="1"/>
      <w:numFmt w:val="bullet"/>
      <w:lvlText w:val=""/>
      <w:lvlJc w:val="left"/>
      <w:pPr>
        <w:ind w:left="5328" w:hanging="360"/>
      </w:pPr>
      <w:rPr>
        <w:rFonts w:ascii="Wingdings" w:hAnsi="Wingdings" w:hint="default"/>
      </w:rPr>
    </w:lvl>
    <w:lvl w:ilvl="6" w:tplc="00010409" w:tentative="1">
      <w:start w:val="1"/>
      <w:numFmt w:val="bullet"/>
      <w:lvlText w:val=""/>
      <w:lvlJc w:val="left"/>
      <w:pPr>
        <w:ind w:left="6048" w:hanging="360"/>
      </w:pPr>
      <w:rPr>
        <w:rFonts w:ascii="Symbol" w:hAnsi="Symbol" w:hint="default"/>
      </w:rPr>
    </w:lvl>
    <w:lvl w:ilvl="7" w:tplc="00030409" w:tentative="1">
      <w:start w:val="1"/>
      <w:numFmt w:val="bullet"/>
      <w:lvlText w:val="o"/>
      <w:lvlJc w:val="left"/>
      <w:pPr>
        <w:ind w:left="6768" w:hanging="360"/>
      </w:pPr>
      <w:rPr>
        <w:rFonts w:ascii="Courier New" w:hAnsi="Courier New" w:hint="default"/>
      </w:rPr>
    </w:lvl>
    <w:lvl w:ilvl="8" w:tplc="00050409" w:tentative="1">
      <w:start w:val="1"/>
      <w:numFmt w:val="bullet"/>
      <w:lvlText w:val=""/>
      <w:lvlJc w:val="left"/>
      <w:pPr>
        <w:ind w:left="7488" w:hanging="360"/>
      </w:pPr>
      <w:rPr>
        <w:rFonts w:ascii="Wingdings" w:hAnsi="Wingdings" w:hint="default"/>
      </w:rPr>
    </w:lvl>
  </w:abstractNum>
  <w:abstractNum w:abstractNumId="307" w15:restartNumberingAfterBreak="0">
    <w:nsid w:val="51417DD0"/>
    <w:multiLevelType w:val="hybridMultilevel"/>
    <w:tmpl w:val="E492451E"/>
    <w:lvl w:ilvl="0" w:tplc="1662EE9A">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08" w15:restartNumberingAfterBreak="0">
    <w:nsid w:val="5241590F"/>
    <w:multiLevelType w:val="hybridMultilevel"/>
    <w:tmpl w:val="3104EEA2"/>
    <w:lvl w:ilvl="0" w:tplc="477CD1F0">
      <w:start w:val="1"/>
      <w:numFmt w:val="bullet"/>
      <w:lvlText w:val=""/>
      <w:lvlJc w:val="left"/>
      <w:pPr>
        <w:tabs>
          <w:tab w:val="num" w:pos="720"/>
        </w:tabs>
        <w:ind w:left="720" w:hanging="360"/>
      </w:pPr>
      <w:rPr>
        <w:rFonts w:ascii="Symbol" w:hAnsi="Symbol" w:hint="default"/>
        <w:b w:val="0"/>
        <w:bCs w:val="0"/>
        <w:sz w:val="20"/>
        <w:szCs w:val="20"/>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09" w15:restartNumberingAfterBreak="0">
    <w:nsid w:val="526C529C"/>
    <w:multiLevelType w:val="hybridMultilevel"/>
    <w:tmpl w:val="E6EEBF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15:restartNumberingAfterBreak="0">
    <w:nsid w:val="528F7842"/>
    <w:multiLevelType w:val="multilevel"/>
    <w:tmpl w:val="8BF8495C"/>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1"/>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11" w15:restartNumberingAfterBreak="0">
    <w:nsid w:val="529C68AC"/>
    <w:multiLevelType w:val="hybridMultilevel"/>
    <w:tmpl w:val="944E170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2" w15:restartNumberingAfterBreak="0">
    <w:nsid w:val="53745D59"/>
    <w:multiLevelType w:val="hybridMultilevel"/>
    <w:tmpl w:val="AD227A68"/>
    <w:lvl w:ilvl="0" w:tplc="E21C4300">
      <w:start w:val="1"/>
      <w:numFmt w:val="bullet"/>
      <w:lvlText w:val=""/>
      <w:lvlJc w:val="left"/>
      <w:pPr>
        <w:tabs>
          <w:tab w:val="num" w:pos="3960"/>
        </w:tabs>
        <w:ind w:left="3960"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13" w15:restartNumberingAfterBreak="0">
    <w:nsid w:val="53CB5137"/>
    <w:multiLevelType w:val="hybridMultilevel"/>
    <w:tmpl w:val="FDDC73F2"/>
    <w:lvl w:ilvl="0" w:tplc="2DC69360">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6E6E4CAA">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4" w15:restartNumberingAfterBreak="0">
    <w:nsid w:val="53CF65BF"/>
    <w:multiLevelType w:val="hybridMultilevel"/>
    <w:tmpl w:val="5AD29DB2"/>
    <w:lvl w:ilvl="0" w:tplc="9A846A62">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9A846A62">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15" w15:restartNumberingAfterBreak="0">
    <w:nsid w:val="54976FD7"/>
    <w:multiLevelType w:val="hybridMultilevel"/>
    <w:tmpl w:val="953EDDBE"/>
    <w:lvl w:ilvl="0" w:tplc="04090013">
      <w:start w:val="1"/>
      <w:numFmt w:val="upp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6" w15:restartNumberingAfterBreak="0">
    <w:nsid w:val="549A4F08"/>
    <w:multiLevelType w:val="multilevel"/>
    <w:tmpl w:val="3B8E0BC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7" w15:restartNumberingAfterBreak="0">
    <w:nsid w:val="55073953"/>
    <w:multiLevelType w:val="hybridMultilevel"/>
    <w:tmpl w:val="5EA2EE10"/>
    <w:lvl w:ilvl="0" w:tplc="084247BC">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15:restartNumberingAfterBreak="0">
    <w:nsid w:val="55304E36"/>
    <w:multiLevelType w:val="hybridMultilevel"/>
    <w:tmpl w:val="57AE0A1C"/>
    <w:lvl w:ilvl="0" w:tplc="1A242426">
      <w:start w:val="1"/>
      <w:numFmt w:val="bullet"/>
      <w:lvlText w:val=""/>
      <w:lvlJc w:val="left"/>
      <w:pPr>
        <w:tabs>
          <w:tab w:val="num" w:pos="1500"/>
        </w:tabs>
        <w:ind w:left="1500" w:hanging="360"/>
      </w:pPr>
      <w:rPr>
        <w:rFonts w:ascii="Symbol" w:hAnsi="Symbol" w:hint="default"/>
        <w:b w:val="0"/>
        <w:i w:val="0"/>
        <w:color w:val="auto"/>
        <w:sz w:val="20"/>
      </w:rPr>
    </w:lvl>
    <w:lvl w:ilvl="1" w:tplc="04090003" w:tentative="1">
      <w:start w:val="1"/>
      <w:numFmt w:val="bullet"/>
      <w:lvlText w:val="o"/>
      <w:lvlJc w:val="left"/>
      <w:pPr>
        <w:tabs>
          <w:tab w:val="num" w:pos="2220"/>
        </w:tabs>
        <w:ind w:left="2220" w:hanging="360"/>
      </w:pPr>
      <w:rPr>
        <w:rFonts w:ascii="Courier New" w:hAnsi="Courier New" w:cs="Wingdings"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Wingdings"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Wingdings"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9" w15:restartNumberingAfterBreak="0">
    <w:nsid w:val="555B3944"/>
    <w:multiLevelType w:val="hybridMultilevel"/>
    <w:tmpl w:val="59D6D102"/>
    <w:lvl w:ilvl="0" w:tplc="CB2A9B4A">
      <w:start w:val="1"/>
      <w:numFmt w:val="upperLetter"/>
      <w:lvlText w:val="%1."/>
      <w:lvlJc w:val="left"/>
      <w:pPr>
        <w:ind w:left="1008" w:hanging="360"/>
      </w:pPr>
      <w:rPr>
        <w:b/>
        <w:i w:val="0"/>
        <w:color w:val="auto"/>
        <w:sz w:val="22"/>
        <w:szCs w:val="22"/>
      </w:rPr>
    </w:lvl>
    <w:lvl w:ilvl="1" w:tplc="9DC60F62">
      <w:start w:val="1"/>
      <w:numFmt w:val="bullet"/>
      <w:lvlText w:val=""/>
      <w:lvlJc w:val="left"/>
      <w:pPr>
        <w:tabs>
          <w:tab w:val="num" w:pos="1800"/>
        </w:tabs>
        <w:ind w:left="1800" w:hanging="360"/>
      </w:pPr>
      <w:rPr>
        <w:rFonts w:ascii="Symbol" w:hAnsi="Symbol" w:hint="default"/>
        <w:b w:val="0"/>
        <w:i w:val="0"/>
        <w:color w:val="auto"/>
        <w:sz w:val="20"/>
      </w:rPr>
    </w:lvl>
    <w:lvl w:ilvl="2" w:tplc="F8E04D7E">
      <w:start w:val="3"/>
      <w:numFmt w:val="upperLetter"/>
      <w:lvlText w:val="%3."/>
      <w:lvlJc w:val="left"/>
      <w:pPr>
        <w:tabs>
          <w:tab w:val="num" w:pos="2700"/>
        </w:tabs>
        <w:ind w:left="2700" w:hanging="360"/>
      </w:pPr>
      <w:rPr>
        <w:b/>
        <w:i w:val="0"/>
        <w:color w:val="auto"/>
        <w:sz w:val="22"/>
        <w:szCs w:val="22"/>
      </w:rPr>
    </w:lvl>
    <w:lvl w:ilvl="3" w:tplc="000F0409">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20" w15:restartNumberingAfterBreak="0">
    <w:nsid w:val="557241FC"/>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1" w15:restartNumberingAfterBreak="0">
    <w:nsid w:val="55961626"/>
    <w:multiLevelType w:val="multilevel"/>
    <w:tmpl w:val="0D76C5BA"/>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bullet"/>
      <w:lvlText w:val=""/>
      <w:lvlJc w:val="left"/>
      <w:pPr>
        <w:ind w:left="1368" w:hanging="360"/>
      </w:pPr>
      <w:rPr>
        <w:rFonts w:ascii="Symbol" w:hAnsi="Symbol" w:hint="default"/>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22" w15:restartNumberingAfterBreak="0">
    <w:nsid w:val="55A31EA9"/>
    <w:multiLevelType w:val="hybridMultilevel"/>
    <w:tmpl w:val="A28C3BFE"/>
    <w:lvl w:ilvl="0" w:tplc="FFFFFFFF">
      <w:start w:val="1"/>
      <w:numFmt w:val="upperLetter"/>
      <w:lvlText w:val="%1."/>
      <w:lvlJc w:val="left"/>
      <w:pPr>
        <w:ind w:left="1080" w:hanging="360"/>
      </w:pPr>
      <w:rPr>
        <w:b/>
        <w:i w:val="0"/>
        <w:color w:val="auto"/>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rPr>
        <w:b/>
        <w:bCs/>
      </w:r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23" w15:restartNumberingAfterBreak="0">
    <w:nsid w:val="55B70471"/>
    <w:multiLevelType w:val="hybridMultilevel"/>
    <w:tmpl w:val="C51E9FDE"/>
    <w:lvl w:ilvl="0" w:tplc="721C1A12">
      <w:start w:val="5"/>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24" w15:restartNumberingAfterBreak="0">
    <w:nsid w:val="55B84DF4"/>
    <w:multiLevelType w:val="hybridMultilevel"/>
    <w:tmpl w:val="82DA479C"/>
    <w:lvl w:ilvl="0" w:tplc="FFFFFFFF">
      <w:start w:val="1"/>
      <w:numFmt w:val="bullet"/>
      <w:lvlText w:val=""/>
      <w:lvlJc w:val="left"/>
      <w:pPr>
        <w:ind w:left="1125" w:hanging="360"/>
      </w:pPr>
      <w:rPr>
        <w:rFonts w:ascii="Symbol" w:hAnsi="Symbol" w:hint="default"/>
      </w:rPr>
    </w:lvl>
    <w:lvl w:ilvl="1" w:tplc="2D7C5232">
      <w:start w:val="1"/>
      <w:numFmt w:val="bullet"/>
      <w:lvlText w:val=""/>
      <w:lvlJc w:val="left"/>
      <w:pPr>
        <w:ind w:left="1440" w:hanging="360"/>
      </w:pPr>
      <w:rPr>
        <w:rFonts w:ascii="Symbol" w:hAnsi="Symbol" w:hint="default"/>
        <w:b w:val="0"/>
        <w:i w:val="0"/>
        <w:color w:val="auto"/>
        <w:sz w:val="22"/>
      </w:rPr>
    </w:lvl>
    <w:lvl w:ilvl="2" w:tplc="FFFFFFFF" w:tentative="1">
      <w:start w:val="1"/>
      <w:numFmt w:val="bullet"/>
      <w:lvlText w:val=""/>
      <w:lvlJc w:val="left"/>
      <w:pPr>
        <w:ind w:left="2565" w:hanging="360"/>
      </w:pPr>
      <w:rPr>
        <w:rFonts w:ascii="Wingdings" w:hAnsi="Wingdings" w:hint="default"/>
      </w:rPr>
    </w:lvl>
    <w:lvl w:ilvl="3" w:tplc="FFFFFFFF" w:tentative="1">
      <w:start w:val="1"/>
      <w:numFmt w:val="bullet"/>
      <w:lvlText w:val=""/>
      <w:lvlJc w:val="left"/>
      <w:pPr>
        <w:ind w:left="3285" w:hanging="360"/>
      </w:pPr>
      <w:rPr>
        <w:rFonts w:ascii="Symbol" w:hAnsi="Symbol" w:hint="default"/>
      </w:rPr>
    </w:lvl>
    <w:lvl w:ilvl="4" w:tplc="FFFFFFFF" w:tentative="1">
      <w:start w:val="1"/>
      <w:numFmt w:val="bullet"/>
      <w:lvlText w:val="o"/>
      <w:lvlJc w:val="left"/>
      <w:pPr>
        <w:ind w:left="4005" w:hanging="360"/>
      </w:pPr>
      <w:rPr>
        <w:rFonts w:ascii="Courier New" w:hAnsi="Courier New" w:cs="Courier New" w:hint="default"/>
      </w:rPr>
    </w:lvl>
    <w:lvl w:ilvl="5" w:tplc="FFFFFFFF" w:tentative="1">
      <w:start w:val="1"/>
      <w:numFmt w:val="bullet"/>
      <w:lvlText w:val=""/>
      <w:lvlJc w:val="left"/>
      <w:pPr>
        <w:ind w:left="4725" w:hanging="360"/>
      </w:pPr>
      <w:rPr>
        <w:rFonts w:ascii="Wingdings" w:hAnsi="Wingdings" w:hint="default"/>
      </w:rPr>
    </w:lvl>
    <w:lvl w:ilvl="6" w:tplc="FFFFFFFF" w:tentative="1">
      <w:start w:val="1"/>
      <w:numFmt w:val="bullet"/>
      <w:lvlText w:val=""/>
      <w:lvlJc w:val="left"/>
      <w:pPr>
        <w:ind w:left="5445" w:hanging="360"/>
      </w:pPr>
      <w:rPr>
        <w:rFonts w:ascii="Symbol" w:hAnsi="Symbol" w:hint="default"/>
      </w:rPr>
    </w:lvl>
    <w:lvl w:ilvl="7" w:tplc="FFFFFFFF" w:tentative="1">
      <w:start w:val="1"/>
      <w:numFmt w:val="bullet"/>
      <w:lvlText w:val="o"/>
      <w:lvlJc w:val="left"/>
      <w:pPr>
        <w:ind w:left="6165" w:hanging="360"/>
      </w:pPr>
      <w:rPr>
        <w:rFonts w:ascii="Courier New" w:hAnsi="Courier New" w:cs="Courier New" w:hint="default"/>
      </w:rPr>
    </w:lvl>
    <w:lvl w:ilvl="8" w:tplc="FFFFFFFF" w:tentative="1">
      <w:start w:val="1"/>
      <w:numFmt w:val="bullet"/>
      <w:lvlText w:val=""/>
      <w:lvlJc w:val="left"/>
      <w:pPr>
        <w:ind w:left="6885" w:hanging="360"/>
      </w:pPr>
      <w:rPr>
        <w:rFonts w:ascii="Wingdings" w:hAnsi="Wingdings" w:hint="default"/>
      </w:rPr>
    </w:lvl>
  </w:abstractNum>
  <w:abstractNum w:abstractNumId="325" w15:restartNumberingAfterBreak="0">
    <w:nsid w:val="55D76FA7"/>
    <w:multiLevelType w:val="hybridMultilevel"/>
    <w:tmpl w:val="C9787472"/>
    <w:lvl w:ilvl="0" w:tplc="FFFFFFFF">
      <w:start w:val="1"/>
      <w:numFmt w:val="upperLetter"/>
      <w:lvlText w:val="%1."/>
      <w:lvlJc w:val="left"/>
      <w:pPr>
        <w:ind w:left="792" w:hanging="360"/>
      </w:pPr>
      <w:rPr>
        <w:b/>
        <w:i w:val="0"/>
        <w:color w:val="auto"/>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6" w15:restartNumberingAfterBreak="0">
    <w:nsid w:val="56333180"/>
    <w:multiLevelType w:val="hybridMultilevel"/>
    <w:tmpl w:val="164CD4E6"/>
    <w:lvl w:ilvl="0" w:tplc="BB5273E0">
      <w:start w:val="1"/>
      <w:numFmt w:val="bullet"/>
      <w:lvlText w:val=""/>
      <w:lvlJc w:val="left"/>
      <w:pPr>
        <w:tabs>
          <w:tab w:val="num" w:pos="720"/>
        </w:tabs>
        <w:ind w:left="72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1AACCB6">
      <w:start w:val="1"/>
      <w:numFmt w:val="bullet"/>
      <w:lvlText w:val=""/>
      <w:lvlJc w:val="left"/>
      <w:pPr>
        <w:tabs>
          <w:tab w:val="num" w:pos="2160"/>
        </w:tabs>
        <w:ind w:left="2160" w:hanging="360"/>
      </w:pPr>
      <w:rPr>
        <w:rFonts w:ascii="Symbol" w:hAnsi="Symbol" w:hint="default"/>
        <w:b w:val="0"/>
        <w:i w:val="0"/>
        <w:color w:val="auto"/>
        <w:sz w:val="20"/>
      </w:rPr>
    </w:lvl>
    <w:lvl w:ilvl="3" w:tplc="00010409">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27" w15:restartNumberingAfterBreak="0">
    <w:nsid w:val="563869C9"/>
    <w:multiLevelType w:val="hybridMultilevel"/>
    <w:tmpl w:val="F342AE0A"/>
    <w:lvl w:ilvl="0" w:tplc="04090015">
      <w:start w:val="1"/>
      <w:numFmt w:val="upperLetter"/>
      <w:lvlText w:val="%1."/>
      <w:lvlJc w:val="left"/>
      <w:pPr>
        <w:ind w:left="720" w:hanging="360"/>
      </w:p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8" w15:restartNumberingAfterBreak="0">
    <w:nsid w:val="5653643D"/>
    <w:multiLevelType w:val="hybridMultilevel"/>
    <w:tmpl w:val="A1B88732"/>
    <w:lvl w:ilvl="0" w:tplc="9FB0CE48">
      <w:start w:val="1"/>
      <w:numFmt w:val="decimal"/>
      <w:lvlText w:val="%1."/>
      <w:lvlJc w:val="left"/>
      <w:pPr>
        <w:ind w:left="720" w:hanging="360"/>
      </w:pPr>
      <w:rPr>
        <w:b/>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9" w15:restartNumberingAfterBreak="0">
    <w:nsid w:val="566B21BE"/>
    <w:multiLevelType w:val="hybridMultilevel"/>
    <w:tmpl w:val="81E6DA2C"/>
    <w:lvl w:ilvl="0" w:tplc="6A6C1A62">
      <w:start w:val="1"/>
      <w:numFmt w:val="decimal"/>
      <w:lvlText w:val="%1."/>
      <w:lvlJc w:val="left"/>
      <w:pPr>
        <w:ind w:left="1440" w:hanging="360"/>
      </w:pPr>
      <w:rPr>
        <w:b/>
      </w:rPr>
    </w:lvl>
    <w:lvl w:ilvl="1" w:tplc="00190409">
      <w:start w:val="1"/>
      <w:numFmt w:val="lowerLetter"/>
      <w:lvlText w:val="%2."/>
      <w:lvlJc w:val="left"/>
      <w:pPr>
        <w:ind w:left="2160" w:hanging="360"/>
      </w:pPr>
    </w:lvl>
    <w:lvl w:ilvl="2" w:tplc="001B0409">
      <w:start w:val="1"/>
      <w:numFmt w:val="lowerRoman"/>
      <w:lvlText w:val="%3."/>
      <w:lvlJc w:val="right"/>
      <w:pPr>
        <w:ind w:left="2880" w:hanging="180"/>
      </w:pPr>
    </w:lvl>
    <w:lvl w:ilvl="3" w:tplc="000F0409">
      <w:start w:val="1"/>
      <w:numFmt w:val="decimal"/>
      <w:lvlText w:val="%4."/>
      <w:lvlJc w:val="left"/>
      <w:pPr>
        <w:ind w:left="3600" w:hanging="360"/>
      </w:pPr>
    </w:lvl>
    <w:lvl w:ilvl="4" w:tplc="00190409">
      <w:start w:val="1"/>
      <w:numFmt w:val="lowerLetter"/>
      <w:lvlText w:val="%5."/>
      <w:lvlJc w:val="left"/>
      <w:pPr>
        <w:ind w:left="4320" w:hanging="360"/>
      </w:pPr>
    </w:lvl>
    <w:lvl w:ilvl="5" w:tplc="001B0409">
      <w:start w:val="1"/>
      <w:numFmt w:val="lowerRoman"/>
      <w:lvlText w:val="%6."/>
      <w:lvlJc w:val="right"/>
      <w:pPr>
        <w:ind w:left="5040" w:hanging="180"/>
      </w:pPr>
    </w:lvl>
    <w:lvl w:ilvl="6" w:tplc="000F0409">
      <w:start w:val="1"/>
      <w:numFmt w:val="decimal"/>
      <w:lvlText w:val="%7."/>
      <w:lvlJc w:val="left"/>
      <w:pPr>
        <w:ind w:left="5760" w:hanging="360"/>
      </w:pPr>
    </w:lvl>
    <w:lvl w:ilvl="7" w:tplc="00190409">
      <w:start w:val="1"/>
      <w:numFmt w:val="lowerLetter"/>
      <w:lvlText w:val="%8."/>
      <w:lvlJc w:val="left"/>
      <w:pPr>
        <w:ind w:left="6480" w:hanging="360"/>
      </w:pPr>
    </w:lvl>
    <w:lvl w:ilvl="8" w:tplc="001B0409">
      <w:start w:val="1"/>
      <w:numFmt w:val="lowerRoman"/>
      <w:lvlText w:val="%9."/>
      <w:lvlJc w:val="right"/>
      <w:pPr>
        <w:ind w:left="7200" w:hanging="180"/>
      </w:pPr>
    </w:lvl>
  </w:abstractNum>
  <w:abstractNum w:abstractNumId="330" w15:restartNumberingAfterBreak="0">
    <w:nsid w:val="569311F4"/>
    <w:multiLevelType w:val="hybridMultilevel"/>
    <w:tmpl w:val="051A02F0"/>
    <w:lvl w:ilvl="0" w:tplc="69BC049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1" w15:restartNumberingAfterBreak="0">
    <w:nsid w:val="56A115D2"/>
    <w:multiLevelType w:val="hybridMultilevel"/>
    <w:tmpl w:val="899E0B86"/>
    <w:lvl w:ilvl="0" w:tplc="5B408374">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32" w15:restartNumberingAfterBreak="0">
    <w:nsid w:val="56CF7CFC"/>
    <w:multiLevelType w:val="hybridMultilevel"/>
    <w:tmpl w:val="B100F220"/>
    <w:lvl w:ilvl="0" w:tplc="A288E958">
      <w:start w:val="1"/>
      <w:numFmt w:val="upperLetter"/>
      <w:lvlText w:val="%1."/>
      <w:lvlJc w:val="left"/>
      <w:pPr>
        <w:ind w:left="3960" w:hanging="360"/>
      </w:pPr>
      <w:rPr>
        <w:b/>
        <w:i w:val="0"/>
        <w:color w:val="auto"/>
        <w:sz w:val="22"/>
        <w:szCs w:val="22"/>
      </w:rPr>
    </w:lvl>
    <w:lvl w:ilvl="1" w:tplc="00190409" w:tentative="1">
      <w:start w:val="1"/>
      <w:numFmt w:val="lowerLetter"/>
      <w:lvlText w:val="%2."/>
      <w:lvlJc w:val="left"/>
      <w:pPr>
        <w:ind w:left="3240" w:hanging="360"/>
      </w:pPr>
    </w:lvl>
    <w:lvl w:ilvl="2" w:tplc="001B0409" w:tentative="1">
      <w:start w:val="1"/>
      <w:numFmt w:val="lowerRoman"/>
      <w:lvlText w:val="%3."/>
      <w:lvlJc w:val="right"/>
      <w:pPr>
        <w:ind w:left="3960" w:hanging="180"/>
      </w:pPr>
    </w:lvl>
    <w:lvl w:ilvl="3" w:tplc="000F0409" w:tentative="1">
      <w:start w:val="1"/>
      <w:numFmt w:val="decimal"/>
      <w:lvlText w:val="%4."/>
      <w:lvlJc w:val="left"/>
      <w:pPr>
        <w:ind w:left="4680" w:hanging="360"/>
      </w:pPr>
    </w:lvl>
    <w:lvl w:ilvl="4" w:tplc="00190409" w:tentative="1">
      <w:start w:val="1"/>
      <w:numFmt w:val="lowerLetter"/>
      <w:lvlText w:val="%5."/>
      <w:lvlJc w:val="left"/>
      <w:pPr>
        <w:ind w:left="5400" w:hanging="360"/>
      </w:pPr>
    </w:lvl>
    <w:lvl w:ilvl="5" w:tplc="001B0409" w:tentative="1">
      <w:start w:val="1"/>
      <w:numFmt w:val="lowerRoman"/>
      <w:lvlText w:val="%6."/>
      <w:lvlJc w:val="right"/>
      <w:pPr>
        <w:ind w:left="6120" w:hanging="180"/>
      </w:pPr>
    </w:lvl>
    <w:lvl w:ilvl="6" w:tplc="000F0409" w:tentative="1">
      <w:start w:val="1"/>
      <w:numFmt w:val="decimal"/>
      <w:lvlText w:val="%7."/>
      <w:lvlJc w:val="left"/>
      <w:pPr>
        <w:ind w:left="6840" w:hanging="360"/>
      </w:pPr>
    </w:lvl>
    <w:lvl w:ilvl="7" w:tplc="00190409" w:tentative="1">
      <w:start w:val="1"/>
      <w:numFmt w:val="lowerLetter"/>
      <w:lvlText w:val="%8."/>
      <w:lvlJc w:val="left"/>
      <w:pPr>
        <w:ind w:left="7560" w:hanging="360"/>
      </w:pPr>
    </w:lvl>
    <w:lvl w:ilvl="8" w:tplc="001B0409" w:tentative="1">
      <w:start w:val="1"/>
      <w:numFmt w:val="lowerRoman"/>
      <w:lvlText w:val="%9."/>
      <w:lvlJc w:val="right"/>
      <w:pPr>
        <w:ind w:left="8280" w:hanging="180"/>
      </w:pPr>
    </w:lvl>
  </w:abstractNum>
  <w:abstractNum w:abstractNumId="333" w15:restartNumberingAfterBreak="0">
    <w:nsid w:val="57010245"/>
    <w:multiLevelType w:val="multilevel"/>
    <w:tmpl w:val="F21CD240"/>
    <w:lvl w:ilvl="0">
      <w:start w:val="1"/>
      <w:numFmt w:val="upperLetter"/>
      <w:lvlText w:val="%1."/>
      <w:lvlJc w:val="left"/>
      <w:pPr>
        <w:tabs>
          <w:tab w:val="num" w:pos="288"/>
        </w:tabs>
        <w:ind w:left="1224" w:hanging="1224"/>
      </w:pPr>
      <w:rPr>
        <w:b w:val="0"/>
        <w:i w:val="0"/>
      </w:rPr>
    </w:lvl>
    <w:lvl w:ilvl="1">
      <w:start w:val="1"/>
      <w:numFmt w:val="upperLetter"/>
      <w:lvlText w:val="%2."/>
      <w:lvlJc w:val="left"/>
      <w:pPr>
        <w:tabs>
          <w:tab w:val="num" w:pos="720"/>
        </w:tabs>
        <w:ind w:left="720" w:hanging="432"/>
      </w:pPr>
      <w:rPr>
        <w:b w:val="0"/>
        <w:i w:val="0"/>
        <w:color w:val="auto"/>
        <w:sz w:val="24"/>
      </w:rPr>
    </w:lvl>
    <w:lvl w:ilvl="2">
      <w:start w:val="1"/>
      <w:numFmt w:val="decimal"/>
      <w:lvlText w:val="%3."/>
      <w:lvlJc w:val="left"/>
      <w:pPr>
        <w:ind w:left="1080" w:hanging="360"/>
      </w:pPr>
      <w:rPr>
        <w:b/>
        <w:i w:val="0"/>
      </w:rPr>
    </w:lvl>
    <w:lvl w:ilvl="3">
      <w:start w:val="1"/>
      <w:numFmt w:val="lowerLetter"/>
      <w:lvlText w:val="%4)"/>
      <w:lvlJc w:val="left"/>
      <w:pPr>
        <w:tabs>
          <w:tab w:val="num" w:pos="1368"/>
        </w:tabs>
        <w:ind w:left="1368" w:hanging="360"/>
      </w:pPr>
      <w:rPr>
        <w:b w:val="0"/>
        <w:i w:val="0"/>
        <w:color w:val="auto"/>
        <w:sz w:val="24"/>
      </w:r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34" w15:restartNumberingAfterBreak="0">
    <w:nsid w:val="574B25CF"/>
    <w:multiLevelType w:val="hybridMultilevel"/>
    <w:tmpl w:val="BEA0BBD6"/>
    <w:lvl w:ilvl="0" w:tplc="A448DB86">
      <w:start w:val="1"/>
      <w:numFmt w:val="bullet"/>
      <w:lvlText w:val=""/>
      <w:lvlJc w:val="left"/>
      <w:pPr>
        <w:tabs>
          <w:tab w:val="num" w:pos="1800"/>
        </w:tabs>
        <w:ind w:left="1800" w:hanging="360"/>
      </w:pPr>
      <w:rPr>
        <w:rFonts w:ascii="Symbol" w:hAnsi="Symbol" w:hint="default"/>
        <w:b w:val="0"/>
        <w:i w:val="0"/>
        <w:color w:val="auto"/>
        <w:sz w:val="22"/>
      </w:rPr>
    </w:lvl>
    <w:lvl w:ilvl="1" w:tplc="00190409">
      <w:start w:val="1"/>
      <w:numFmt w:val="lowerLetter"/>
      <w:lvlText w:val="%2."/>
      <w:lvlJc w:val="left"/>
      <w:pPr>
        <w:tabs>
          <w:tab w:val="num" w:pos="900"/>
        </w:tabs>
        <w:ind w:left="900" w:hanging="360"/>
      </w:pPr>
    </w:lvl>
    <w:lvl w:ilvl="2" w:tplc="001B0409">
      <w:start w:val="1"/>
      <w:numFmt w:val="lowerRoman"/>
      <w:lvlText w:val="%3."/>
      <w:lvlJc w:val="right"/>
      <w:pPr>
        <w:tabs>
          <w:tab w:val="num" w:pos="1620"/>
        </w:tabs>
        <w:ind w:left="1620" w:hanging="180"/>
      </w:pPr>
    </w:lvl>
    <w:lvl w:ilvl="3" w:tplc="000F0409">
      <w:start w:val="1"/>
      <w:numFmt w:val="decimal"/>
      <w:lvlText w:val="%4."/>
      <w:lvlJc w:val="left"/>
      <w:pPr>
        <w:tabs>
          <w:tab w:val="num" w:pos="2340"/>
        </w:tabs>
        <w:ind w:left="2340" w:hanging="360"/>
      </w:pPr>
    </w:lvl>
    <w:lvl w:ilvl="4" w:tplc="00190409">
      <w:start w:val="1"/>
      <w:numFmt w:val="lowerLetter"/>
      <w:lvlText w:val="%5."/>
      <w:lvlJc w:val="left"/>
      <w:pPr>
        <w:tabs>
          <w:tab w:val="num" w:pos="3060"/>
        </w:tabs>
        <w:ind w:left="3060" w:hanging="360"/>
      </w:pPr>
    </w:lvl>
    <w:lvl w:ilvl="5" w:tplc="001B0409">
      <w:start w:val="1"/>
      <w:numFmt w:val="lowerRoman"/>
      <w:lvlText w:val="%6."/>
      <w:lvlJc w:val="right"/>
      <w:pPr>
        <w:tabs>
          <w:tab w:val="num" w:pos="3780"/>
        </w:tabs>
        <w:ind w:left="3780" w:hanging="180"/>
      </w:pPr>
    </w:lvl>
    <w:lvl w:ilvl="6" w:tplc="000F0409">
      <w:start w:val="1"/>
      <w:numFmt w:val="decimal"/>
      <w:lvlText w:val="%7."/>
      <w:lvlJc w:val="left"/>
      <w:pPr>
        <w:tabs>
          <w:tab w:val="num" w:pos="4500"/>
        </w:tabs>
        <w:ind w:left="4500" w:hanging="360"/>
      </w:pPr>
    </w:lvl>
    <w:lvl w:ilvl="7" w:tplc="00190409">
      <w:start w:val="1"/>
      <w:numFmt w:val="lowerLetter"/>
      <w:lvlText w:val="%8."/>
      <w:lvlJc w:val="left"/>
      <w:pPr>
        <w:tabs>
          <w:tab w:val="num" w:pos="5220"/>
        </w:tabs>
        <w:ind w:left="5220" w:hanging="360"/>
      </w:pPr>
    </w:lvl>
    <w:lvl w:ilvl="8" w:tplc="001B0409">
      <w:start w:val="1"/>
      <w:numFmt w:val="lowerRoman"/>
      <w:lvlText w:val="%9."/>
      <w:lvlJc w:val="right"/>
      <w:pPr>
        <w:tabs>
          <w:tab w:val="num" w:pos="5940"/>
        </w:tabs>
        <w:ind w:left="5940" w:hanging="180"/>
      </w:pPr>
    </w:lvl>
  </w:abstractNum>
  <w:abstractNum w:abstractNumId="335" w15:restartNumberingAfterBreak="0">
    <w:nsid w:val="57801EB7"/>
    <w:multiLevelType w:val="hybridMultilevel"/>
    <w:tmpl w:val="0CD6E70A"/>
    <w:lvl w:ilvl="0" w:tplc="F6E43CAA">
      <w:start w:val="1"/>
      <w:numFmt w:val="upperLetter"/>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36" w15:restartNumberingAfterBreak="0">
    <w:nsid w:val="58C252DA"/>
    <w:multiLevelType w:val="hybridMultilevel"/>
    <w:tmpl w:val="6B7256DC"/>
    <w:lvl w:ilvl="0" w:tplc="B84C613C">
      <w:start w:val="1"/>
      <w:numFmt w:val="bullet"/>
      <w:lvlText w:val=""/>
      <w:lvlJc w:val="left"/>
      <w:pPr>
        <w:tabs>
          <w:tab w:val="num" w:pos="3902"/>
        </w:tabs>
        <w:ind w:left="3902"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37" w15:restartNumberingAfterBreak="0">
    <w:nsid w:val="58E22518"/>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38" w15:restartNumberingAfterBreak="0">
    <w:nsid w:val="5990267D"/>
    <w:multiLevelType w:val="multilevel"/>
    <w:tmpl w:val="D018D130"/>
    <w:lvl w:ilvl="0">
      <w:start w:val="3"/>
      <w:numFmt w:val="decimal"/>
      <w:lvlText w:val="%1."/>
      <w:lvlJc w:val="left"/>
      <w:pPr>
        <w:tabs>
          <w:tab w:val="num" w:pos="360"/>
        </w:tabs>
        <w:ind w:left="360" w:hanging="360"/>
      </w:pPr>
      <w:rPr>
        <w:b/>
        <w:i w:val="0"/>
      </w:rPr>
    </w:lvl>
    <w:lvl w:ilvl="1">
      <w:start w:val="2"/>
      <w:numFmt w:val="upperLetter"/>
      <w:lvlText w:val="%2."/>
      <w:lvlJc w:val="left"/>
      <w:pPr>
        <w:tabs>
          <w:tab w:val="num" w:pos="720"/>
        </w:tabs>
        <w:ind w:left="720" w:hanging="432"/>
      </w:pPr>
      <w:rPr>
        <w:b/>
        <w:i w:val="0"/>
      </w:rPr>
    </w:lvl>
    <w:lvl w:ilvl="2">
      <w:start w:val="1"/>
      <w:numFmt w:val="decimal"/>
      <w:lvlText w:val="%3."/>
      <w:lvlJc w:val="left"/>
      <w:pPr>
        <w:tabs>
          <w:tab w:val="num" w:pos="1080"/>
        </w:tabs>
        <w:ind w:left="1080" w:hanging="360"/>
      </w:pPr>
      <w:rPr>
        <w:b w:val="0"/>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39" w15:restartNumberingAfterBreak="0">
    <w:nsid w:val="5A721B50"/>
    <w:multiLevelType w:val="multilevel"/>
    <w:tmpl w:val="C9E00C64"/>
    <w:lvl w:ilvl="0">
      <w:start w:val="3"/>
      <w:numFmt w:val="decimal"/>
      <w:lvlText w:val="%1."/>
      <w:lvlJc w:val="left"/>
      <w:pPr>
        <w:tabs>
          <w:tab w:val="num" w:pos="360"/>
        </w:tabs>
        <w:ind w:left="360" w:hanging="360"/>
      </w:pPr>
      <w:rPr>
        <w:b/>
      </w:rPr>
    </w:lvl>
    <w:lvl w:ilvl="1">
      <w:start w:val="2"/>
      <w:numFmt w:val="decimal"/>
      <w:lvlText w:val="%2."/>
      <w:lvlJc w:val="left"/>
      <w:pPr>
        <w:tabs>
          <w:tab w:val="num" w:pos="792"/>
        </w:tabs>
        <w:ind w:left="792" w:hanging="432"/>
      </w:pPr>
      <w:rPr>
        <w:b/>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40" w15:restartNumberingAfterBreak="0">
    <w:nsid w:val="5A793067"/>
    <w:multiLevelType w:val="hybridMultilevel"/>
    <w:tmpl w:val="FACE60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1" w15:restartNumberingAfterBreak="0">
    <w:nsid w:val="5A901B0B"/>
    <w:multiLevelType w:val="hybridMultilevel"/>
    <w:tmpl w:val="4F4A4D06"/>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42" w15:restartNumberingAfterBreak="0">
    <w:nsid w:val="5AC61BAD"/>
    <w:multiLevelType w:val="multilevel"/>
    <w:tmpl w:val="F6FE0142"/>
    <w:lvl w:ilvl="0">
      <w:start w:val="3"/>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bCs/>
        <w:i w:val="0"/>
        <w:color w:val="auto"/>
        <w:sz w:val="22"/>
        <w:szCs w:val="20"/>
      </w:rPr>
    </w:lvl>
    <w:lvl w:ilvl="2">
      <w:start w:val="2"/>
      <w:numFmt w:val="upperLetter"/>
      <w:lvlText w:val="%3."/>
      <w:lvlJc w:val="left"/>
      <w:pPr>
        <w:tabs>
          <w:tab w:val="num" w:pos="1008"/>
        </w:tabs>
        <w:ind w:left="1008" w:hanging="288"/>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43" w15:restartNumberingAfterBreak="0">
    <w:nsid w:val="5ACD43BE"/>
    <w:multiLevelType w:val="hybridMultilevel"/>
    <w:tmpl w:val="FEF82F9A"/>
    <w:lvl w:ilvl="0" w:tplc="C056643C">
      <w:start w:val="1"/>
      <w:numFmt w:val="bullet"/>
      <w:lvlText w:val=""/>
      <w:lvlJc w:val="left"/>
      <w:pPr>
        <w:tabs>
          <w:tab w:val="num" w:pos="1440"/>
        </w:tabs>
        <w:ind w:left="144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Arial"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Arial"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Arial"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44" w15:restartNumberingAfterBreak="0">
    <w:nsid w:val="5AF64CC1"/>
    <w:multiLevelType w:val="hybridMultilevel"/>
    <w:tmpl w:val="7BE81018"/>
    <w:lvl w:ilvl="0" w:tplc="93521EE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5" w15:restartNumberingAfterBreak="0">
    <w:nsid w:val="5C5E5BF1"/>
    <w:multiLevelType w:val="hybridMultilevel"/>
    <w:tmpl w:val="270697D6"/>
    <w:lvl w:ilvl="0" w:tplc="1B1E20C8">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95CE7C0E">
      <w:start w:val="1"/>
      <w:numFmt w:val="decimal"/>
      <w:lvlText w:val="%4."/>
      <w:lvlJc w:val="left"/>
      <w:pPr>
        <w:tabs>
          <w:tab w:val="num" w:pos="2880"/>
        </w:tabs>
        <w:ind w:left="2880" w:hanging="360"/>
      </w:pPr>
      <w:rPr>
        <w:b/>
        <w:i w:val="0"/>
        <w:color w:val="auto"/>
        <w:sz w:val="22"/>
        <w:szCs w:val="22"/>
      </w:rPr>
    </w:lvl>
    <w:lvl w:ilvl="4" w:tplc="00190409">
      <w:start w:val="1"/>
      <w:numFmt w:val="lowerLetter"/>
      <w:lvlText w:val="%5."/>
      <w:lvlJc w:val="left"/>
      <w:pPr>
        <w:ind w:left="3600" w:hanging="360"/>
      </w:pPr>
    </w:lvl>
    <w:lvl w:ilvl="5" w:tplc="001B0409">
      <w:start w:val="1"/>
      <w:numFmt w:val="lowerRoman"/>
      <w:lvlText w:val="%6."/>
      <w:lvlJc w:val="right"/>
      <w:pPr>
        <w:ind w:left="4320" w:hanging="180"/>
      </w:pPr>
    </w:lvl>
    <w:lvl w:ilvl="6" w:tplc="CE20615E">
      <w:start w:val="45"/>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46" w15:restartNumberingAfterBreak="0">
    <w:nsid w:val="5CDE0AB1"/>
    <w:multiLevelType w:val="hybridMultilevel"/>
    <w:tmpl w:val="CFAE02EE"/>
    <w:lvl w:ilvl="0" w:tplc="04090005">
      <w:start w:val="1"/>
      <w:numFmt w:val="bullet"/>
      <w:lvlText w:val=""/>
      <w:lvlJc w:val="left"/>
      <w:pPr>
        <w:tabs>
          <w:tab w:val="num" w:pos="2347"/>
        </w:tabs>
        <w:ind w:left="2347" w:hanging="360"/>
      </w:pPr>
      <w:rPr>
        <w:rFonts w:ascii="Wingdings" w:hAnsi="Wingdings" w:hint="default"/>
        <w:b w:val="0"/>
        <w:i w:val="0"/>
        <w:color w:val="auto"/>
        <w:sz w:val="20"/>
      </w:rPr>
    </w:lvl>
    <w:lvl w:ilvl="1" w:tplc="FFFFFFFF">
      <w:start w:val="1"/>
      <w:numFmt w:val="bullet"/>
      <w:lvlText w:val="o"/>
      <w:lvlJc w:val="left"/>
      <w:pPr>
        <w:ind w:left="2707" w:hanging="360"/>
      </w:pPr>
      <w:rPr>
        <w:rFonts w:ascii="Courier New" w:hAnsi="Courier New" w:cs="Arial" w:hint="default"/>
      </w:rPr>
    </w:lvl>
    <w:lvl w:ilvl="2" w:tplc="FFFFFFFF">
      <w:start w:val="1"/>
      <w:numFmt w:val="bullet"/>
      <w:lvlText w:val=""/>
      <w:lvlJc w:val="left"/>
      <w:pPr>
        <w:ind w:left="3427" w:hanging="360"/>
      </w:pPr>
      <w:rPr>
        <w:rFonts w:ascii="Wingdings" w:hAnsi="Wingdings" w:hint="default"/>
      </w:rPr>
    </w:lvl>
    <w:lvl w:ilvl="3" w:tplc="FFFFFFFF">
      <w:start w:val="1"/>
      <w:numFmt w:val="bullet"/>
      <w:lvlText w:val=""/>
      <w:lvlJc w:val="left"/>
      <w:pPr>
        <w:ind w:left="4147" w:hanging="360"/>
      </w:pPr>
      <w:rPr>
        <w:rFonts w:ascii="Symbol" w:hAnsi="Symbol" w:hint="default"/>
      </w:rPr>
    </w:lvl>
    <w:lvl w:ilvl="4" w:tplc="FFFFFFFF">
      <w:start w:val="1"/>
      <w:numFmt w:val="bullet"/>
      <w:lvlText w:val="o"/>
      <w:lvlJc w:val="left"/>
      <w:pPr>
        <w:ind w:left="4867" w:hanging="360"/>
      </w:pPr>
      <w:rPr>
        <w:rFonts w:ascii="Courier New" w:hAnsi="Courier New" w:cs="Arial" w:hint="default"/>
      </w:rPr>
    </w:lvl>
    <w:lvl w:ilvl="5" w:tplc="FFFFFFFF">
      <w:start w:val="1"/>
      <w:numFmt w:val="bullet"/>
      <w:lvlText w:val=""/>
      <w:lvlJc w:val="left"/>
      <w:pPr>
        <w:ind w:left="5587" w:hanging="360"/>
      </w:pPr>
      <w:rPr>
        <w:rFonts w:ascii="Wingdings" w:hAnsi="Wingdings" w:hint="default"/>
      </w:rPr>
    </w:lvl>
    <w:lvl w:ilvl="6" w:tplc="FFFFFFFF">
      <w:start w:val="1"/>
      <w:numFmt w:val="bullet"/>
      <w:lvlText w:val=""/>
      <w:lvlJc w:val="left"/>
      <w:pPr>
        <w:ind w:left="6307" w:hanging="360"/>
      </w:pPr>
      <w:rPr>
        <w:rFonts w:ascii="Symbol" w:hAnsi="Symbol" w:hint="default"/>
      </w:rPr>
    </w:lvl>
    <w:lvl w:ilvl="7" w:tplc="FFFFFFFF">
      <w:start w:val="1"/>
      <w:numFmt w:val="bullet"/>
      <w:lvlText w:val="o"/>
      <w:lvlJc w:val="left"/>
      <w:pPr>
        <w:ind w:left="7027" w:hanging="360"/>
      </w:pPr>
      <w:rPr>
        <w:rFonts w:ascii="Courier New" w:hAnsi="Courier New" w:cs="Arial" w:hint="default"/>
      </w:rPr>
    </w:lvl>
    <w:lvl w:ilvl="8" w:tplc="FFFFFFFF">
      <w:start w:val="1"/>
      <w:numFmt w:val="bullet"/>
      <w:lvlText w:val=""/>
      <w:lvlJc w:val="left"/>
      <w:pPr>
        <w:ind w:left="7747" w:hanging="360"/>
      </w:pPr>
      <w:rPr>
        <w:rFonts w:ascii="Wingdings" w:hAnsi="Wingdings" w:hint="default"/>
      </w:rPr>
    </w:lvl>
  </w:abstractNum>
  <w:abstractNum w:abstractNumId="347" w15:restartNumberingAfterBreak="0">
    <w:nsid w:val="5D294494"/>
    <w:multiLevelType w:val="multilevel"/>
    <w:tmpl w:val="8CD424EE"/>
    <w:styleLink w:val="CurrentList1"/>
    <w:lvl w:ilvl="0">
      <w:start w:val="2"/>
      <w:numFmt w:val="upperLetter"/>
      <w:lvlText w:val="%1."/>
      <w:lvlJc w:val="left"/>
      <w:pPr>
        <w:tabs>
          <w:tab w:val="num" w:pos="720"/>
        </w:tabs>
        <w:ind w:left="720" w:hanging="360"/>
      </w:pPr>
      <w:rPr>
        <w:b/>
        <w:i w:val="0"/>
        <w:color w:val="auto"/>
        <w:sz w:val="22"/>
        <w:szCs w:val="22"/>
      </w:rPr>
    </w:lvl>
    <w:lvl w:ilvl="1">
      <w:start w:val="1"/>
      <w:numFmt w:val="lowerLetter"/>
      <w:lvlText w:val="%2."/>
      <w:lvlJc w:val="left"/>
      <w:pPr>
        <w:ind w:left="1152" w:hanging="360"/>
      </w:pPr>
    </w:lvl>
    <w:lvl w:ilvl="2">
      <w:start w:val="1"/>
      <w:numFmt w:val="lowerRoman"/>
      <w:lvlText w:val="%3."/>
      <w:lvlJc w:val="right"/>
      <w:pPr>
        <w:ind w:left="1872" w:hanging="180"/>
      </w:pPr>
    </w:lvl>
    <w:lvl w:ilvl="3">
      <w:start w:val="1"/>
      <w:numFmt w:val="decimal"/>
      <w:lvlText w:val="%4."/>
      <w:lvlJc w:val="left"/>
      <w:pPr>
        <w:ind w:left="2592" w:hanging="360"/>
      </w:pPr>
    </w:lvl>
    <w:lvl w:ilvl="4">
      <w:start w:val="1"/>
      <w:numFmt w:val="lowerLetter"/>
      <w:lvlText w:val="%5."/>
      <w:lvlJc w:val="left"/>
      <w:pPr>
        <w:ind w:left="3312" w:hanging="360"/>
      </w:pPr>
    </w:lvl>
    <w:lvl w:ilvl="5">
      <w:start w:val="1"/>
      <w:numFmt w:val="lowerRoman"/>
      <w:lvlText w:val="%6."/>
      <w:lvlJc w:val="right"/>
      <w:pPr>
        <w:ind w:left="4032" w:hanging="180"/>
      </w:pPr>
    </w:lvl>
    <w:lvl w:ilvl="6">
      <w:start w:val="1"/>
      <w:numFmt w:val="decimal"/>
      <w:lvlText w:val="%7."/>
      <w:lvlJc w:val="left"/>
      <w:pPr>
        <w:ind w:left="4752" w:hanging="360"/>
      </w:pPr>
    </w:lvl>
    <w:lvl w:ilvl="7">
      <w:start w:val="1"/>
      <w:numFmt w:val="lowerLetter"/>
      <w:lvlText w:val="%8."/>
      <w:lvlJc w:val="left"/>
      <w:pPr>
        <w:ind w:left="5472" w:hanging="360"/>
      </w:pPr>
    </w:lvl>
    <w:lvl w:ilvl="8">
      <w:start w:val="1"/>
      <w:numFmt w:val="lowerRoman"/>
      <w:lvlText w:val="%9."/>
      <w:lvlJc w:val="right"/>
      <w:pPr>
        <w:ind w:left="6192" w:hanging="180"/>
      </w:pPr>
    </w:lvl>
  </w:abstractNum>
  <w:abstractNum w:abstractNumId="348" w15:restartNumberingAfterBreak="0">
    <w:nsid w:val="5D9A1901"/>
    <w:multiLevelType w:val="hybridMultilevel"/>
    <w:tmpl w:val="E3D617B8"/>
    <w:lvl w:ilvl="0" w:tplc="4F9EF32A">
      <w:start w:val="1"/>
      <w:numFmt w:val="bullet"/>
      <w:lvlText w:val=""/>
      <w:lvlJc w:val="left"/>
      <w:pPr>
        <w:tabs>
          <w:tab w:val="num" w:pos="1080"/>
        </w:tabs>
        <w:ind w:left="1080" w:hanging="360"/>
      </w:pPr>
      <w:rPr>
        <w:rFonts w:ascii="Symbol" w:hAnsi="Symbol" w:hint="default"/>
        <w:b w:val="0"/>
        <w:i w:val="0"/>
        <w:color w:val="auto"/>
        <w:sz w:val="22"/>
        <w:szCs w:val="24"/>
      </w:rPr>
    </w:lvl>
    <w:lvl w:ilvl="1" w:tplc="00030409" w:tentative="1">
      <w:start w:val="1"/>
      <w:numFmt w:val="bullet"/>
      <w:lvlText w:val="o"/>
      <w:lvlJc w:val="left"/>
      <w:pPr>
        <w:ind w:left="-648" w:hanging="360"/>
      </w:pPr>
      <w:rPr>
        <w:rFonts w:ascii="Courier New" w:hAnsi="Courier New" w:hint="default"/>
      </w:rPr>
    </w:lvl>
    <w:lvl w:ilvl="2" w:tplc="00050409" w:tentative="1">
      <w:start w:val="1"/>
      <w:numFmt w:val="bullet"/>
      <w:lvlText w:val=""/>
      <w:lvlJc w:val="left"/>
      <w:pPr>
        <w:ind w:left="72" w:hanging="360"/>
      </w:pPr>
      <w:rPr>
        <w:rFonts w:ascii="Wingdings" w:hAnsi="Wingdings" w:hint="default"/>
      </w:rPr>
    </w:lvl>
    <w:lvl w:ilvl="3" w:tplc="00010409" w:tentative="1">
      <w:start w:val="1"/>
      <w:numFmt w:val="bullet"/>
      <w:lvlText w:val=""/>
      <w:lvlJc w:val="left"/>
      <w:pPr>
        <w:ind w:left="792" w:hanging="360"/>
      </w:pPr>
      <w:rPr>
        <w:rFonts w:ascii="Symbol" w:hAnsi="Symbol" w:hint="default"/>
      </w:rPr>
    </w:lvl>
    <w:lvl w:ilvl="4" w:tplc="00030409" w:tentative="1">
      <w:start w:val="1"/>
      <w:numFmt w:val="bullet"/>
      <w:lvlText w:val="o"/>
      <w:lvlJc w:val="left"/>
      <w:pPr>
        <w:ind w:left="1512" w:hanging="360"/>
      </w:pPr>
      <w:rPr>
        <w:rFonts w:ascii="Courier New" w:hAnsi="Courier New" w:hint="default"/>
      </w:rPr>
    </w:lvl>
    <w:lvl w:ilvl="5" w:tplc="00050409" w:tentative="1">
      <w:start w:val="1"/>
      <w:numFmt w:val="bullet"/>
      <w:lvlText w:val=""/>
      <w:lvlJc w:val="left"/>
      <w:pPr>
        <w:ind w:left="2232" w:hanging="360"/>
      </w:pPr>
      <w:rPr>
        <w:rFonts w:ascii="Wingdings" w:hAnsi="Wingdings" w:hint="default"/>
      </w:rPr>
    </w:lvl>
    <w:lvl w:ilvl="6" w:tplc="00010409" w:tentative="1">
      <w:start w:val="1"/>
      <w:numFmt w:val="bullet"/>
      <w:lvlText w:val=""/>
      <w:lvlJc w:val="left"/>
      <w:pPr>
        <w:ind w:left="2952" w:hanging="360"/>
      </w:pPr>
      <w:rPr>
        <w:rFonts w:ascii="Symbol" w:hAnsi="Symbol" w:hint="default"/>
      </w:rPr>
    </w:lvl>
    <w:lvl w:ilvl="7" w:tplc="00030409" w:tentative="1">
      <w:start w:val="1"/>
      <w:numFmt w:val="bullet"/>
      <w:lvlText w:val="o"/>
      <w:lvlJc w:val="left"/>
      <w:pPr>
        <w:ind w:left="3672" w:hanging="360"/>
      </w:pPr>
      <w:rPr>
        <w:rFonts w:ascii="Courier New" w:hAnsi="Courier New" w:hint="default"/>
      </w:rPr>
    </w:lvl>
    <w:lvl w:ilvl="8" w:tplc="00050409" w:tentative="1">
      <w:start w:val="1"/>
      <w:numFmt w:val="bullet"/>
      <w:lvlText w:val=""/>
      <w:lvlJc w:val="left"/>
      <w:pPr>
        <w:ind w:left="4392" w:hanging="360"/>
      </w:pPr>
      <w:rPr>
        <w:rFonts w:ascii="Wingdings" w:hAnsi="Wingdings" w:hint="default"/>
      </w:rPr>
    </w:lvl>
  </w:abstractNum>
  <w:abstractNum w:abstractNumId="349" w15:restartNumberingAfterBreak="0">
    <w:nsid w:val="5DAD72B4"/>
    <w:multiLevelType w:val="hybridMultilevel"/>
    <w:tmpl w:val="C04E2158"/>
    <w:lvl w:ilvl="0" w:tplc="A18AA262">
      <w:start w:val="4"/>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0" w15:restartNumberingAfterBreak="0">
    <w:nsid w:val="5DB525D3"/>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51" w15:restartNumberingAfterBreak="0">
    <w:nsid w:val="5DF96148"/>
    <w:multiLevelType w:val="hybridMultilevel"/>
    <w:tmpl w:val="A974355E"/>
    <w:lvl w:ilvl="0" w:tplc="7F0CC3B4">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tabs>
          <w:tab w:val="num" w:pos="0"/>
        </w:tabs>
        <w:ind w:left="0" w:hanging="360"/>
      </w:pPr>
      <w:rPr>
        <w:rFonts w:ascii="Courier New" w:hAnsi="Courier New" w:hint="default"/>
      </w:rPr>
    </w:lvl>
    <w:lvl w:ilvl="2" w:tplc="E4DC9426">
      <w:numFmt w:val="bullet"/>
      <w:lvlText w:val=""/>
      <w:lvlJc w:val="left"/>
      <w:pPr>
        <w:tabs>
          <w:tab w:val="num" w:pos="720"/>
        </w:tabs>
        <w:ind w:left="720" w:hanging="360"/>
      </w:pPr>
      <w:rPr>
        <w:rFonts w:ascii="Symbol" w:hAnsi="Symbol" w:hint="default"/>
        <w:b w:val="0"/>
        <w:i w:val="0"/>
        <w:color w:val="auto"/>
        <w:sz w:val="20"/>
      </w:rPr>
    </w:lvl>
    <w:lvl w:ilvl="3" w:tplc="00010409">
      <w:start w:val="1"/>
      <w:numFmt w:val="bullet"/>
      <w:lvlText w:val=""/>
      <w:lvlJc w:val="left"/>
      <w:pPr>
        <w:tabs>
          <w:tab w:val="num" w:pos="1440"/>
        </w:tabs>
        <w:ind w:left="1440" w:hanging="360"/>
      </w:pPr>
      <w:rPr>
        <w:rFonts w:ascii="Symbol" w:hAnsi="Symbol" w:hint="default"/>
      </w:rPr>
    </w:lvl>
    <w:lvl w:ilvl="4" w:tplc="00030409">
      <w:start w:val="1"/>
      <w:numFmt w:val="bullet"/>
      <w:lvlText w:val="o"/>
      <w:lvlJc w:val="left"/>
      <w:pPr>
        <w:tabs>
          <w:tab w:val="num" w:pos="2160"/>
        </w:tabs>
        <w:ind w:left="2160" w:hanging="360"/>
      </w:pPr>
      <w:rPr>
        <w:rFonts w:ascii="Courier New" w:hAnsi="Courier New" w:hint="default"/>
      </w:rPr>
    </w:lvl>
    <w:lvl w:ilvl="5" w:tplc="00050409" w:tentative="1">
      <w:start w:val="1"/>
      <w:numFmt w:val="bullet"/>
      <w:lvlText w:val=""/>
      <w:lvlJc w:val="left"/>
      <w:pPr>
        <w:tabs>
          <w:tab w:val="num" w:pos="2880"/>
        </w:tabs>
        <w:ind w:left="2880" w:hanging="360"/>
      </w:pPr>
      <w:rPr>
        <w:rFonts w:ascii="Wingdings" w:hAnsi="Wingdings" w:hint="default"/>
      </w:rPr>
    </w:lvl>
    <w:lvl w:ilvl="6" w:tplc="00010409" w:tentative="1">
      <w:start w:val="1"/>
      <w:numFmt w:val="bullet"/>
      <w:lvlText w:val=""/>
      <w:lvlJc w:val="left"/>
      <w:pPr>
        <w:tabs>
          <w:tab w:val="num" w:pos="3600"/>
        </w:tabs>
        <w:ind w:left="3600" w:hanging="360"/>
      </w:pPr>
      <w:rPr>
        <w:rFonts w:ascii="Symbol" w:hAnsi="Symbol" w:hint="default"/>
      </w:rPr>
    </w:lvl>
    <w:lvl w:ilvl="7" w:tplc="00030409" w:tentative="1">
      <w:start w:val="1"/>
      <w:numFmt w:val="bullet"/>
      <w:lvlText w:val="o"/>
      <w:lvlJc w:val="left"/>
      <w:pPr>
        <w:tabs>
          <w:tab w:val="num" w:pos="4320"/>
        </w:tabs>
        <w:ind w:left="4320" w:hanging="360"/>
      </w:pPr>
      <w:rPr>
        <w:rFonts w:ascii="Courier New" w:hAnsi="Courier New" w:hint="default"/>
      </w:rPr>
    </w:lvl>
    <w:lvl w:ilvl="8" w:tplc="00050409" w:tentative="1">
      <w:start w:val="1"/>
      <w:numFmt w:val="bullet"/>
      <w:lvlText w:val=""/>
      <w:lvlJc w:val="left"/>
      <w:pPr>
        <w:tabs>
          <w:tab w:val="num" w:pos="5040"/>
        </w:tabs>
        <w:ind w:left="5040" w:hanging="360"/>
      </w:pPr>
      <w:rPr>
        <w:rFonts w:ascii="Wingdings" w:hAnsi="Wingdings" w:hint="default"/>
      </w:rPr>
    </w:lvl>
  </w:abstractNum>
  <w:abstractNum w:abstractNumId="352" w15:restartNumberingAfterBreak="0">
    <w:nsid w:val="5E0363CE"/>
    <w:multiLevelType w:val="hybridMultilevel"/>
    <w:tmpl w:val="173CAD0C"/>
    <w:lvl w:ilvl="0" w:tplc="4CDC1298">
      <w:start w:val="1"/>
      <w:numFmt w:val="upperLetter"/>
      <w:lvlText w:val="%1."/>
      <w:lvlJc w:val="left"/>
      <w:pPr>
        <w:ind w:left="792"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3" w15:restartNumberingAfterBreak="0">
    <w:nsid w:val="5E4D6BA4"/>
    <w:multiLevelType w:val="hybridMultilevel"/>
    <w:tmpl w:val="9CEE03D4"/>
    <w:lvl w:ilvl="0" w:tplc="C116DE6E">
      <w:start w:val="1"/>
      <w:numFmt w:val="bullet"/>
      <w:lvlText w:val=""/>
      <w:lvlJc w:val="left"/>
      <w:pPr>
        <w:tabs>
          <w:tab w:val="num" w:pos="3528"/>
        </w:tabs>
        <w:ind w:left="3528" w:hanging="360"/>
      </w:pPr>
      <w:rPr>
        <w:rFonts w:ascii="Symbol" w:hAnsi="Symbol" w:hint="default"/>
        <w:b w:val="0"/>
        <w:i w:val="0"/>
        <w:color w:val="auto"/>
        <w:sz w:val="20"/>
      </w:rPr>
    </w:lvl>
    <w:lvl w:ilvl="1" w:tplc="00030409" w:tentative="1">
      <w:start w:val="1"/>
      <w:numFmt w:val="bullet"/>
      <w:lvlText w:val="o"/>
      <w:lvlJc w:val="left"/>
      <w:pPr>
        <w:ind w:left="1800" w:hanging="360"/>
      </w:pPr>
      <w:rPr>
        <w:rFonts w:ascii="Courier New" w:hAnsi="Courier New" w:hint="default"/>
      </w:rPr>
    </w:lvl>
    <w:lvl w:ilvl="2" w:tplc="00050409" w:tentative="1">
      <w:start w:val="1"/>
      <w:numFmt w:val="bullet"/>
      <w:lvlText w:val=""/>
      <w:lvlJc w:val="left"/>
      <w:pPr>
        <w:ind w:left="2520" w:hanging="360"/>
      </w:pPr>
      <w:rPr>
        <w:rFonts w:ascii="Wingdings" w:hAnsi="Wingdings" w:hint="default"/>
      </w:rPr>
    </w:lvl>
    <w:lvl w:ilvl="3" w:tplc="00010409" w:tentative="1">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354" w15:restartNumberingAfterBreak="0">
    <w:nsid w:val="5F482430"/>
    <w:multiLevelType w:val="hybridMultilevel"/>
    <w:tmpl w:val="366400E6"/>
    <w:lvl w:ilvl="0" w:tplc="F3DE4E66">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72" w:hanging="360"/>
      </w:pPr>
    </w:lvl>
    <w:lvl w:ilvl="2" w:tplc="001B0409" w:tentative="1">
      <w:start w:val="1"/>
      <w:numFmt w:val="lowerRoman"/>
      <w:lvlText w:val="%3."/>
      <w:lvlJc w:val="right"/>
      <w:pPr>
        <w:ind w:left="792" w:hanging="180"/>
      </w:pPr>
    </w:lvl>
    <w:lvl w:ilvl="3" w:tplc="000F0409" w:tentative="1">
      <w:start w:val="1"/>
      <w:numFmt w:val="decimal"/>
      <w:lvlText w:val="%4."/>
      <w:lvlJc w:val="left"/>
      <w:pPr>
        <w:ind w:left="1512" w:hanging="360"/>
      </w:pPr>
    </w:lvl>
    <w:lvl w:ilvl="4" w:tplc="00190409" w:tentative="1">
      <w:start w:val="1"/>
      <w:numFmt w:val="lowerLetter"/>
      <w:lvlText w:val="%5."/>
      <w:lvlJc w:val="left"/>
      <w:pPr>
        <w:ind w:left="2232" w:hanging="360"/>
      </w:pPr>
    </w:lvl>
    <w:lvl w:ilvl="5" w:tplc="001B0409" w:tentative="1">
      <w:start w:val="1"/>
      <w:numFmt w:val="lowerRoman"/>
      <w:lvlText w:val="%6."/>
      <w:lvlJc w:val="right"/>
      <w:pPr>
        <w:ind w:left="2952" w:hanging="180"/>
      </w:pPr>
    </w:lvl>
    <w:lvl w:ilvl="6" w:tplc="000F0409" w:tentative="1">
      <w:start w:val="1"/>
      <w:numFmt w:val="decimal"/>
      <w:lvlText w:val="%7."/>
      <w:lvlJc w:val="left"/>
      <w:pPr>
        <w:ind w:left="3672" w:hanging="360"/>
      </w:pPr>
    </w:lvl>
    <w:lvl w:ilvl="7" w:tplc="00190409" w:tentative="1">
      <w:start w:val="1"/>
      <w:numFmt w:val="lowerLetter"/>
      <w:lvlText w:val="%8."/>
      <w:lvlJc w:val="left"/>
      <w:pPr>
        <w:ind w:left="4392" w:hanging="360"/>
      </w:pPr>
    </w:lvl>
    <w:lvl w:ilvl="8" w:tplc="001B0409" w:tentative="1">
      <w:start w:val="1"/>
      <w:numFmt w:val="lowerRoman"/>
      <w:lvlText w:val="%9."/>
      <w:lvlJc w:val="right"/>
      <w:pPr>
        <w:ind w:left="5112" w:hanging="180"/>
      </w:pPr>
    </w:lvl>
  </w:abstractNum>
  <w:abstractNum w:abstractNumId="355" w15:restartNumberingAfterBreak="0">
    <w:nsid w:val="5F8B28F8"/>
    <w:multiLevelType w:val="hybridMultilevel"/>
    <w:tmpl w:val="F086D480"/>
    <w:lvl w:ilvl="0" w:tplc="5928EF64">
      <w:start w:val="1"/>
      <w:numFmt w:val="decimal"/>
      <w:lvlText w:val="%1."/>
      <w:lvlJc w:val="left"/>
      <w:pPr>
        <w:ind w:left="1800" w:hanging="360"/>
      </w:pPr>
      <w:rPr>
        <w:b w:val="0"/>
        <w:i w:val="0"/>
        <w:color w:val="auto"/>
        <w:sz w:val="24"/>
      </w:rPr>
    </w:lvl>
    <w:lvl w:ilvl="1" w:tplc="E006E392">
      <w:start w:val="1"/>
      <w:numFmt w:val="decimal"/>
      <w:lvlText w:val="%2."/>
      <w:lvlJc w:val="left"/>
      <w:pPr>
        <w:ind w:left="1440" w:hanging="360"/>
      </w:pPr>
      <w:rPr>
        <w:b/>
        <w:i w:val="0"/>
        <w:color w:val="auto"/>
        <w:sz w:val="22"/>
        <w:szCs w:val="22"/>
      </w:rPr>
    </w:lvl>
    <w:lvl w:ilvl="2" w:tplc="001B0409">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6" w15:restartNumberingAfterBreak="0">
    <w:nsid w:val="5FAD47A4"/>
    <w:multiLevelType w:val="hybridMultilevel"/>
    <w:tmpl w:val="55D2E66E"/>
    <w:lvl w:ilvl="0" w:tplc="BBC04C04">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57" w15:restartNumberingAfterBreak="0">
    <w:nsid w:val="5FB56649"/>
    <w:multiLevelType w:val="hybridMultilevel"/>
    <w:tmpl w:val="F46EAE08"/>
    <w:lvl w:ilvl="0" w:tplc="06A8D9EC">
      <w:start w:val="5"/>
      <w:numFmt w:val="decimal"/>
      <w:lvlText w:val="%1."/>
      <w:lvlJc w:val="left"/>
      <w:pPr>
        <w:tabs>
          <w:tab w:val="num" w:pos="1092"/>
        </w:tabs>
        <w:ind w:left="1092"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58" w15:restartNumberingAfterBreak="0">
    <w:nsid w:val="60347C2B"/>
    <w:multiLevelType w:val="hybridMultilevel"/>
    <w:tmpl w:val="DDCA4550"/>
    <w:lvl w:ilvl="0" w:tplc="A3767696">
      <w:start w:val="2"/>
      <w:numFmt w:val="upperLetter"/>
      <w:lvlText w:val="%1."/>
      <w:lvlJc w:val="left"/>
      <w:pPr>
        <w:ind w:left="72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9" w15:restartNumberingAfterBreak="0">
    <w:nsid w:val="6058595D"/>
    <w:multiLevelType w:val="hybridMultilevel"/>
    <w:tmpl w:val="3B52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15:restartNumberingAfterBreak="0">
    <w:nsid w:val="6145560C"/>
    <w:multiLevelType w:val="multilevel"/>
    <w:tmpl w:val="EFEE0374"/>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upperLetter"/>
      <w:lvlText w:val="%3."/>
      <w:lvlJc w:val="left"/>
      <w:pPr>
        <w:ind w:left="1080" w:hanging="360"/>
      </w:pPr>
      <w:rPr>
        <w:b/>
        <w:i w:val="0"/>
        <w:color w:val="auto"/>
        <w:sz w:val="22"/>
        <w:szCs w:val="22"/>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1" w15:restartNumberingAfterBreak="0">
    <w:nsid w:val="614E3BD7"/>
    <w:multiLevelType w:val="hybridMultilevel"/>
    <w:tmpl w:val="EFE4BFAA"/>
    <w:lvl w:ilvl="0" w:tplc="61E04C14">
      <w:start w:val="4"/>
      <w:numFmt w:val="decimal"/>
      <w:lvlText w:val="%1."/>
      <w:lvlJc w:val="left"/>
      <w:pPr>
        <w:tabs>
          <w:tab w:val="num" w:pos="1800"/>
        </w:tabs>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62" w15:restartNumberingAfterBreak="0">
    <w:nsid w:val="618324F1"/>
    <w:multiLevelType w:val="multilevel"/>
    <w:tmpl w:val="E65E5BBA"/>
    <w:lvl w:ilvl="0">
      <w:start w:val="1"/>
      <w:numFmt w:val="decimal"/>
      <w:lvlText w:val="%1."/>
      <w:lvlJc w:val="left"/>
      <w:pPr>
        <w:tabs>
          <w:tab w:val="num" w:pos="360"/>
        </w:tabs>
        <w:ind w:left="360" w:hanging="360"/>
      </w:pPr>
      <w:rPr>
        <w:b/>
        <w:i w:val="0"/>
        <w:color w:val="auto"/>
        <w:sz w:val="22"/>
        <w:szCs w:val="22"/>
      </w:rPr>
    </w:lvl>
    <w:lvl w:ilvl="1">
      <w:start w:val="1"/>
      <w:numFmt w:val="upperLetter"/>
      <w:lvlText w:val="%2."/>
      <w:lvlJc w:val="left"/>
      <w:pPr>
        <w:tabs>
          <w:tab w:val="num" w:pos="720"/>
        </w:tabs>
        <w:ind w:left="720"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3" w15:restartNumberingAfterBreak="0">
    <w:nsid w:val="61B523DB"/>
    <w:multiLevelType w:val="multilevel"/>
    <w:tmpl w:val="2FC618B8"/>
    <w:lvl w:ilvl="0">
      <w:start w:val="1"/>
      <w:numFmt w:val="upperLetter"/>
      <w:lvlText w:val="%1."/>
      <w:lvlJc w:val="left"/>
      <w:pPr>
        <w:ind w:left="720" w:hanging="360"/>
      </w:pPr>
      <w:rPr>
        <w:b/>
        <w:i w:val="0"/>
        <w:color w:val="auto"/>
        <w:sz w:val="22"/>
        <w:szCs w:val="22"/>
      </w:rPr>
    </w:lvl>
    <w:lvl w:ilvl="1">
      <w:start w:val="1"/>
      <w:numFmt w:val="decimal"/>
      <w:lvlText w:val="%2."/>
      <w:lvlJc w:val="left"/>
      <w:pPr>
        <w:tabs>
          <w:tab w:val="num" w:pos="720"/>
        </w:tabs>
        <w:ind w:left="720" w:hanging="432"/>
      </w:pPr>
      <w:rPr>
        <w:b w:val="0"/>
        <w:i w:val="0"/>
        <w:color w:val="auto"/>
        <w:sz w:val="24"/>
      </w:rPr>
    </w:lvl>
    <w:lvl w:ilvl="2">
      <w:start w:val="1"/>
      <w:numFmt w:val="decimal"/>
      <w:lvlText w:val="%3."/>
      <w:lvlJc w:val="left"/>
      <w:pPr>
        <w:tabs>
          <w:tab w:val="num" w:pos="1008"/>
        </w:tabs>
        <w:ind w:left="1008" w:hanging="288"/>
      </w:pPr>
      <w:rPr>
        <w:b w:val="0"/>
        <w:i w:val="0"/>
        <w:color w:val="auto"/>
        <w:sz w:val="24"/>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2592"/>
        </w:tabs>
        <w:ind w:left="2448" w:hanging="288"/>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4" w15:restartNumberingAfterBreak="0">
    <w:nsid w:val="61DC0B65"/>
    <w:multiLevelType w:val="hybridMultilevel"/>
    <w:tmpl w:val="EF0E7694"/>
    <w:lvl w:ilvl="0" w:tplc="8312B4F2">
      <w:start w:val="1"/>
      <w:numFmt w:val="upperLetter"/>
      <w:lvlText w:val="%1."/>
      <w:lvlJc w:val="left"/>
      <w:pPr>
        <w:ind w:left="1800" w:hanging="360"/>
      </w:pPr>
      <w:rPr>
        <w:b/>
        <w:i w:val="0"/>
        <w:color w:val="auto"/>
        <w:sz w:val="22"/>
        <w:szCs w:val="22"/>
      </w:rPr>
    </w:lvl>
    <w:lvl w:ilvl="1" w:tplc="00190409">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65" w15:restartNumberingAfterBreak="0">
    <w:nsid w:val="622C7716"/>
    <w:multiLevelType w:val="multilevel"/>
    <w:tmpl w:val="F00480DE"/>
    <w:lvl w:ilvl="0">
      <w:start w:val="2"/>
      <w:numFmt w:val="upperLetter"/>
      <w:lvlText w:val="%1."/>
      <w:lvlJc w:val="left"/>
      <w:pPr>
        <w:tabs>
          <w:tab w:val="num" w:pos="288"/>
        </w:tabs>
        <w:ind w:left="1224" w:hanging="1224"/>
      </w:pPr>
      <w:rPr>
        <w:b w:val="0"/>
        <w:i w:val="0"/>
        <w:color w:val="auto"/>
        <w:sz w:val="24"/>
      </w:rPr>
    </w:lvl>
    <w:lvl w:ilvl="1">
      <w:start w:val="1"/>
      <w:numFmt w:val="upperLetter"/>
      <w:lvlText w:val="%2."/>
      <w:lvlJc w:val="left"/>
      <w:pPr>
        <w:tabs>
          <w:tab w:val="num" w:pos="720"/>
        </w:tabs>
        <w:ind w:left="720" w:hanging="432"/>
      </w:pPr>
      <w:rPr>
        <w:b/>
        <w:i w:val="0"/>
        <w:color w:val="auto"/>
        <w:sz w:val="22"/>
        <w:szCs w:val="22"/>
      </w:rPr>
    </w:lvl>
    <w:lvl w:ilvl="2">
      <w:start w:val="1"/>
      <w:numFmt w:val="upperLetter"/>
      <w:lvlText w:val="%3."/>
      <w:lvlJc w:val="left"/>
      <w:pPr>
        <w:tabs>
          <w:tab w:val="num" w:pos="1008"/>
        </w:tabs>
        <w:ind w:left="1008" w:hanging="288"/>
      </w:pPr>
      <w:rPr>
        <w:b w:val="0"/>
        <w:i w:val="0"/>
        <w:color w:val="auto"/>
        <w:sz w:val="24"/>
      </w:rPr>
    </w:lvl>
    <w:lvl w:ilvl="3">
      <w:start w:val="1"/>
      <w:numFmt w:val="upp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6" w15:restartNumberingAfterBreak="0">
    <w:nsid w:val="62731D31"/>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67" w15:restartNumberingAfterBreak="0">
    <w:nsid w:val="62A52597"/>
    <w:multiLevelType w:val="hybridMultilevel"/>
    <w:tmpl w:val="4A12046A"/>
    <w:lvl w:ilvl="0" w:tplc="E368CB10">
      <w:start w:val="1"/>
      <w:numFmt w:val="bullet"/>
      <w:lvlText w:val=""/>
      <w:lvlJc w:val="left"/>
      <w:pPr>
        <w:tabs>
          <w:tab w:val="num" w:pos="1368"/>
        </w:tabs>
        <w:ind w:left="1368" w:hanging="360"/>
      </w:pPr>
      <w:rPr>
        <w:rFonts w:ascii="Symbol" w:hAnsi="Symbol" w:hint="default"/>
        <w:b w:val="0"/>
        <w:i w:val="0"/>
        <w:color w:val="auto"/>
        <w:sz w:val="20"/>
      </w:rPr>
    </w:lvl>
    <w:lvl w:ilvl="1" w:tplc="04090001">
      <w:start w:val="1"/>
      <w:numFmt w:val="bullet"/>
      <w:lvlText w:val=""/>
      <w:lvlJc w:val="left"/>
      <w:pPr>
        <w:ind w:left="1440" w:hanging="360"/>
      </w:pPr>
      <w:rPr>
        <w:rFonts w:ascii="Symbol" w:hAnsi="Symbol" w:hint="default"/>
      </w:rPr>
    </w:lvl>
    <w:lvl w:ilvl="2" w:tplc="00050409">
      <w:start w:val="1"/>
      <w:numFmt w:val="bullet"/>
      <w:lvlText w:val=""/>
      <w:lvlJc w:val="left"/>
      <w:pPr>
        <w:ind w:left="2160" w:hanging="360"/>
      </w:pPr>
      <w:rPr>
        <w:rFonts w:ascii="Wingdings" w:hAnsi="Wingdings" w:hint="default"/>
      </w:rPr>
    </w:lvl>
    <w:lvl w:ilvl="3" w:tplc="9CB81414">
      <w:start w:val="1"/>
      <w:numFmt w:val="bullet"/>
      <w:lvlText w:val=""/>
      <w:lvlJc w:val="left"/>
      <w:pPr>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68" w15:restartNumberingAfterBreak="0">
    <w:nsid w:val="62C741E9"/>
    <w:multiLevelType w:val="hybridMultilevel"/>
    <w:tmpl w:val="B4C22066"/>
    <w:lvl w:ilvl="0" w:tplc="2B00BA00">
      <w:start w:val="1"/>
      <w:numFmt w:val="bullet"/>
      <w:lvlText w:val=""/>
      <w:lvlJc w:val="left"/>
      <w:pPr>
        <w:tabs>
          <w:tab w:val="num" w:pos="1080"/>
        </w:tabs>
        <w:ind w:left="1080" w:hanging="360"/>
      </w:pPr>
      <w:rPr>
        <w:rFonts w:ascii="Symbol" w:hAnsi="Symbol" w:hint="default"/>
        <w:b w:val="0"/>
        <w:i w:val="0"/>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69" w15:restartNumberingAfterBreak="0">
    <w:nsid w:val="62C864AE"/>
    <w:multiLevelType w:val="hybridMultilevel"/>
    <w:tmpl w:val="6EC027B2"/>
    <w:lvl w:ilvl="0" w:tplc="2C0E8E0E">
      <w:start w:val="1"/>
      <w:numFmt w:val="decimal"/>
      <w:lvlText w:val="%1."/>
      <w:lvlJc w:val="left"/>
      <w:pPr>
        <w:ind w:left="720" w:hanging="360"/>
      </w:pPr>
      <w:rPr>
        <w:b/>
        <w:i w:val="0"/>
        <w:color w:val="auto"/>
      </w:rPr>
    </w:lvl>
    <w:lvl w:ilvl="1" w:tplc="81EEF0A4">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0" w15:restartNumberingAfterBreak="0">
    <w:nsid w:val="62D85543"/>
    <w:multiLevelType w:val="hybridMultilevel"/>
    <w:tmpl w:val="51547CB0"/>
    <w:lvl w:ilvl="0" w:tplc="99E45FBC">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72" w:hanging="360"/>
      </w:pPr>
    </w:lvl>
    <w:lvl w:ilvl="2" w:tplc="001B0409" w:tentative="1">
      <w:start w:val="1"/>
      <w:numFmt w:val="lowerRoman"/>
      <w:lvlText w:val="%3."/>
      <w:lvlJc w:val="right"/>
      <w:pPr>
        <w:ind w:left="792" w:hanging="180"/>
      </w:pPr>
    </w:lvl>
    <w:lvl w:ilvl="3" w:tplc="000F0409" w:tentative="1">
      <w:start w:val="1"/>
      <w:numFmt w:val="decimal"/>
      <w:lvlText w:val="%4."/>
      <w:lvlJc w:val="left"/>
      <w:pPr>
        <w:ind w:left="1512" w:hanging="360"/>
      </w:pPr>
    </w:lvl>
    <w:lvl w:ilvl="4" w:tplc="00190409" w:tentative="1">
      <w:start w:val="1"/>
      <w:numFmt w:val="lowerLetter"/>
      <w:lvlText w:val="%5."/>
      <w:lvlJc w:val="left"/>
      <w:pPr>
        <w:ind w:left="2232" w:hanging="360"/>
      </w:pPr>
    </w:lvl>
    <w:lvl w:ilvl="5" w:tplc="001B0409" w:tentative="1">
      <w:start w:val="1"/>
      <w:numFmt w:val="lowerRoman"/>
      <w:lvlText w:val="%6."/>
      <w:lvlJc w:val="right"/>
      <w:pPr>
        <w:ind w:left="2952" w:hanging="180"/>
      </w:pPr>
    </w:lvl>
    <w:lvl w:ilvl="6" w:tplc="000F0409" w:tentative="1">
      <w:start w:val="1"/>
      <w:numFmt w:val="decimal"/>
      <w:lvlText w:val="%7."/>
      <w:lvlJc w:val="left"/>
      <w:pPr>
        <w:ind w:left="3672" w:hanging="360"/>
      </w:pPr>
    </w:lvl>
    <w:lvl w:ilvl="7" w:tplc="00190409" w:tentative="1">
      <w:start w:val="1"/>
      <w:numFmt w:val="lowerLetter"/>
      <w:lvlText w:val="%8."/>
      <w:lvlJc w:val="left"/>
      <w:pPr>
        <w:ind w:left="4392" w:hanging="360"/>
      </w:pPr>
    </w:lvl>
    <w:lvl w:ilvl="8" w:tplc="001B0409" w:tentative="1">
      <w:start w:val="1"/>
      <w:numFmt w:val="lowerRoman"/>
      <w:lvlText w:val="%9."/>
      <w:lvlJc w:val="right"/>
      <w:pPr>
        <w:ind w:left="5112" w:hanging="180"/>
      </w:pPr>
    </w:lvl>
  </w:abstractNum>
  <w:abstractNum w:abstractNumId="371" w15:restartNumberingAfterBreak="0">
    <w:nsid w:val="630B55D5"/>
    <w:multiLevelType w:val="hybridMultilevel"/>
    <w:tmpl w:val="37646A92"/>
    <w:lvl w:ilvl="0" w:tplc="5964AEB2">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72" w15:restartNumberingAfterBreak="0">
    <w:nsid w:val="63213604"/>
    <w:multiLevelType w:val="hybridMultilevel"/>
    <w:tmpl w:val="348C35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15:restartNumberingAfterBreak="0">
    <w:nsid w:val="632B2661"/>
    <w:multiLevelType w:val="hybridMultilevel"/>
    <w:tmpl w:val="A614D190"/>
    <w:lvl w:ilvl="0" w:tplc="04090017">
      <w:start w:val="1"/>
      <w:numFmt w:val="lowerLetter"/>
      <w:lvlText w:val="%1)"/>
      <w:lvlJc w:val="left"/>
      <w:pPr>
        <w:ind w:left="720" w:hanging="360"/>
      </w:pPr>
    </w:lvl>
    <w:lvl w:ilvl="1" w:tplc="2C668F10">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4" w15:restartNumberingAfterBreak="0">
    <w:nsid w:val="639050C2"/>
    <w:multiLevelType w:val="hybridMultilevel"/>
    <w:tmpl w:val="C36A3D1E"/>
    <w:lvl w:ilvl="0" w:tplc="2D7C5232">
      <w:start w:val="1"/>
      <w:numFmt w:val="bullet"/>
      <w:lvlText w:val=""/>
      <w:lvlJc w:val="left"/>
      <w:pPr>
        <w:tabs>
          <w:tab w:val="num" w:pos="1440"/>
        </w:tabs>
        <w:ind w:left="1440" w:hanging="360"/>
      </w:pPr>
      <w:rPr>
        <w:rFonts w:ascii="Symbol" w:hAnsi="Symbol" w:hint="default"/>
        <w:b w:val="0"/>
        <w:i w:val="0"/>
        <w:color w:val="auto"/>
        <w:sz w:val="22"/>
      </w:rPr>
    </w:lvl>
    <w:lvl w:ilvl="1" w:tplc="574E12A2">
      <w:start w:val="1"/>
      <w:numFmt w:val="bullet"/>
      <w:lvlText w:val=""/>
      <w:lvlJc w:val="left"/>
      <w:pPr>
        <w:tabs>
          <w:tab w:val="num" w:pos="1440"/>
        </w:tabs>
        <w:ind w:left="1440" w:hanging="360"/>
      </w:pPr>
      <w:rPr>
        <w:rFonts w:ascii="Symbol" w:hAnsi="Symbol" w:hint="default"/>
        <w:b w:val="0"/>
        <w:i w:val="0"/>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5" w15:restartNumberingAfterBreak="0">
    <w:nsid w:val="63AD26F5"/>
    <w:multiLevelType w:val="hybridMultilevel"/>
    <w:tmpl w:val="5DA2A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6" w15:restartNumberingAfterBreak="0">
    <w:nsid w:val="63B60B6A"/>
    <w:multiLevelType w:val="hybridMultilevel"/>
    <w:tmpl w:val="55924622"/>
    <w:lvl w:ilvl="0" w:tplc="0A56FE6E">
      <w:start w:val="1"/>
      <w:numFmt w:val="upperLetter"/>
      <w:lvlText w:val="%1."/>
      <w:lvlJc w:val="left"/>
      <w:pPr>
        <w:ind w:left="720" w:hanging="360"/>
      </w:pPr>
      <w:rPr>
        <w:b/>
        <w:i w:val="0"/>
        <w:color w:val="auto"/>
        <w:sz w:val="22"/>
        <w:szCs w:val="22"/>
      </w:rPr>
    </w:lvl>
    <w:lvl w:ilvl="1" w:tplc="00190409">
      <w:start w:val="1"/>
      <w:numFmt w:val="lowerLetter"/>
      <w:lvlText w:val="%2."/>
      <w:lvlJc w:val="left"/>
      <w:pPr>
        <w:ind w:left="0" w:hanging="360"/>
      </w:pPr>
    </w:lvl>
    <w:lvl w:ilvl="2" w:tplc="001B0409" w:tentative="1">
      <w:start w:val="1"/>
      <w:numFmt w:val="lowerRoman"/>
      <w:lvlText w:val="%3."/>
      <w:lvlJc w:val="right"/>
      <w:pPr>
        <w:ind w:left="720" w:hanging="180"/>
      </w:pPr>
    </w:lvl>
    <w:lvl w:ilvl="3" w:tplc="000F0409" w:tentative="1">
      <w:start w:val="1"/>
      <w:numFmt w:val="decimal"/>
      <w:lvlText w:val="%4."/>
      <w:lvlJc w:val="left"/>
      <w:pPr>
        <w:ind w:left="1440" w:hanging="360"/>
      </w:pPr>
    </w:lvl>
    <w:lvl w:ilvl="4" w:tplc="00190409" w:tentative="1">
      <w:start w:val="1"/>
      <w:numFmt w:val="lowerLetter"/>
      <w:lvlText w:val="%5."/>
      <w:lvlJc w:val="left"/>
      <w:pPr>
        <w:ind w:left="2160" w:hanging="360"/>
      </w:pPr>
    </w:lvl>
    <w:lvl w:ilvl="5" w:tplc="001B0409" w:tentative="1">
      <w:start w:val="1"/>
      <w:numFmt w:val="lowerRoman"/>
      <w:lvlText w:val="%6."/>
      <w:lvlJc w:val="right"/>
      <w:pPr>
        <w:ind w:left="2880" w:hanging="180"/>
      </w:pPr>
    </w:lvl>
    <w:lvl w:ilvl="6" w:tplc="000F0409" w:tentative="1">
      <w:start w:val="1"/>
      <w:numFmt w:val="decimal"/>
      <w:lvlText w:val="%7."/>
      <w:lvlJc w:val="left"/>
      <w:pPr>
        <w:ind w:left="3600" w:hanging="360"/>
      </w:pPr>
    </w:lvl>
    <w:lvl w:ilvl="7" w:tplc="00190409" w:tentative="1">
      <w:start w:val="1"/>
      <w:numFmt w:val="lowerLetter"/>
      <w:lvlText w:val="%8."/>
      <w:lvlJc w:val="left"/>
      <w:pPr>
        <w:ind w:left="4320" w:hanging="360"/>
      </w:pPr>
    </w:lvl>
    <w:lvl w:ilvl="8" w:tplc="001B0409" w:tentative="1">
      <w:start w:val="1"/>
      <w:numFmt w:val="lowerRoman"/>
      <w:lvlText w:val="%9."/>
      <w:lvlJc w:val="right"/>
      <w:pPr>
        <w:ind w:left="5040" w:hanging="180"/>
      </w:pPr>
    </w:lvl>
  </w:abstractNum>
  <w:abstractNum w:abstractNumId="377" w15:restartNumberingAfterBreak="0">
    <w:nsid w:val="63CC5B2E"/>
    <w:multiLevelType w:val="hybridMultilevel"/>
    <w:tmpl w:val="808CF368"/>
    <w:lvl w:ilvl="0" w:tplc="C116DE6E">
      <w:start w:val="1"/>
      <w:numFmt w:val="bullet"/>
      <w:lvlText w:val=""/>
      <w:lvlJc w:val="left"/>
      <w:pPr>
        <w:tabs>
          <w:tab w:val="num" w:pos="3168"/>
        </w:tabs>
        <w:ind w:left="3168"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78" w15:restartNumberingAfterBreak="0">
    <w:nsid w:val="63DC2BBF"/>
    <w:multiLevelType w:val="hybridMultilevel"/>
    <w:tmpl w:val="511E644A"/>
    <w:lvl w:ilvl="0" w:tplc="23262498">
      <w:start w:val="1"/>
      <w:numFmt w:val="decimal"/>
      <w:lvlText w:val="%1."/>
      <w:lvlJc w:val="right"/>
      <w:pPr>
        <w:tabs>
          <w:tab w:val="num" w:pos="1008"/>
        </w:tabs>
        <w:ind w:left="1008" w:firstLine="0"/>
      </w:pPr>
      <w:rPr>
        <w:b w:val="0"/>
        <w:i w:val="0"/>
        <w:color w:val="auto"/>
        <w:sz w:val="24"/>
      </w:rPr>
    </w:lvl>
    <w:lvl w:ilvl="1" w:tplc="00190409">
      <w:start w:val="1"/>
      <w:numFmt w:val="lowerLetter"/>
      <w:lvlText w:val="%2."/>
      <w:lvlJc w:val="left"/>
      <w:pPr>
        <w:tabs>
          <w:tab w:val="num" w:pos="1440"/>
        </w:tabs>
        <w:ind w:left="1440" w:hanging="360"/>
      </w:pPr>
    </w:lvl>
    <w:lvl w:ilvl="2" w:tplc="001B0409">
      <w:start w:val="1"/>
      <w:numFmt w:val="lowerRoman"/>
      <w:lvlText w:val="%3."/>
      <w:lvlJc w:val="right"/>
      <w:pPr>
        <w:tabs>
          <w:tab w:val="num" w:pos="2160"/>
        </w:tabs>
        <w:ind w:left="2160" w:hanging="180"/>
      </w:pPr>
    </w:lvl>
    <w:lvl w:ilvl="3" w:tplc="5CD46EA0">
      <w:start w:val="8"/>
      <w:numFmt w:val="bullet"/>
      <w:lvlText w:val=""/>
      <w:lvlJc w:val="left"/>
      <w:pPr>
        <w:tabs>
          <w:tab w:val="num" w:pos="2880"/>
        </w:tabs>
        <w:ind w:left="2880" w:hanging="360"/>
      </w:pPr>
      <w:rPr>
        <w:rFonts w:ascii="Symbol" w:hAnsi="Symbol" w:hint="default"/>
        <w:b w:val="0"/>
        <w:i w:val="0"/>
        <w:color w:val="auto"/>
        <w:sz w:val="20"/>
      </w:rPr>
    </w:lvl>
    <w:lvl w:ilvl="4" w:tplc="00190409">
      <w:start w:val="1"/>
      <w:numFmt w:val="lowerLetter"/>
      <w:lvlText w:val="%5."/>
      <w:lvlJc w:val="left"/>
      <w:pPr>
        <w:tabs>
          <w:tab w:val="num" w:pos="3600"/>
        </w:tabs>
        <w:ind w:left="3600" w:hanging="360"/>
      </w:pPr>
    </w:lvl>
    <w:lvl w:ilvl="5" w:tplc="001B0409">
      <w:start w:val="1"/>
      <w:numFmt w:val="lowerRoman"/>
      <w:lvlText w:val="%6."/>
      <w:lvlJc w:val="right"/>
      <w:pPr>
        <w:tabs>
          <w:tab w:val="num" w:pos="4320"/>
        </w:tabs>
        <w:ind w:left="4320" w:hanging="180"/>
      </w:pPr>
    </w:lvl>
    <w:lvl w:ilvl="6" w:tplc="2C762A5A">
      <w:start w:val="1"/>
      <w:numFmt w:val="bullet"/>
      <w:lvlText w:val=""/>
      <w:lvlJc w:val="left"/>
      <w:pPr>
        <w:tabs>
          <w:tab w:val="num" w:pos="5040"/>
        </w:tabs>
        <w:ind w:left="5040" w:hanging="360"/>
      </w:pPr>
      <w:rPr>
        <w:rFonts w:ascii="Symbol" w:hAnsi="Symbol" w:hint="default"/>
        <w:b w:val="0"/>
        <w:i w:val="0"/>
        <w:color w:val="auto"/>
        <w:sz w:val="20"/>
      </w:rPr>
    </w:lvl>
    <w:lvl w:ilvl="7" w:tplc="00030409">
      <w:start w:val="1"/>
      <w:numFmt w:val="bullet"/>
      <w:lvlText w:val="o"/>
      <w:lvlJc w:val="left"/>
      <w:pPr>
        <w:tabs>
          <w:tab w:val="num" w:pos="5760"/>
        </w:tabs>
        <w:ind w:left="5760" w:hanging="360"/>
      </w:pPr>
      <w:rPr>
        <w:rFonts w:ascii="Courier New" w:hAnsi="Courier New" w:hint="default"/>
        <w:b w:val="0"/>
        <w:i w:val="0"/>
        <w:color w:val="auto"/>
        <w:sz w:val="24"/>
      </w:rPr>
    </w:lvl>
    <w:lvl w:ilvl="8" w:tplc="001B0409" w:tentative="1">
      <w:start w:val="1"/>
      <w:numFmt w:val="lowerRoman"/>
      <w:lvlText w:val="%9."/>
      <w:lvlJc w:val="right"/>
      <w:pPr>
        <w:tabs>
          <w:tab w:val="num" w:pos="6480"/>
        </w:tabs>
        <w:ind w:left="6480" w:hanging="180"/>
      </w:pPr>
    </w:lvl>
  </w:abstractNum>
  <w:abstractNum w:abstractNumId="379" w15:restartNumberingAfterBreak="0">
    <w:nsid w:val="640736F8"/>
    <w:multiLevelType w:val="hybridMultilevel"/>
    <w:tmpl w:val="34B6A626"/>
    <w:lvl w:ilvl="0" w:tplc="8A1CE70E">
      <w:start w:val="1"/>
      <w:numFmt w:val="upperLetter"/>
      <w:lvlText w:val="%1."/>
      <w:lvlJc w:val="left"/>
      <w:pPr>
        <w:ind w:left="1440" w:hanging="360"/>
      </w:pPr>
      <w:rPr>
        <w:b/>
        <w:i w:val="0"/>
        <w:color w:val="auto"/>
        <w:sz w:val="22"/>
        <w:szCs w:val="22"/>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0" w15:restartNumberingAfterBreak="0">
    <w:nsid w:val="644A3B74"/>
    <w:multiLevelType w:val="hybridMultilevel"/>
    <w:tmpl w:val="6CA6B190"/>
    <w:lvl w:ilvl="0" w:tplc="797C190A">
      <w:start w:val="1"/>
      <w:numFmt w:val="upperLetter"/>
      <w:lvlText w:val="%1."/>
      <w:lvlJc w:val="left"/>
      <w:pPr>
        <w:ind w:left="2160"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81" w15:restartNumberingAfterBreak="0">
    <w:nsid w:val="646D0494"/>
    <w:multiLevelType w:val="hybridMultilevel"/>
    <w:tmpl w:val="B4C80734"/>
    <w:lvl w:ilvl="0" w:tplc="04090001">
      <w:start w:val="1"/>
      <w:numFmt w:val="bullet"/>
      <w:lvlText w:val=""/>
      <w:lvlJc w:val="left"/>
      <w:pPr>
        <w:ind w:left="1512" w:hanging="360"/>
      </w:pPr>
      <w:rPr>
        <w:rFonts w:ascii="Symbol" w:hAnsi="Symbol" w:hint="default"/>
      </w:r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382" w15:restartNumberingAfterBreak="0">
    <w:nsid w:val="64F43871"/>
    <w:multiLevelType w:val="multilevel"/>
    <w:tmpl w:val="3DFA2EEC"/>
    <w:lvl w:ilvl="0">
      <w:start w:val="1"/>
      <w:numFmt w:val="decimal"/>
      <w:lvlText w:val="%1."/>
      <w:lvlJc w:val="left"/>
      <w:pPr>
        <w:tabs>
          <w:tab w:val="num" w:pos="144"/>
        </w:tabs>
        <w:ind w:left="450"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3" w15:restartNumberingAfterBreak="0">
    <w:nsid w:val="650E2775"/>
    <w:multiLevelType w:val="multilevel"/>
    <w:tmpl w:val="3DFA2EEC"/>
    <w:lvl w:ilvl="0">
      <w:start w:val="1"/>
      <w:numFmt w:val="decimal"/>
      <w:lvlText w:val="%1."/>
      <w:lvlJc w:val="left"/>
      <w:pPr>
        <w:tabs>
          <w:tab w:val="num" w:pos="216"/>
        </w:tabs>
        <w:ind w:left="522" w:hanging="522"/>
      </w:pPr>
      <w:rPr>
        <w:b/>
        <w:i w:val="0"/>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4" w15:restartNumberingAfterBreak="0">
    <w:nsid w:val="655E20A3"/>
    <w:multiLevelType w:val="hybridMultilevel"/>
    <w:tmpl w:val="6602E2F2"/>
    <w:lvl w:ilvl="0" w:tplc="C3268766">
      <w:start w:val="1"/>
      <w:numFmt w:val="bullet"/>
      <w:lvlText w:val=""/>
      <w:lvlJc w:val="left"/>
      <w:pPr>
        <w:ind w:left="1512" w:hanging="360"/>
      </w:pPr>
      <w:rPr>
        <w:rFonts w:ascii="Symbol" w:hAnsi="Symbol" w:hint="default"/>
        <w:b w:val="0"/>
        <w:i w:val="0"/>
        <w:color w:val="auto"/>
        <w:sz w:val="20"/>
      </w:rPr>
    </w:lvl>
    <w:lvl w:ilvl="1" w:tplc="00030409">
      <w:start w:val="1"/>
      <w:numFmt w:val="bullet"/>
      <w:lvlText w:val="o"/>
      <w:lvlJc w:val="left"/>
      <w:pPr>
        <w:ind w:left="1872" w:hanging="360"/>
      </w:pPr>
      <w:rPr>
        <w:rFonts w:ascii="Courier New" w:hAnsi="Courier New" w:hint="default"/>
      </w:rPr>
    </w:lvl>
    <w:lvl w:ilvl="2" w:tplc="00050409">
      <w:start w:val="1"/>
      <w:numFmt w:val="bullet"/>
      <w:lvlText w:val=""/>
      <w:lvlJc w:val="left"/>
      <w:pPr>
        <w:ind w:left="2592" w:hanging="360"/>
      </w:pPr>
      <w:rPr>
        <w:rFonts w:ascii="Wingdings" w:hAnsi="Wingdings" w:hint="default"/>
      </w:rPr>
    </w:lvl>
    <w:lvl w:ilvl="3" w:tplc="00010409">
      <w:start w:val="1"/>
      <w:numFmt w:val="bullet"/>
      <w:lvlText w:val=""/>
      <w:lvlJc w:val="left"/>
      <w:pPr>
        <w:ind w:left="3312" w:hanging="360"/>
      </w:pPr>
      <w:rPr>
        <w:rFonts w:ascii="Symbol" w:hAnsi="Symbol" w:hint="default"/>
      </w:rPr>
    </w:lvl>
    <w:lvl w:ilvl="4" w:tplc="00030409">
      <w:start w:val="1"/>
      <w:numFmt w:val="bullet"/>
      <w:lvlText w:val="o"/>
      <w:lvlJc w:val="left"/>
      <w:pPr>
        <w:ind w:left="4032" w:hanging="360"/>
      </w:pPr>
      <w:rPr>
        <w:rFonts w:ascii="Courier New" w:hAnsi="Courier New" w:hint="default"/>
      </w:rPr>
    </w:lvl>
    <w:lvl w:ilvl="5" w:tplc="00050409" w:tentative="1">
      <w:start w:val="1"/>
      <w:numFmt w:val="bullet"/>
      <w:lvlText w:val=""/>
      <w:lvlJc w:val="left"/>
      <w:pPr>
        <w:ind w:left="4752" w:hanging="360"/>
      </w:pPr>
      <w:rPr>
        <w:rFonts w:ascii="Wingdings" w:hAnsi="Wingdings" w:hint="default"/>
      </w:rPr>
    </w:lvl>
    <w:lvl w:ilvl="6" w:tplc="00010409" w:tentative="1">
      <w:start w:val="1"/>
      <w:numFmt w:val="bullet"/>
      <w:lvlText w:val=""/>
      <w:lvlJc w:val="left"/>
      <w:pPr>
        <w:ind w:left="5472" w:hanging="360"/>
      </w:pPr>
      <w:rPr>
        <w:rFonts w:ascii="Symbol" w:hAnsi="Symbol" w:hint="default"/>
      </w:rPr>
    </w:lvl>
    <w:lvl w:ilvl="7" w:tplc="00030409" w:tentative="1">
      <w:start w:val="1"/>
      <w:numFmt w:val="bullet"/>
      <w:lvlText w:val="o"/>
      <w:lvlJc w:val="left"/>
      <w:pPr>
        <w:ind w:left="6192" w:hanging="360"/>
      </w:pPr>
      <w:rPr>
        <w:rFonts w:ascii="Courier New" w:hAnsi="Courier New" w:hint="default"/>
      </w:rPr>
    </w:lvl>
    <w:lvl w:ilvl="8" w:tplc="00050409" w:tentative="1">
      <w:start w:val="1"/>
      <w:numFmt w:val="bullet"/>
      <w:lvlText w:val=""/>
      <w:lvlJc w:val="left"/>
      <w:pPr>
        <w:ind w:left="6912" w:hanging="360"/>
      </w:pPr>
      <w:rPr>
        <w:rFonts w:ascii="Wingdings" w:hAnsi="Wingdings" w:hint="default"/>
      </w:rPr>
    </w:lvl>
  </w:abstractNum>
  <w:abstractNum w:abstractNumId="385" w15:restartNumberingAfterBreak="0">
    <w:nsid w:val="65A24E29"/>
    <w:multiLevelType w:val="hybridMultilevel"/>
    <w:tmpl w:val="EA52F084"/>
    <w:name w:val="OutlineHeadings2222232"/>
    <w:lvl w:ilvl="0" w:tplc="AD761674">
      <w:start w:val="1"/>
      <w:numFmt w:val="upperLetter"/>
      <w:lvlText w:val="%1."/>
      <w:lvlJc w:val="left"/>
      <w:pPr>
        <w:ind w:left="720" w:hanging="360"/>
      </w:pPr>
      <w:rPr>
        <w:b/>
        <w:i w:val="0"/>
        <w:color w:val="auto"/>
        <w:sz w:val="22"/>
        <w:szCs w:val="22"/>
      </w:rPr>
    </w:lvl>
    <w:lvl w:ilvl="1" w:tplc="1A242426">
      <w:start w:val="1"/>
      <w:numFmt w:val="bullet"/>
      <w:lvlText w:val=""/>
      <w:lvlJc w:val="left"/>
      <w:pPr>
        <w:ind w:left="1800" w:hanging="360"/>
      </w:pPr>
      <w:rPr>
        <w:rFonts w:ascii="Symbol" w:hAnsi="Symbol" w:hint="default"/>
        <w:b w:val="0"/>
        <w:i w:val="0"/>
        <w:color w:val="auto"/>
        <w:sz w:val="20"/>
      </w:r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86" w15:restartNumberingAfterBreak="0">
    <w:nsid w:val="65AE1BD2"/>
    <w:multiLevelType w:val="hybridMultilevel"/>
    <w:tmpl w:val="5388E900"/>
    <w:lvl w:ilvl="0" w:tplc="35E04292">
      <w:start w:val="1"/>
      <w:numFmt w:val="upperLetter"/>
      <w:lvlText w:val="%1."/>
      <w:lvlJc w:val="left"/>
      <w:pPr>
        <w:ind w:left="648" w:hanging="360"/>
      </w:pPr>
      <w:rPr>
        <w:b/>
        <w:i w:val="0"/>
        <w:color w:val="auto"/>
        <w:sz w:val="22"/>
        <w:szCs w:val="22"/>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87" w15:restartNumberingAfterBreak="0">
    <w:nsid w:val="65DA2F11"/>
    <w:multiLevelType w:val="hybridMultilevel"/>
    <w:tmpl w:val="C8F01C46"/>
    <w:lvl w:ilvl="0" w:tplc="E9B6A6BA">
      <w:start w:val="4"/>
      <w:numFmt w:val="decimal"/>
      <w:lvlText w:val="%1."/>
      <w:lvlJc w:val="left"/>
      <w:pPr>
        <w:tabs>
          <w:tab w:val="num" w:pos="1008"/>
        </w:tabs>
        <w:ind w:left="100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388" w15:restartNumberingAfterBreak="0">
    <w:nsid w:val="65E1487A"/>
    <w:multiLevelType w:val="hybridMultilevel"/>
    <w:tmpl w:val="A9640008"/>
    <w:lvl w:ilvl="0" w:tplc="04090003">
      <w:start w:val="1"/>
      <w:numFmt w:val="bullet"/>
      <w:lvlText w:val="o"/>
      <w:lvlJc w:val="left"/>
      <w:pPr>
        <w:tabs>
          <w:tab w:val="num" w:pos="1800"/>
        </w:tabs>
        <w:ind w:left="1800" w:hanging="360"/>
      </w:pPr>
      <w:rPr>
        <w:rFonts w:ascii="Courier New" w:hAnsi="Courier New" w:cs="Courier New" w:hint="default"/>
        <w:b w:val="0"/>
        <w:i w:val="0"/>
        <w:color w:val="auto"/>
        <w:sz w:val="20"/>
      </w:rPr>
    </w:lvl>
    <w:lvl w:ilvl="1" w:tplc="FFFFFFFF">
      <w:start w:val="1"/>
      <w:numFmt w:val="bullet"/>
      <w:lvlText w:val="o"/>
      <w:lvlJc w:val="left"/>
      <w:pPr>
        <w:ind w:left="-270" w:hanging="360"/>
      </w:pPr>
      <w:rPr>
        <w:rFonts w:ascii="Courier New" w:hAnsi="Courier New" w:hint="default"/>
      </w:rPr>
    </w:lvl>
    <w:lvl w:ilvl="2" w:tplc="FFFFFFFF">
      <w:start w:val="1"/>
      <w:numFmt w:val="bullet"/>
      <w:lvlText w:val=""/>
      <w:lvlJc w:val="left"/>
      <w:pPr>
        <w:ind w:left="450" w:hanging="360"/>
      </w:pPr>
      <w:rPr>
        <w:rFonts w:ascii="Wingdings" w:hAnsi="Wingdings" w:hint="default"/>
      </w:rPr>
    </w:lvl>
    <w:lvl w:ilvl="3" w:tplc="FFFFFFFF" w:tentative="1">
      <w:start w:val="1"/>
      <w:numFmt w:val="bullet"/>
      <w:lvlText w:val=""/>
      <w:lvlJc w:val="left"/>
      <w:pPr>
        <w:ind w:left="1170" w:hanging="360"/>
      </w:pPr>
      <w:rPr>
        <w:rFonts w:ascii="Symbol" w:hAnsi="Symbol" w:hint="default"/>
      </w:rPr>
    </w:lvl>
    <w:lvl w:ilvl="4" w:tplc="FFFFFFFF" w:tentative="1">
      <w:start w:val="1"/>
      <w:numFmt w:val="bullet"/>
      <w:lvlText w:val="o"/>
      <w:lvlJc w:val="left"/>
      <w:pPr>
        <w:ind w:left="1890" w:hanging="360"/>
      </w:pPr>
      <w:rPr>
        <w:rFonts w:ascii="Courier New" w:hAnsi="Courier New" w:hint="default"/>
      </w:rPr>
    </w:lvl>
    <w:lvl w:ilvl="5" w:tplc="FFFFFFFF">
      <w:start w:val="1"/>
      <w:numFmt w:val="bullet"/>
      <w:lvlText w:val=""/>
      <w:lvlJc w:val="left"/>
      <w:pPr>
        <w:ind w:left="2610" w:hanging="360"/>
      </w:pPr>
      <w:rPr>
        <w:rFonts w:ascii="Wingdings" w:hAnsi="Wingdings" w:hint="default"/>
      </w:rPr>
    </w:lvl>
    <w:lvl w:ilvl="6" w:tplc="FFFFFFFF" w:tentative="1">
      <w:start w:val="1"/>
      <w:numFmt w:val="bullet"/>
      <w:lvlText w:val=""/>
      <w:lvlJc w:val="left"/>
      <w:pPr>
        <w:ind w:left="3330" w:hanging="360"/>
      </w:pPr>
      <w:rPr>
        <w:rFonts w:ascii="Symbol" w:hAnsi="Symbol" w:hint="default"/>
      </w:rPr>
    </w:lvl>
    <w:lvl w:ilvl="7" w:tplc="FFFFFFFF" w:tentative="1">
      <w:start w:val="1"/>
      <w:numFmt w:val="bullet"/>
      <w:lvlText w:val="o"/>
      <w:lvlJc w:val="left"/>
      <w:pPr>
        <w:ind w:left="4050" w:hanging="360"/>
      </w:pPr>
      <w:rPr>
        <w:rFonts w:ascii="Courier New" w:hAnsi="Courier New" w:hint="default"/>
      </w:rPr>
    </w:lvl>
    <w:lvl w:ilvl="8" w:tplc="FFFFFFFF" w:tentative="1">
      <w:start w:val="1"/>
      <w:numFmt w:val="bullet"/>
      <w:lvlText w:val=""/>
      <w:lvlJc w:val="left"/>
      <w:pPr>
        <w:ind w:left="4770" w:hanging="360"/>
      </w:pPr>
      <w:rPr>
        <w:rFonts w:ascii="Wingdings" w:hAnsi="Wingdings" w:hint="default"/>
      </w:rPr>
    </w:lvl>
  </w:abstractNum>
  <w:abstractNum w:abstractNumId="389" w15:restartNumberingAfterBreak="0">
    <w:nsid w:val="65F24DAB"/>
    <w:multiLevelType w:val="hybridMultilevel"/>
    <w:tmpl w:val="A7341DFE"/>
    <w:lvl w:ilvl="0" w:tplc="30F047F6">
      <w:start w:val="1"/>
      <w:numFmt w:val="decimal"/>
      <w:lvlText w:val="%1."/>
      <w:lvlJc w:val="left"/>
      <w:pPr>
        <w:tabs>
          <w:tab w:val="num" w:pos="360"/>
        </w:tabs>
        <w:ind w:left="360" w:hanging="360"/>
      </w:pPr>
      <w:rPr>
        <w:b/>
        <w:i w:val="0"/>
      </w:rPr>
    </w:lvl>
    <w:lvl w:ilvl="1" w:tplc="00190409">
      <w:start w:val="1"/>
      <w:numFmt w:val="lowerLetter"/>
      <w:lvlText w:val="%2."/>
      <w:lvlJc w:val="left"/>
      <w:pPr>
        <w:tabs>
          <w:tab w:val="num" w:pos="1080"/>
        </w:tabs>
        <w:ind w:left="1080" w:hanging="360"/>
      </w:pPr>
    </w:lvl>
    <w:lvl w:ilvl="2" w:tplc="68D801B8">
      <w:start w:val="2"/>
      <w:numFmt w:val="decimal"/>
      <w:lvlText w:val="%3."/>
      <w:lvlJc w:val="left"/>
      <w:pPr>
        <w:tabs>
          <w:tab w:val="num" w:pos="1980"/>
        </w:tabs>
        <w:ind w:left="1980" w:hanging="360"/>
      </w:pPr>
      <w:rPr>
        <w:b/>
        <w:i w:val="0"/>
      </w:rPr>
    </w:lvl>
    <w:lvl w:ilvl="3" w:tplc="000F0409">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390" w15:restartNumberingAfterBreak="0">
    <w:nsid w:val="66312294"/>
    <w:multiLevelType w:val="hybridMultilevel"/>
    <w:tmpl w:val="905234B4"/>
    <w:lvl w:ilvl="0" w:tplc="E250880E">
      <w:start w:val="8"/>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91" w15:restartNumberingAfterBreak="0">
    <w:nsid w:val="676C6E7C"/>
    <w:multiLevelType w:val="hybridMultilevel"/>
    <w:tmpl w:val="BBAE9F18"/>
    <w:lvl w:ilvl="0" w:tplc="050289B2">
      <w:start w:val="1"/>
      <w:numFmt w:val="bullet"/>
      <w:lvlText w:val=""/>
      <w:lvlJc w:val="left"/>
      <w:pPr>
        <w:tabs>
          <w:tab w:val="num" w:pos="1440"/>
        </w:tabs>
        <w:ind w:left="1440" w:hanging="360"/>
      </w:pPr>
      <w:rPr>
        <w:rFonts w:ascii="Symbol" w:hAnsi="Symbol" w:hint="default"/>
        <w:b w:val="0"/>
        <w:i w:val="0"/>
        <w:color w:val="auto"/>
        <w:sz w:val="22"/>
      </w:rPr>
    </w:lvl>
    <w:lvl w:ilvl="1" w:tplc="574E12A2">
      <w:start w:val="1"/>
      <w:numFmt w:val="bullet"/>
      <w:lvlText w:val=""/>
      <w:lvlJc w:val="left"/>
      <w:pPr>
        <w:tabs>
          <w:tab w:val="num" w:pos="1440"/>
        </w:tabs>
        <w:ind w:left="1440" w:hanging="360"/>
      </w:pPr>
      <w:rPr>
        <w:rFonts w:ascii="Symbol" w:hAnsi="Symbol" w:hint="default"/>
        <w:b w:val="0"/>
        <w:i w:val="0"/>
        <w:sz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2" w15:restartNumberingAfterBreak="0">
    <w:nsid w:val="67836ACF"/>
    <w:multiLevelType w:val="hybridMultilevel"/>
    <w:tmpl w:val="8488E640"/>
    <w:lvl w:ilvl="0" w:tplc="E144A768">
      <w:start w:val="1"/>
      <w:numFmt w:val="bullet"/>
      <w:lvlText w:val=""/>
      <w:lvlJc w:val="left"/>
      <w:pPr>
        <w:tabs>
          <w:tab w:val="num" w:pos="1080"/>
        </w:tabs>
        <w:ind w:left="10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E144A768">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393" w15:restartNumberingAfterBreak="0">
    <w:nsid w:val="6790552A"/>
    <w:multiLevelType w:val="hybridMultilevel"/>
    <w:tmpl w:val="ED30DC2A"/>
    <w:lvl w:ilvl="0" w:tplc="C0645406">
      <w:start w:val="5"/>
      <w:numFmt w:val="decimal"/>
      <w:lvlText w:val="%1."/>
      <w:lvlJc w:val="left"/>
      <w:pPr>
        <w:tabs>
          <w:tab w:val="num" w:pos="1440"/>
        </w:tabs>
        <w:ind w:left="1440" w:hanging="360"/>
      </w:pPr>
      <w:rPr>
        <w:b/>
        <w:i w:val="0"/>
        <w:color w:val="auto"/>
        <w:sz w:val="22"/>
        <w:szCs w:val="22"/>
      </w:rPr>
    </w:lvl>
    <w:lvl w:ilvl="1" w:tplc="52BC8EB8">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94" w15:restartNumberingAfterBreak="0">
    <w:nsid w:val="67C95727"/>
    <w:multiLevelType w:val="hybridMultilevel"/>
    <w:tmpl w:val="56AC9F9A"/>
    <w:lvl w:ilvl="0" w:tplc="DD0A2432">
      <w:start w:val="1"/>
      <w:numFmt w:val="bullet"/>
      <w:lvlText w:val=""/>
      <w:lvlJc w:val="left"/>
      <w:pPr>
        <w:tabs>
          <w:tab w:val="num" w:pos="1800"/>
        </w:tabs>
        <w:ind w:left="1800" w:hanging="360"/>
      </w:pPr>
      <w:rPr>
        <w:rFonts w:ascii="Symbol" w:hAnsi="Symbol" w:hint="default"/>
        <w:b w:val="0"/>
        <w:i w:val="0"/>
        <w:color w:val="auto"/>
        <w:sz w:val="20"/>
      </w:rPr>
    </w:lvl>
    <w:lvl w:ilvl="1" w:tplc="00030409" w:tentative="1">
      <w:start w:val="1"/>
      <w:numFmt w:val="bullet"/>
      <w:lvlText w:val="o"/>
      <w:lvlJc w:val="left"/>
      <w:pPr>
        <w:ind w:left="2160" w:hanging="360"/>
      </w:pPr>
      <w:rPr>
        <w:rFonts w:ascii="Courier New" w:hAnsi="Courier New" w:hint="default"/>
      </w:rPr>
    </w:lvl>
    <w:lvl w:ilvl="2" w:tplc="00050409" w:tentative="1">
      <w:start w:val="1"/>
      <w:numFmt w:val="bullet"/>
      <w:lvlText w:val=""/>
      <w:lvlJc w:val="left"/>
      <w:pPr>
        <w:ind w:left="2880" w:hanging="360"/>
      </w:pPr>
      <w:rPr>
        <w:rFonts w:ascii="Wingdings" w:hAnsi="Wingdings" w:hint="default"/>
      </w:rPr>
    </w:lvl>
    <w:lvl w:ilvl="3" w:tplc="00010409" w:tentative="1">
      <w:start w:val="1"/>
      <w:numFmt w:val="bullet"/>
      <w:lvlText w:val=""/>
      <w:lvlJc w:val="left"/>
      <w:pPr>
        <w:ind w:left="3600" w:hanging="360"/>
      </w:pPr>
      <w:rPr>
        <w:rFonts w:ascii="Symbol" w:hAnsi="Symbol" w:hint="default"/>
      </w:rPr>
    </w:lvl>
    <w:lvl w:ilvl="4" w:tplc="00030409" w:tentative="1">
      <w:start w:val="1"/>
      <w:numFmt w:val="bullet"/>
      <w:lvlText w:val="o"/>
      <w:lvlJc w:val="left"/>
      <w:pPr>
        <w:ind w:left="4320" w:hanging="360"/>
      </w:pPr>
      <w:rPr>
        <w:rFonts w:ascii="Courier New" w:hAnsi="Courier New" w:hint="default"/>
      </w:rPr>
    </w:lvl>
    <w:lvl w:ilvl="5" w:tplc="00050409" w:tentative="1">
      <w:start w:val="1"/>
      <w:numFmt w:val="bullet"/>
      <w:lvlText w:val=""/>
      <w:lvlJc w:val="left"/>
      <w:pPr>
        <w:ind w:left="5040" w:hanging="360"/>
      </w:pPr>
      <w:rPr>
        <w:rFonts w:ascii="Wingdings" w:hAnsi="Wingdings" w:hint="default"/>
      </w:rPr>
    </w:lvl>
    <w:lvl w:ilvl="6" w:tplc="00010409" w:tentative="1">
      <w:start w:val="1"/>
      <w:numFmt w:val="bullet"/>
      <w:lvlText w:val=""/>
      <w:lvlJc w:val="left"/>
      <w:pPr>
        <w:ind w:left="5760" w:hanging="360"/>
      </w:pPr>
      <w:rPr>
        <w:rFonts w:ascii="Symbol" w:hAnsi="Symbol" w:hint="default"/>
      </w:rPr>
    </w:lvl>
    <w:lvl w:ilvl="7" w:tplc="00030409" w:tentative="1">
      <w:start w:val="1"/>
      <w:numFmt w:val="bullet"/>
      <w:lvlText w:val="o"/>
      <w:lvlJc w:val="left"/>
      <w:pPr>
        <w:ind w:left="6480" w:hanging="360"/>
      </w:pPr>
      <w:rPr>
        <w:rFonts w:ascii="Courier New" w:hAnsi="Courier New" w:hint="default"/>
      </w:rPr>
    </w:lvl>
    <w:lvl w:ilvl="8" w:tplc="00050409" w:tentative="1">
      <w:start w:val="1"/>
      <w:numFmt w:val="bullet"/>
      <w:lvlText w:val=""/>
      <w:lvlJc w:val="left"/>
      <w:pPr>
        <w:ind w:left="7200" w:hanging="360"/>
      </w:pPr>
      <w:rPr>
        <w:rFonts w:ascii="Wingdings" w:hAnsi="Wingdings" w:hint="default"/>
      </w:rPr>
    </w:lvl>
  </w:abstractNum>
  <w:abstractNum w:abstractNumId="395" w15:restartNumberingAfterBreak="0">
    <w:nsid w:val="682B0F82"/>
    <w:multiLevelType w:val="multilevel"/>
    <w:tmpl w:val="D72401F2"/>
    <w:lvl w:ilvl="0">
      <w:start w:val="1"/>
      <w:numFmt w:val="decimal"/>
      <w:lvlText w:val="%1."/>
      <w:lvlJc w:val="left"/>
      <w:pPr>
        <w:tabs>
          <w:tab w:val="num" w:pos="288"/>
        </w:tabs>
        <w:ind w:left="1224" w:hanging="1224"/>
      </w:pPr>
      <w:rPr>
        <w:b/>
        <w:i w:val="0"/>
      </w:rPr>
    </w:lvl>
    <w:lvl w:ilvl="1">
      <w:start w:val="1"/>
      <w:numFmt w:val="decimal"/>
      <w:lvlText w:val="%2."/>
      <w:lvlJc w:val="left"/>
      <w:pPr>
        <w:ind w:left="720" w:hanging="360"/>
      </w:p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96" w15:restartNumberingAfterBreak="0">
    <w:nsid w:val="68846902"/>
    <w:multiLevelType w:val="hybridMultilevel"/>
    <w:tmpl w:val="660662B4"/>
    <w:lvl w:ilvl="0" w:tplc="2C1804DC">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397" w15:restartNumberingAfterBreak="0">
    <w:nsid w:val="69646246"/>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398" w15:restartNumberingAfterBreak="0">
    <w:nsid w:val="69A40F5E"/>
    <w:multiLevelType w:val="hybridMultilevel"/>
    <w:tmpl w:val="8F7889D2"/>
    <w:lvl w:ilvl="0" w:tplc="A67C808A">
      <w:start w:val="1"/>
      <w:numFmt w:val="upperLetter"/>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399" w15:restartNumberingAfterBreak="0">
    <w:nsid w:val="69C45ACF"/>
    <w:multiLevelType w:val="hybridMultilevel"/>
    <w:tmpl w:val="4F4450B4"/>
    <w:lvl w:ilvl="0" w:tplc="5F88633C">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0" w15:restartNumberingAfterBreak="0">
    <w:nsid w:val="6A465126"/>
    <w:multiLevelType w:val="hybridMultilevel"/>
    <w:tmpl w:val="112E817C"/>
    <w:lvl w:ilvl="0" w:tplc="D0446332">
      <w:start w:val="1"/>
      <w:numFmt w:val="decimal"/>
      <w:lvlText w:val="%1."/>
      <w:lvlJc w:val="left"/>
      <w:pPr>
        <w:tabs>
          <w:tab w:val="num" w:pos="720"/>
        </w:tabs>
        <w:ind w:left="720" w:hanging="360"/>
      </w:p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1" w15:restartNumberingAfterBreak="0">
    <w:nsid w:val="6A6855FF"/>
    <w:multiLevelType w:val="hybridMultilevel"/>
    <w:tmpl w:val="ECD072BC"/>
    <w:lvl w:ilvl="0" w:tplc="FDC88254">
      <w:start w:val="2"/>
      <w:numFmt w:val="upperLetter"/>
      <w:lvlText w:val="%1."/>
      <w:lvlJc w:val="left"/>
      <w:pPr>
        <w:ind w:left="1530" w:hanging="360"/>
      </w:pPr>
      <w:rPr>
        <w:b/>
        <w:i w:val="0"/>
        <w:color w:val="auto"/>
        <w:sz w:val="22"/>
        <w:szCs w:val="22"/>
      </w:rPr>
    </w:lvl>
    <w:lvl w:ilvl="1" w:tplc="04090019">
      <w:start w:val="1"/>
      <w:numFmt w:val="lowerLetter"/>
      <w:lvlText w:val="%2."/>
      <w:lvlJc w:val="left"/>
      <w:pPr>
        <w:ind w:left="810" w:hanging="360"/>
      </w:pPr>
    </w:lvl>
    <w:lvl w:ilvl="2" w:tplc="0409001B" w:tentative="1">
      <w:start w:val="1"/>
      <w:numFmt w:val="lowerRoman"/>
      <w:lvlText w:val="%3."/>
      <w:lvlJc w:val="right"/>
      <w:pPr>
        <w:ind w:left="1530" w:hanging="180"/>
      </w:pPr>
    </w:lvl>
    <w:lvl w:ilvl="3" w:tplc="0409000F" w:tentative="1">
      <w:start w:val="1"/>
      <w:numFmt w:val="decimal"/>
      <w:lvlText w:val="%4."/>
      <w:lvlJc w:val="left"/>
      <w:pPr>
        <w:ind w:left="2250" w:hanging="360"/>
      </w:pPr>
    </w:lvl>
    <w:lvl w:ilvl="4" w:tplc="04090019" w:tentative="1">
      <w:start w:val="1"/>
      <w:numFmt w:val="lowerLetter"/>
      <w:lvlText w:val="%5."/>
      <w:lvlJc w:val="left"/>
      <w:pPr>
        <w:ind w:left="2970" w:hanging="360"/>
      </w:pPr>
    </w:lvl>
    <w:lvl w:ilvl="5" w:tplc="0409001B" w:tentative="1">
      <w:start w:val="1"/>
      <w:numFmt w:val="lowerRoman"/>
      <w:lvlText w:val="%6."/>
      <w:lvlJc w:val="right"/>
      <w:pPr>
        <w:ind w:left="3690" w:hanging="180"/>
      </w:pPr>
    </w:lvl>
    <w:lvl w:ilvl="6" w:tplc="0409000F" w:tentative="1">
      <w:start w:val="1"/>
      <w:numFmt w:val="decimal"/>
      <w:lvlText w:val="%7."/>
      <w:lvlJc w:val="left"/>
      <w:pPr>
        <w:ind w:left="4410" w:hanging="360"/>
      </w:pPr>
    </w:lvl>
    <w:lvl w:ilvl="7" w:tplc="04090019" w:tentative="1">
      <w:start w:val="1"/>
      <w:numFmt w:val="lowerLetter"/>
      <w:lvlText w:val="%8."/>
      <w:lvlJc w:val="left"/>
      <w:pPr>
        <w:ind w:left="5130" w:hanging="360"/>
      </w:pPr>
    </w:lvl>
    <w:lvl w:ilvl="8" w:tplc="0409001B" w:tentative="1">
      <w:start w:val="1"/>
      <w:numFmt w:val="lowerRoman"/>
      <w:lvlText w:val="%9."/>
      <w:lvlJc w:val="right"/>
      <w:pPr>
        <w:ind w:left="5850" w:hanging="180"/>
      </w:pPr>
    </w:lvl>
  </w:abstractNum>
  <w:abstractNum w:abstractNumId="402" w15:restartNumberingAfterBreak="0">
    <w:nsid w:val="6B4B5A53"/>
    <w:multiLevelType w:val="hybridMultilevel"/>
    <w:tmpl w:val="F5C2C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15:restartNumberingAfterBreak="0">
    <w:nsid w:val="6B62573B"/>
    <w:multiLevelType w:val="hybridMultilevel"/>
    <w:tmpl w:val="60A2C128"/>
    <w:lvl w:ilvl="0" w:tplc="B3986786">
      <w:start w:val="1"/>
      <w:numFmt w:val="upperLetter"/>
      <w:lvlText w:val="%1."/>
      <w:lvlJc w:val="left"/>
      <w:pPr>
        <w:ind w:left="720"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4" w15:restartNumberingAfterBreak="0">
    <w:nsid w:val="6BE505E0"/>
    <w:multiLevelType w:val="hybridMultilevel"/>
    <w:tmpl w:val="156C45AE"/>
    <w:lvl w:ilvl="0" w:tplc="9FBC6770">
      <w:start w:val="1"/>
      <w:numFmt w:val="bullet"/>
      <w:lvlText w:val=""/>
      <w:lvlJc w:val="left"/>
      <w:pPr>
        <w:tabs>
          <w:tab w:val="num" w:pos="1440"/>
        </w:tabs>
        <w:ind w:left="144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cs="Arial" w:hint="default"/>
      </w:rPr>
    </w:lvl>
    <w:lvl w:ilvl="2" w:tplc="00050409">
      <w:start w:val="1"/>
      <w:numFmt w:val="bullet"/>
      <w:lvlText w:val=""/>
      <w:lvlJc w:val="left"/>
      <w:pPr>
        <w:ind w:left="2160" w:hanging="360"/>
      </w:pPr>
      <w:rPr>
        <w:rFonts w:ascii="Wingdings" w:hAnsi="Wingdings" w:hint="default"/>
      </w:rPr>
    </w:lvl>
    <w:lvl w:ilvl="3" w:tplc="00010409">
      <w:start w:val="1"/>
      <w:numFmt w:val="bullet"/>
      <w:lvlText w:val=""/>
      <w:lvlJc w:val="left"/>
      <w:pPr>
        <w:ind w:left="2880" w:hanging="360"/>
      </w:pPr>
      <w:rPr>
        <w:rFonts w:ascii="Symbol" w:hAnsi="Symbol" w:hint="default"/>
      </w:rPr>
    </w:lvl>
    <w:lvl w:ilvl="4" w:tplc="00030409">
      <w:start w:val="1"/>
      <w:numFmt w:val="bullet"/>
      <w:lvlText w:val="o"/>
      <w:lvlJc w:val="left"/>
      <w:pPr>
        <w:ind w:left="3600" w:hanging="360"/>
      </w:pPr>
      <w:rPr>
        <w:rFonts w:ascii="Courier New" w:hAnsi="Courier New" w:cs="Arial" w:hint="default"/>
      </w:rPr>
    </w:lvl>
    <w:lvl w:ilvl="5" w:tplc="00050409">
      <w:start w:val="1"/>
      <w:numFmt w:val="bullet"/>
      <w:lvlText w:val=""/>
      <w:lvlJc w:val="left"/>
      <w:pPr>
        <w:ind w:left="4320" w:hanging="360"/>
      </w:pPr>
      <w:rPr>
        <w:rFonts w:ascii="Wingdings" w:hAnsi="Wingdings" w:hint="default"/>
      </w:rPr>
    </w:lvl>
    <w:lvl w:ilvl="6" w:tplc="00010409">
      <w:start w:val="1"/>
      <w:numFmt w:val="bullet"/>
      <w:lvlText w:val=""/>
      <w:lvlJc w:val="left"/>
      <w:pPr>
        <w:ind w:left="5040" w:hanging="360"/>
      </w:pPr>
      <w:rPr>
        <w:rFonts w:ascii="Symbol" w:hAnsi="Symbol" w:hint="default"/>
      </w:rPr>
    </w:lvl>
    <w:lvl w:ilvl="7" w:tplc="00030409">
      <w:start w:val="1"/>
      <w:numFmt w:val="bullet"/>
      <w:lvlText w:val="o"/>
      <w:lvlJc w:val="left"/>
      <w:pPr>
        <w:ind w:left="5760" w:hanging="360"/>
      </w:pPr>
      <w:rPr>
        <w:rFonts w:ascii="Courier New" w:hAnsi="Courier New" w:cs="Arial" w:hint="default"/>
      </w:rPr>
    </w:lvl>
    <w:lvl w:ilvl="8" w:tplc="00050409">
      <w:start w:val="1"/>
      <w:numFmt w:val="bullet"/>
      <w:lvlText w:val=""/>
      <w:lvlJc w:val="left"/>
      <w:pPr>
        <w:ind w:left="6480" w:hanging="360"/>
      </w:pPr>
      <w:rPr>
        <w:rFonts w:ascii="Wingdings" w:hAnsi="Wingdings" w:hint="default"/>
      </w:rPr>
    </w:lvl>
  </w:abstractNum>
  <w:abstractNum w:abstractNumId="405" w15:restartNumberingAfterBreak="0">
    <w:nsid w:val="6C64095B"/>
    <w:multiLevelType w:val="hybridMultilevel"/>
    <w:tmpl w:val="116CBD20"/>
    <w:lvl w:ilvl="0" w:tplc="2B00BA00">
      <w:start w:val="1"/>
      <w:numFmt w:val="bullet"/>
      <w:lvlText w:val=""/>
      <w:lvlJc w:val="left"/>
      <w:pPr>
        <w:tabs>
          <w:tab w:val="num" w:pos="1440"/>
        </w:tabs>
        <w:ind w:left="1440" w:hanging="360"/>
      </w:pPr>
      <w:rPr>
        <w:rFonts w:ascii="Symbol" w:hAnsi="Symbol" w:hint="default"/>
        <w:b w:val="0"/>
        <w:i w:val="0"/>
        <w:sz w:val="18"/>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406" w15:restartNumberingAfterBreak="0">
    <w:nsid w:val="6C984993"/>
    <w:multiLevelType w:val="multilevel"/>
    <w:tmpl w:val="B4AE1DB4"/>
    <w:lvl w:ilvl="0">
      <w:start w:val="1"/>
      <w:numFmt w:val="decimal"/>
      <w:lvlText w:val="1.%1."/>
      <w:lvlJc w:val="left"/>
      <w:pPr>
        <w:tabs>
          <w:tab w:val="num" w:pos="360"/>
        </w:tabs>
        <w:ind w:left="360" w:hanging="360"/>
      </w:pPr>
      <w:rPr>
        <w:b/>
        <w:i w:val="0"/>
      </w:rPr>
    </w:lvl>
    <w:lvl w:ilvl="1">
      <w:start w:val="1"/>
      <w:numFmt w:val="decimal"/>
      <w:lvlText w:val="%1.%2."/>
      <w:lvlJc w:val="left"/>
      <w:pPr>
        <w:tabs>
          <w:tab w:val="num" w:pos="792"/>
        </w:tabs>
        <w:ind w:left="792" w:hanging="432"/>
      </w:pPr>
    </w:lvl>
    <w:lvl w:ilvl="2">
      <w:start w:val="2"/>
      <w:numFmt w:val="upperLetter"/>
      <w:lvlText w:val="%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7" w15:restartNumberingAfterBreak="0">
    <w:nsid w:val="6CC64045"/>
    <w:multiLevelType w:val="hybridMultilevel"/>
    <w:tmpl w:val="8F6A6D70"/>
    <w:lvl w:ilvl="0" w:tplc="044A9740">
      <w:start w:val="1"/>
      <w:numFmt w:val="bullet"/>
      <w:lvlText w:val=""/>
      <w:lvlJc w:val="left"/>
      <w:pPr>
        <w:tabs>
          <w:tab w:val="num" w:pos="1080"/>
        </w:tabs>
        <w:ind w:left="10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44A9740">
      <w:start w:val="1"/>
      <w:numFmt w:val="bullet"/>
      <w:lvlText w:val=""/>
      <w:lvlJc w:val="left"/>
      <w:pPr>
        <w:tabs>
          <w:tab w:val="num" w:pos="2160"/>
        </w:tabs>
        <w:ind w:left="2160" w:hanging="360"/>
      </w:pPr>
      <w:rPr>
        <w:rFonts w:ascii="Symbol" w:hAnsi="Symbol" w:hint="default"/>
        <w:b w:val="0"/>
        <w:i w:val="0"/>
        <w:color w:val="auto"/>
        <w:sz w:val="20"/>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8" w15:restartNumberingAfterBreak="0">
    <w:nsid w:val="6D0072C6"/>
    <w:multiLevelType w:val="multilevel"/>
    <w:tmpl w:val="4566C72A"/>
    <w:lvl w:ilvl="0">
      <w:start w:val="5"/>
      <w:numFmt w:val="decimal"/>
      <w:lvlText w:val="%1"/>
      <w:lvlJc w:val="left"/>
      <w:pPr>
        <w:tabs>
          <w:tab w:val="num" w:pos="360"/>
        </w:tabs>
        <w:ind w:left="360" w:hanging="360"/>
      </w:pPr>
    </w:lvl>
    <w:lvl w:ilvl="1">
      <w:start w:val="2"/>
      <w:numFmt w:val="decimal"/>
      <w:lvlText w:val="6.%2"/>
      <w:lvlJc w:val="left"/>
      <w:pPr>
        <w:tabs>
          <w:tab w:val="num" w:pos="540"/>
        </w:tabs>
        <w:ind w:left="54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260"/>
        </w:tabs>
        <w:ind w:left="126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980"/>
        </w:tabs>
        <w:ind w:left="1980" w:hanging="1080"/>
      </w:pPr>
    </w:lvl>
    <w:lvl w:ilvl="6">
      <w:start w:val="1"/>
      <w:numFmt w:val="decimal"/>
      <w:lvlText w:val="%1.%2.%3.%4.%5.%6.%7"/>
      <w:lvlJc w:val="left"/>
      <w:pPr>
        <w:tabs>
          <w:tab w:val="num" w:pos="2520"/>
        </w:tabs>
        <w:ind w:left="2520" w:hanging="1440"/>
      </w:pPr>
    </w:lvl>
    <w:lvl w:ilvl="7">
      <w:start w:val="1"/>
      <w:numFmt w:val="decimal"/>
      <w:lvlText w:val="%1.%2.%3.%4.%5.%6.%7.%8"/>
      <w:lvlJc w:val="left"/>
      <w:pPr>
        <w:tabs>
          <w:tab w:val="num" w:pos="2700"/>
        </w:tabs>
        <w:ind w:left="2700" w:hanging="1440"/>
      </w:pPr>
    </w:lvl>
    <w:lvl w:ilvl="8">
      <w:start w:val="1"/>
      <w:numFmt w:val="decimal"/>
      <w:lvlText w:val="%1.%2.%3.%4.%5.%6.%7.%8.%9"/>
      <w:lvlJc w:val="left"/>
      <w:pPr>
        <w:tabs>
          <w:tab w:val="num" w:pos="3240"/>
        </w:tabs>
        <w:ind w:left="3240" w:hanging="1800"/>
      </w:pPr>
    </w:lvl>
  </w:abstractNum>
  <w:abstractNum w:abstractNumId="409" w15:restartNumberingAfterBreak="0">
    <w:nsid w:val="6D577C58"/>
    <w:multiLevelType w:val="hybridMultilevel"/>
    <w:tmpl w:val="139ED85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0" w15:restartNumberingAfterBreak="0">
    <w:nsid w:val="6D5C2CB0"/>
    <w:multiLevelType w:val="hybridMultilevel"/>
    <w:tmpl w:val="80F48CCA"/>
    <w:lvl w:ilvl="0" w:tplc="01AACCB6">
      <w:start w:val="1"/>
      <w:numFmt w:val="bullet"/>
      <w:lvlText w:val=""/>
      <w:lvlJc w:val="left"/>
      <w:pPr>
        <w:tabs>
          <w:tab w:val="num" w:pos="720"/>
        </w:tabs>
        <w:ind w:left="720" w:hanging="360"/>
      </w:pPr>
      <w:rPr>
        <w:rFonts w:ascii="Symbol" w:hAnsi="Symbol" w:hint="default"/>
        <w:b w:val="0"/>
        <w:i w:val="0"/>
        <w:color w:val="auto"/>
        <w:sz w:val="20"/>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1" w15:restartNumberingAfterBreak="0">
    <w:nsid w:val="6E0F0EBB"/>
    <w:multiLevelType w:val="hybridMultilevel"/>
    <w:tmpl w:val="83607370"/>
    <w:lvl w:ilvl="0" w:tplc="F4E817D8">
      <w:start w:val="1"/>
      <w:numFmt w:val="upperLetter"/>
      <w:lvlText w:val="%1."/>
      <w:lvlJc w:val="left"/>
      <w:pPr>
        <w:ind w:left="2160"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12" w15:restartNumberingAfterBreak="0">
    <w:nsid w:val="6E4F19BB"/>
    <w:multiLevelType w:val="hybridMultilevel"/>
    <w:tmpl w:val="2F122654"/>
    <w:lvl w:ilvl="0" w:tplc="BF1C1E02">
      <w:start w:val="1"/>
      <w:numFmt w:val="upperLetter"/>
      <w:lvlText w:val="%1."/>
      <w:lvlJc w:val="left"/>
      <w:pPr>
        <w:ind w:left="1008" w:hanging="360"/>
      </w:pPr>
      <w:rPr>
        <w:b/>
        <w:i w:val="0"/>
        <w:color w:val="auto"/>
        <w:sz w:val="22"/>
        <w:szCs w:val="22"/>
      </w:rPr>
    </w:lvl>
    <w:lvl w:ilvl="1" w:tplc="00190409">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13" w15:restartNumberingAfterBreak="0">
    <w:nsid w:val="6E766441"/>
    <w:multiLevelType w:val="hybridMultilevel"/>
    <w:tmpl w:val="C2B298F0"/>
    <w:lvl w:ilvl="0" w:tplc="181C56BE">
      <w:start w:val="1"/>
      <w:numFmt w:val="bullet"/>
      <w:lvlText w:val=""/>
      <w:lvlJc w:val="left"/>
      <w:pPr>
        <w:tabs>
          <w:tab w:val="num" w:pos="3600"/>
        </w:tabs>
        <w:ind w:left="3600" w:hanging="360"/>
      </w:pPr>
      <w:rPr>
        <w:rFonts w:ascii="Symbol" w:hAnsi="Symbol" w:hint="default"/>
        <w:b w:val="0"/>
        <w:i w:val="0"/>
        <w:color w:val="auto"/>
        <w:sz w:val="20"/>
      </w:rPr>
    </w:lvl>
    <w:lvl w:ilvl="1" w:tplc="00030409" w:tentative="1">
      <w:start w:val="1"/>
      <w:numFmt w:val="bullet"/>
      <w:lvlText w:val="o"/>
      <w:lvlJc w:val="left"/>
      <w:pPr>
        <w:tabs>
          <w:tab w:val="num" w:pos="3528"/>
        </w:tabs>
        <w:ind w:left="3528" w:hanging="360"/>
      </w:pPr>
      <w:rPr>
        <w:rFonts w:ascii="Courier New" w:hAnsi="Courier New" w:hint="default"/>
      </w:rPr>
    </w:lvl>
    <w:lvl w:ilvl="2" w:tplc="00050409" w:tentative="1">
      <w:start w:val="1"/>
      <w:numFmt w:val="bullet"/>
      <w:lvlText w:val=""/>
      <w:lvlJc w:val="left"/>
      <w:pPr>
        <w:tabs>
          <w:tab w:val="num" w:pos="4248"/>
        </w:tabs>
        <w:ind w:left="4248" w:hanging="360"/>
      </w:pPr>
      <w:rPr>
        <w:rFonts w:ascii="Wingdings" w:hAnsi="Wingdings" w:hint="default"/>
      </w:rPr>
    </w:lvl>
    <w:lvl w:ilvl="3" w:tplc="00010409" w:tentative="1">
      <w:start w:val="1"/>
      <w:numFmt w:val="bullet"/>
      <w:lvlText w:val=""/>
      <w:lvlJc w:val="left"/>
      <w:pPr>
        <w:tabs>
          <w:tab w:val="num" w:pos="4968"/>
        </w:tabs>
        <w:ind w:left="4968" w:hanging="360"/>
      </w:pPr>
      <w:rPr>
        <w:rFonts w:ascii="Symbol" w:hAnsi="Symbol" w:hint="default"/>
      </w:rPr>
    </w:lvl>
    <w:lvl w:ilvl="4" w:tplc="2C762A5A">
      <w:start w:val="1"/>
      <w:numFmt w:val="bullet"/>
      <w:lvlText w:val=""/>
      <w:lvlJc w:val="left"/>
      <w:pPr>
        <w:tabs>
          <w:tab w:val="num" w:pos="3600"/>
        </w:tabs>
        <w:ind w:left="3600" w:hanging="360"/>
      </w:pPr>
      <w:rPr>
        <w:rFonts w:ascii="Symbol" w:hAnsi="Symbol" w:hint="default"/>
        <w:b w:val="0"/>
        <w:i w:val="0"/>
        <w:color w:val="auto"/>
        <w:sz w:val="20"/>
      </w:rPr>
    </w:lvl>
    <w:lvl w:ilvl="5" w:tplc="00050409">
      <w:start w:val="1"/>
      <w:numFmt w:val="bullet"/>
      <w:lvlText w:val=""/>
      <w:lvlJc w:val="left"/>
      <w:pPr>
        <w:tabs>
          <w:tab w:val="num" w:pos="6408"/>
        </w:tabs>
        <w:ind w:left="6408" w:hanging="360"/>
      </w:pPr>
      <w:rPr>
        <w:rFonts w:ascii="Wingdings" w:hAnsi="Wingdings" w:hint="default"/>
      </w:rPr>
    </w:lvl>
    <w:lvl w:ilvl="6" w:tplc="00010409" w:tentative="1">
      <w:start w:val="1"/>
      <w:numFmt w:val="bullet"/>
      <w:lvlText w:val=""/>
      <w:lvlJc w:val="left"/>
      <w:pPr>
        <w:tabs>
          <w:tab w:val="num" w:pos="7128"/>
        </w:tabs>
        <w:ind w:left="7128" w:hanging="360"/>
      </w:pPr>
      <w:rPr>
        <w:rFonts w:ascii="Symbol" w:hAnsi="Symbol" w:hint="default"/>
      </w:rPr>
    </w:lvl>
    <w:lvl w:ilvl="7" w:tplc="00030409" w:tentative="1">
      <w:start w:val="1"/>
      <w:numFmt w:val="bullet"/>
      <w:lvlText w:val="o"/>
      <w:lvlJc w:val="left"/>
      <w:pPr>
        <w:tabs>
          <w:tab w:val="num" w:pos="7848"/>
        </w:tabs>
        <w:ind w:left="7848" w:hanging="360"/>
      </w:pPr>
      <w:rPr>
        <w:rFonts w:ascii="Courier New" w:hAnsi="Courier New" w:hint="default"/>
      </w:rPr>
    </w:lvl>
    <w:lvl w:ilvl="8" w:tplc="00050409" w:tentative="1">
      <w:start w:val="1"/>
      <w:numFmt w:val="bullet"/>
      <w:lvlText w:val=""/>
      <w:lvlJc w:val="left"/>
      <w:pPr>
        <w:tabs>
          <w:tab w:val="num" w:pos="8568"/>
        </w:tabs>
        <w:ind w:left="8568" w:hanging="360"/>
      </w:pPr>
      <w:rPr>
        <w:rFonts w:ascii="Wingdings" w:hAnsi="Wingdings" w:hint="default"/>
      </w:rPr>
    </w:lvl>
  </w:abstractNum>
  <w:abstractNum w:abstractNumId="414" w15:restartNumberingAfterBreak="0">
    <w:nsid w:val="6E7F458F"/>
    <w:multiLevelType w:val="hybridMultilevel"/>
    <w:tmpl w:val="414A0B82"/>
    <w:lvl w:ilvl="0" w:tplc="FFFFFFFF">
      <w:start w:val="1"/>
      <w:numFmt w:val="bullet"/>
      <w:lvlText w:val=""/>
      <w:lvlJc w:val="left"/>
      <w:pPr>
        <w:ind w:left="1800" w:hanging="360"/>
      </w:pPr>
      <w:rPr>
        <w:rFonts w:ascii="Symbol" w:hAnsi="Symbol" w:hint="default"/>
        <w:b w:val="0"/>
        <w:i w:val="0"/>
        <w:color w:val="auto"/>
        <w:sz w:val="20"/>
      </w:rPr>
    </w:lvl>
    <w:lvl w:ilvl="1" w:tplc="FFFFFFFF">
      <w:start w:val="1"/>
      <w:numFmt w:val="bullet"/>
      <w:lvlText w:val=""/>
      <w:lvlJc w:val="left"/>
      <w:pPr>
        <w:ind w:left="1440" w:hanging="360"/>
      </w:pPr>
      <w:rPr>
        <w:rFonts w:ascii="Symbol" w:hAnsi="Symbol" w:hint="default"/>
        <w:b w:val="0"/>
        <w:i w:val="0"/>
        <w:color w:val="auto"/>
        <w:sz w:val="20"/>
      </w:rPr>
    </w:lvl>
    <w:lvl w:ilvl="2" w:tplc="FFFFFFFF">
      <w:start w:val="1"/>
      <w:numFmt w:val="bullet"/>
      <w:lvlText w:val="o"/>
      <w:lvlJc w:val="left"/>
      <w:pPr>
        <w:ind w:left="1800" w:hanging="360"/>
      </w:pPr>
      <w:rPr>
        <w:rFonts w:ascii="Courier New" w:hAnsi="Courier New" w:cs="Courier New" w:hint="default"/>
      </w:rPr>
    </w:lvl>
    <w:lvl w:ilvl="3" w:tplc="04090003">
      <w:start w:val="1"/>
      <w:numFmt w:val="bullet"/>
      <w:lvlText w:val="o"/>
      <w:lvlJc w:val="left"/>
      <w:pPr>
        <w:ind w:left="1800" w:hanging="360"/>
      </w:pPr>
      <w:rPr>
        <w:rFonts w:ascii="Courier New" w:hAnsi="Courier New" w:cs="Courier New" w:hint="default"/>
      </w:rPr>
    </w:lvl>
    <w:lvl w:ilvl="4" w:tplc="FFFFFFFF">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5" w15:restartNumberingAfterBreak="0">
    <w:nsid w:val="6EB6086E"/>
    <w:multiLevelType w:val="hybridMultilevel"/>
    <w:tmpl w:val="EB5A65A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6" w15:restartNumberingAfterBreak="0">
    <w:nsid w:val="6FA025FF"/>
    <w:multiLevelType w:val="hybridMultilevel"/>
    <w:tmpl w:val="B6208348"/>
    <w:lvl w:ilvl="0" w:tplc="E2E0AAE0">
      <w:start w:val="1"/>
      <w:numFmt w:val="bullet"/>
      <w:lvlText w:val=""/>
      <w:lvlJc w:val="left"/>
      <w:pPr>
        <w:ind w:left="108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CBF21F6C">
      <w:start w:val="1"/>
      <w:numFmt w:val="bullet"/>
      <w:lvlText w:val=""/>
      <w:lvlJc w:val="left"/>
      <w:pPr>
        <w:ind w:left="2160" w:hanging="360"/>
      </w:pPr>
      <w:rPr>
        <w:rFonts w:ascii="Symbol" w:hAnsi="Symbol" w:hint="default"/>
        <w:b w:val="0"/>
        <w:i w:val="0"/>
        <w:color w:val="auto"/>
        <w:sz w:val="20"/>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17" w15:restartNumberingAfterBreak="0">
    <w:nsid w:val="6FA3183E"/>
    <w:multiLevelType w:val="hybridMultilevel"/>
    <w:tmpl w:val="AE686572"/>
    <w:lvl w:ilvl="0" w:tplc="0409000F">
      <w:start w:val="1"/>
      <w:numFmt w:val="decimal"/>
      <w:lvlText w:val="%1."/>
      <w:lvlJc w:val="left"/>
      <w:pPr>
        <w:tabs>
          <w:tab w:val="num" w:pos="360"/>
        </w:tabs>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lvl>
    <w:lvl w:ilvl="3" w:tplc="04090001">
      <w:start w:val="1"/>
      <w:numFmt w:val="bullet"/>
      <w:lvlText w:val=""/>
      <w:lvlJc w:val="left"/>
      <w:pPr>
        <w:tabs>
          <w:tab w:val="num" w:pos="2520"/>
        </w:tabs>
        <w:ind w:left="2520" w:hanging="360"/>
      </w:pPr>
      <w:rPr>
        <w:rFonts w:ascii="Symbol" w:hAnsi="Symbol" w:hint="default"/>
      </w:r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18" w15:restartNumberingAfterBreak="0">
    <w:nsid w:val="6FAE430F"/>
    <w:multiLevelType w:val="hybridMultilevel"/>
    <w:tmpl w:val="D3EA46F0"/>
    <w:lvl w:ilvl="0" w:tplc="9DC60F62">
      <w:start w:val="1"/>
      <w:numFmt w:val="bullet"/>
      <w:lvlText w:val=""/>
      <w:lvlJc w:val="left"/>
      <w:pPr>
        <w:tabs>
          <w:tab w:val="num" w:pos="4680"/>
        </w:tabs>
        <w:ind w:left="4680" w:hanging="360"/>
      </w:pPr>
      <w:rPr>
        <w:rFonts w:ascii="Symbol" w:hAnsi="Symbol" w:hint="default"/>
        <w:b w:val="0"/>
        <w:i w:val="0"/>
        <w:color w:val="auto"/>
        <w:sz w:val="20"/>
      </w:rPr>
    </w:lvl>
    <w:lvl w:ilvl="1" w:tplc="00030409">
      <w:start w:val="1"/>
      <w:numFmt w:val="bullet"/>
      <w:lvlText w:val="o"/>
      <w:lvlJc w:val="left"/>
      <w:pPr>
        <w:ind w:left="4050" w:hanging="360"/>
      </w:pPr>
      <w:rPr>
        <w:rFonts w:ascii="Courier New" w:hAnsi="Courier New" w:hint="default"/>
      </w:rPr>
    </w:lvl>
    <w:lvl w:ilvl="2" w:tplc="00050409">
      <w:start w:val="1"/>
      <w:numFmt w:val="bullet"/>
      <w:lvlText w:val=""/>
      <w:lvlJc w:val="left"/>
      <w:pPr>
        <w:ind w:left="4770" w:hanging="360"/>
      </w:pPr>
      <w:rPr>
        <w:rFonts w:ascii="Wingdings" w:hAnsi="Wingdings" w:hint="default"/>
      </w:rPr>
    </w:lvl>
    <w:lvl w:ilvl="3" w:tplc="00010409">
      <w:start w:val="1"/>
      <w:numFmt w:val="bullet"/>
      <w:lvlText w:val=""/>
      <w:lvlJc w:val="left"/>
      <w:pPr>
        <w:ind w:left="5490" w:hanging="360"/>
      </w:pPr>
      <w:rPr>
        <w:rFonts w:ascii="Symbol" w:hAnsi="Symbol" w:hint="default"/>
      </w:rPr>
    </w:lvl>
    <w:lvl w:ilvl="4" w:tplc="00030409">
      <w:start w:val="1"/>
      <w:numFmt w:val="bullet"/>
      <w:lvlText w:val="o"/>
      <w:lvlJc w:val="left"/>
      <w:pPr>
        <w:ind w:left="6210" w:hanging="360"/>
      </w:pPr>
      <w:rPr>
        <w:rFonts w:ascii="Courier New" w:hAnsi="Courier New" w:hint="default"/>
      </w:rPr>
    </w:lvl>
    <w:lvl w:ilvl="5" w:tplc="00050409" w:tentative="1">
      <w:start w:val="1"/>
      <w:numFmt w:val="bullet"/>
      <w:lvlText w:val=""/>
      <w:lvlJc w:val="left"/>
      <w:pPr>
        <w:ind w:left="6930" w:hanging="360"/>
      </w:pPr>
      <w:rPr>
        <w:rFonts w:ascii="Wingdings" w:hAnsi="Wingdings" w:hint="default"/>
      </w:rPr>
    </w:lvl>
    <w:lvl w:ilvl="6" w:tplc="00010409" w:tentative="1">
      <w:start w:val="1"/>
      <w:numFmt w:val="bullet"/>
      <w:lvlText w:val=""/>
      <w:lvlJc w:val="left"/>
      <w:pPr>
        <w:ind w:left="7650" w:hanging="360"/>
      </w:pPr>
      <w:rPr>
        <w:rFonts w:ascii="Symbol" w:hAnsi="Symbol" w:hint="default"/>
      </w:rPr>
    </w:lvl>
    <w:lvl w:ilvl="7" w:tplc="00030409" w:tentative="1">
      <w:start w:val="1"/>
      <w:numFmt w:val="bullet"/>
      <w:lvlText w:val="o"/>
      <w:lvlJc w:val="left"/>
      <w:pPr>
        <w:ind w:left="8370" w:hanging="360"/>
      </w:pPr>
      <w:rPr>
        <w:rFonts w:ascii="Courier New" w:hAnsi="Courier New" w:hint="default"/>
      </w:rPr>
    </w:lvl>
    <w:lvl w:ilvl="8" w:tplc="00050409" w:tentative="1">
      <w:start w:val="1"/>
      <w:numFmt w:val="bullet"/>
      <w:lvlText w:val=""/>
      <w:lvlJc w:val="left"/>
      <w:pPr>
        <w:ind w:left="9090" w:hanging="360"/>
      </w:pPr>
      <w:rPr>
        <w:rFonts w:ascii="Wingdings" w:hAnsi="Wingdings" w:hint="default"/>
      </w:rPr>
    </w:lvl>
  </w:abstractNum>
  <w:abstractNum w:abstractNumId="419" w15:restartNumberingAfterBreak="0">
    <w:nsid w:val="6FFB36DD"/>
    <w:multiLevelType w:val="hybridMultilevel"/>
    <w:tmpl w:val="E2CA1F7E"/>
    <w:lvl w:ilvl="0" w:tplc="FE306DE8">
      <w:start w:val="1"/>
      <w:numFmt w:val="bullet"/>
      <w:lvlText w:val=""/>
      <w:lvlJc w:val="left"/>
      <w:pPr>
        <w:tabs>
          <w:tab w:val="num" w:pos="2880"/>
        </w:tabs>
        <w:ind w:left="2880" w:hanging="360"/>
      </w:pPr>
      <w:rPr>
        <w:rFonts w:ascii="Symbol" w:hAnsi="Symbol" w:hint="default"/>
        <w:b w:val="0"/>
        <w:i w:val="0"/>
        <w:color w:val="auto"/>
        <w:sz w:val="20"/>
      </w:rPr>
    </w:lvl>
    <w:lvl w:ilvl="1" w:tplc="00030409">
      <w:start w:val="1"/>
      <w:numFmt w:val="bullet"/>
      <w:lvlText w:val="o"/>
      <w:lvlJc w:val="left"/>
      <w:pPr>
        <w:tabs>
          <w:tab w:val="num" w:pos="1440"/>
        </w:tabs>
        <w:ind w:left="1440" w:hanging="360"/>
      </w:pPr>
      <w:rPr>
        <w:rFonts w:ascii="Courier New" w:hAnsi="Courier New" w:hint="default"/>
      </w:rPr>
    </w:lvl>
    <w:lvl w:ilvl="2" w:tplc="00050409">
      <w:start w:val="1"/>
      <w:numFmt w:val="bullet"/>
      <w:lvlText w:val=""/>
      <w:lvlJc w:val="left"/>
      <w:pPr>
        <w:tabs>
          <w:tab w:val="num" w:pos="2160"/>
        </w:tabs>
        <w:ind w:left="2160" w:hanging="360"/>
      </w:pPr>
      <w:rPr>
        <w:rFonts w:ascii="Wingdings" w:hAnsi="Wingdings" w:hint="default"/>
      </w:rPr>
    </w:lvl>
    <w:lvl w:ilvl="3" w:tplc="00010409">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20" w15:restartNumberingAfterBreak="0">
    <w:nsid w:val="7018207E"/>
    <w:multiLevelType w:val="hybridMultilevel"/>
    <w:tmpl w:val="028E77C0"/>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21" w15:restartNumberingAfterBreak="0">
    <w:nsid w:val="708B4996"/>
    <w:multiLevelType w:val="hybridMultilevel"/>
    <w:tmpl w:val="83CE0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15:restartNumberingAfterBreak="0">
    <w:nsid w:val="708E56A3"/>
    <w:multiLevelType w:val="multilevel"/>
    <w:tmpl w:val="4A26070C"/>
    <w:lvl w:ilvl="0">
      <w:start w:val="4"/>
      <w:numFmt w:val="decimal"/>
      <w:lvlText w:val="%1."/>
      <w:lvlJc w:val="left"/>
      <w:pPr>
        <w:tabs>
          <w:tab w:val="num" w:pos="360"/>
        </w:tabs>
        <w:ind w:left="360" w:hanging="360"/>
      </w:pPr>
      <w:rPr>
        <w:b/>
      </w:rPr>
    </w:lvl>
    <w:lvl w:ilvl="1">
      <w:start w:val="3"/>
      <w:numFmt w:val="upperLetter"/>
      <w:lvlText w:val="%2."/>
      <w:lvlJc w:val="left"/>
      <w:pPr>
        <w:tabs>
          <w:tab w:val="num" w:pos="792"/>
        </w:tabs>
        <w:ind w:left="792" w:hanging="432"/>
      </w:pPr>
      <w:rPr>
        <w:b/>
      </w:rPr>
    </w:lvl>
    <w:lvl w:ilvl="2">
      <w:start w:val="3"/>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23" w15:restartNumberingAfterBreak="0">
    <w:nsid w:val="70A9470E"/>
    <w:multiLevelType w:val="hybridMultilevel"/>
    <w:tmpl w:val="2B523858"/>
    <w:lvl w:ilvl="0" w:tplc="D3BA0FC0">
      <w:start w:val="5"/>
      <w:numFmt w:val="decimal"/>
      <w:lvlText w:val="%1."/>
      <w:lvlJc w:val="left"/>
      <w:pPr>
        <w:tabs>
          <w:tab w:val="num" w:pos="720"/>
        </w:tabs>
        <w:ind w:left="72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24" w15:restartNumberingAfterBreak="0">
    <w:nsid w:val="71482907"/>
    <w:multiLevelType w:val="hybridMultilevel"/>
    <w:tmpl w:val="1F66E270"/>
    <w:lvl w:ilvl="0" w:tplc="7D7090E8">
      <w:start w:val="1"/>
      <w:numFmt w:val="decimal"/>
      <w:pStyle w:val="Heading2AppendixA"/>
      <w:lvlText w:val="Appendix A-%1"/>
      <w:lvlJc w:val="left"/>
      <w:pPr>
        <w:ind w:left="360" w:hanging="360"/>
      </w:pPr>
      <w:rPr>
        <w:b w:val="0"/>
        <w:bCs w:val="0"/>
        <w:i w:val="0"/>
        <w:iCs w:val="0"/>
        <w:caps w:val="0"/>
        <w:smallCaps w:val="0"/>
        <w:strike w:val="0"/>
        <w:dstrike w:val="0"/>
        <w:noProof w:val="0"/>
        <w:vanish w:val="0"/>
        <w:color w:val="000000"/>
        <w:spacing w:val="0"/>
        <w:kern w:val="0"/>
        <w:position w:val="0"/>
        <w:sz w:val="28"/>
        <w:szCs w:val="28"/>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5" w15:restartNumberingAfterBreak="0">
    <w:nsid w:val="715237E4"/>
    <w:multiLevelType w:val="hybridMultilevel"/>
    <w:tmpl w:val="401CEF26"/>
    <w:lvl w:ilvl="0" w:tplc="494CCA1C">
      <w:start w:val="1"/>
      <w:numFmt w:val="bullet"/>
      <w:lvlText w:val=""/>
      <w:lvlJc w:val="left"/>
      <w:pPr>
        <w:tabs>
          <w:tab w:val="num" w:pos="1800"/>
        </w:tabs>
        <w:ind w:left="1800" w:hanging="360"/>
      </w:pPr>
      <w:rPr>
        <w:rFonts w:ascii="Symbol" w:hAnsi="Symbol" w:hint="default"/>
        <w:b w:val="0"/>
        <w:i w:val="0"/>
        <w:color w:val="auto"/>
        <w:sz w:val="20"/>
      </w:rPr>
    </w:lvl>
    <w:lvl w:ilvl="1" w:tplc="00030409">
      <w:start w:val="1"/>
      <w:numFmt w:val="bullet"/>
      <w:lvlText w:val="o"/>
      <w:lvlJc w:val="left"/>
      <w:pPr>
        <w:ind w:left="1800" w:hanging="360"/>
      </w:pPr>
      <w:rPr>
        <w:rFonts w:ascii="Courier New" w:hAnsi="Courier New" w:hint="default"/>
      </w:rPr>
    </w:lvl>
    <w:lvl w:ilvl="2" w:tplc="13DECD72">
      <w:start w:val="1"/>
      <w:numFmt w:val="bullet"/>
      <w:lvlText w:val=""/>
      <w:lvlJc w:val="left"/>
      <w:pPr>
        <w:tabs>
          <w:tab w:val="num" w:pos="2520"/>
        </w:tabs>
        <w:ind w:left="2520" w:hanging="360"/>
      </w:pPr>
      <w:rPr>
        <w:rFonts w:ascii="Symbol" w:hAnsi="Symbol" w:hint="default"/>
        <w:b w:val="0"/>
        <w:i w:val="0"/>
        <w:color w:val="auto"/>
        <w:sz w:val="20"/>
      </w:rPr>
    </w:lvl>
    <w:lvl w:ilvl="3" w:tplc="00010409">
      <w:start w:val="1"/>
      <w:numFmt w:val="bullet"/>
      <w:lvlText w:val=""/>
      <w:lvlJc w:val="left"/>
      <w:pPr>
        <w:ind w:left="3240" w:hanging="360"/>
      </w:pPr>
      <w:rPr>
        <w:rFonts w:ascii="Symbol" w:hAnsi="Symbol" w:hint="default"/>
      </w:rPr>
    </w:lvl>
    <w:lvl w:ilvl="4" w:tplc="00030409" w:tentative="1">
      <w:start w:val="1"/>
      <w:numFmt w:val="bullet"/>
      <w:lvlText w:val="o"/>
      <w:lvlJc w:val="left"/>
      <w:pPr>
        <w:ind w:left="3960" w:hanging="360"/>
      </w:pPr>
      <w:rPr>
        <w:rFonts w:ascii="Courier New" w:hAnsi="Courier New" w:hint="default"/>
      </w:rPr>
    </w:lvl>
    <w:lvl w:ilvl="5" w:tplc="00050409" w:tentative="1">
      <w:start w:val="1"/>
      <w:numFmt w:val="bullet"/>
      <w:lvlText w:val=""/>
      <w:lvlJc w:val="left"/>
      <w:pPr>
        <w:ind w:left="4680" w:hanging="360"/>
      </w:pPr>
      <w:rPr>
        <w:rFonts w:ascii="Wingdings" w:hAnsi="Wingdings" w:hint="default"/>
      </w:rPr>
    </w:lvl>
    <w:lvl w:ilvl="6" w:tplc="00010409" w:tentative="1">
      <w:start w:val="1"/>
      <w:numFmt w:val="bullet"/>
      <w:lvlText w:val=""/>
      <w:lvlJc w:val="left"/>
      <w:pPr>
        <w:ind w:left="5400" w:hanging="360"/>
      </w:pPr>
      <w:rPr>
        <w:rFonts w:ascii="Symbol" w:hAnsi="Symbol" w:hint="default"/>
      </w:rPr>
    </w:lvl>
    <w:lvl w:ilvl="7" w:tplc="00030409" w:tentative="1">
      <w:start w:val="1"/>
      <w:numFmt w:val="bullet"/>
      <w:lvlText w:val="o"/>
      <w:lvlJc w:val="left"/>
      <w:pPr>
        <w:ind w:left="6120" w:hanging="360"/>
      </w:pPr>
      <w:rPr>
        <w:rFonts w:ascii="Courier New" w:hAnsi="Courier New" w:hint="default"/>
      </w:rPr>
    </w:lvl>
    <w:lvl w:ilvl="8" w:tplc="00050409" w:tentative="1">
      <w:start w:val="1"/>
      <w:numFmt w:val="bullet"/>
      <w:lvlText w:val=""/>
      <w:lvlJc w:val="left"/>
      <w:pPr>
        <w:ind w:left="6840" w:hanging="360"/>
      </w:pPr>
      <w:rPr>
        <w:rFonts w:ascii="Wingdings" w:hAnsi="Wingdings" w:hint="default"/>
      </w:rPr>
    </w:lvl>
  </w:abstractNum>
  <w:abstractNum w:abstractNumId="426" w15:restartNumberingAfterBreak="0">
    <w:nsid w:val="7197736F"/>
    <w:multiLevelType w:val="hybridMultilevel"/>
    <w:tmpl w:val="7FA661DE"/>
    <w:lvl w:ilvl="0" w:tplc="6A3023E4">
      <w:start w:val="1"/>
      <w:numFmt w:val="bullet"/>
      <w:lvlText w:val=""/>
      <w:lvlJc w:val="left"/>
      <w:pPr>
        <w:tabs>
          <w:tab w:val="num" w:pos="1440"/>
        </w:tabs>
        <w:ind w:left="1440" w:hanging="360"/>
      </w:pPr>
      <w:rPr>
        <w:rFonts w:ascii="Symbol" w:hAnsi="Symbol" w:hint="default"/>
        <w:b w:val="0"/>
        <w:i w:val="0"/>
        <w:color w:val="auto"/>
        <w:sz w:val="20"/>
      </w:rPr>
    </w:lvl>
    <w:lvl w:ilvl="1" w:tplc="04090003" w:tentative="1">
      <w:start w:val="1"/>
      <w:numFmt w:val="bullet"/>
      <w:lvlText w:val="o"/>
      <w:lvlJc w:val="left"/>
      <w:pPr>
        <w:tabs>
          <w:tab w:val="num" w:pos="2160"/>
        </w:tabs>
        <w:ind w:left="2160" w:hanging="360"/>
      </w:pPr>
      <w:rPr>
        <w:rFonts w:ascii="Courier New" w:hAnsi="Courier New" w:cs="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Wingdings"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Wingdings"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7" w15:restartNumberingAfterBreak="0">
    <w:nsid w:val="71A04993"/>
    <w:multiLevelType w:val="hybridMultilevel"/>
    <w:tmpl w:val="30A0C96C"/>
    <w:lvl w:ilvl="0" w:tplc="B41ABB64">
      <w:start w:val="1"/>
      <w:numFmt w:val="upperLetter"/>
      <w:lvlText w:val="%1."/>
      <w:lvlJc w:val="left"/>
      <w:pPr>
        <w:ind w:left="1008" w:hanging="360"/>
      </w:pPr>
      <w:rPr>
        <w:b/>
        <w:i w:val="0"/>
        <w:color w:val="auto"/>
        <w:sz w:val="22"/>
        <w:szCs w:val="22"/>
      </w:rPr>
    </w:lvl>
    <w:lvl w:ilvl="1" w:tplc="00190409" w:tentative="1">
      <w:start w:val="1"/>
      <w:numFmt w:val="lowerLetter"/>
      <w:lvlText w:val="%2."/>
      <w:lvlJc w:val="left"/>
      <w:pPr>
        <w:ind w:left="1800" w:hanging="360"/>
      </w:pPr>
    </w:lvl>
    <w:lvl w:ilvl="2" w:tplc="001B0409" w:tentative="1">
      <w:start w:val="1"/>
      <w:numFmt w:val="lowerRoman"/>
      <w:lvlText w:val="%3."/>
      <w:lvlJc w:val="right"/>
      <w:pPr>
        <w:ind w:left="2520" w:hanging="180"/>
      </w:pPr>
    </w:lvl>
    <w:lvl w:ilvl="3" w:tplc="000F0409" w:tentative="1">
      <w:start w:val="1"/>
      <w:numFmt w:val="decimal"/>
      <w:lvlText w:val="%4."/>
      <w:lvlJc w:val="left"/>
      <w:pPr>
        <w:ind w:left="3240" w:hanging="360"/>
      </w:pPr>
    </w:lvl>
    <w:lvl w:ilvl="4" w:tplc="00190409" w:tentative="1">
      <w:start w:val="1"/>
      <w:numFmt w:val="lowerLetter"/>
      <w:lvlText w:val="%5."/>
      <w:lvlJc w:val="left"/>
      <w:pPr>
        <w:ind w:left="3960" w:hanging="360"/>
      </w:pPr>
    </w:lvl>
    <w:lvl w:ilvl="5" w:tplc="001B0409" w:tentative="1">
      <w:start w:val="1"/>
      <w:numFmt w:val="lowerRoman"/>
      <w:lvlText w:val="%6."/>
      <w:lvlJc w:val="right"/>
      <w:pPr>
        <w:ind w:left="4680" w:hanging="180"/>
      </w:pPr>
    </w:lvl>
    <w:lvl w:ilvl="6" w:tplc="000F0409" w:tentative="1">
      <w:start w:val="1"/>
      <w:numFmt w:val="decimal"/>
      <w:lvlText w:val="%7."/>
      <w:lvlJc w:val="left"/>
      <w:pPr>
        <w:ind w:left="5400" w:hanging="360"/>
      </w:pPr>
    </w:lvl>
    <w:lvl w:ilvl="7" w:tplc="00190409" w:tentative="1">
      <w:start w:val="1"/>
      <w:numFmt w:val="lowerLetter"/>
      <w:lvlText w:val="%8."/>
      <w:lvlJc w:val="left"/>
      <w:pPr>
        <w:ind w:left="6120" w:hanging="360"/>
      </w:pPr>
    </w:lvl>
    <w:lvl w:ilvl="8" w:tplc="001B0409" w:tentative="1">
      <w:start w:val="1"/>
      <w:numFmt w:val="lowerRoman"/>
      <w:lvlText w:val="%9."/>
      <w:lvlJc w:val="right"/>
      <w:pPr>
        <w:ind w:left="6840" w:hanging="180"/>
      </w:pPr>
    </w:lvl>
  </w:abstractNum>
  <w:abstractNum w:abstractNumId="428" w15:restartNumberingAfterBreak="0">
    <w:nsid w:val="71BE5469"/>
    <w:multiLevelType w:val="hybridMultilevel"/>
    <w:tmpl w:val="2AEAA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9" w15:restartNumberingAfterBreak="0">
    <w:nsid w:val="71CF5BFB"/>
    <w:multiLevelType w:val="hybridMultilevel"/>
    <w:tmpl w:val="DF80C44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30" w15:restartNumberingAfterBreak="0">
    <w:nsid w:val="72061781"/>
    <w:multiLevelType w:val="hybridMultilevel"/>
    <w:tmpl w:val="0E484068"/>
    <w:lvl w:ilvl="0" w:tplc="2F841FC0">
      <w:start w:val="1"/>
      <w:numFmt w:val="upperLetter"/>
      <w:lvlText w:val="%1."/>
      <w:lvlJc w:val="left"/>
      <w:pPr>
        <w:ind w:left="1440" w:hanging="360"/>
      </w:pPr>
      <w:rPr>
        <w:b/>
        <w:i w:val="0"/>
        <w:color w:val="auto"/>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1" w15:restartNumberingAfterBreak="0">
    <w:nsid w:val="72591FD1"/>
    <w:multiLevelType w:val="hybridMultilevel"/>
    <w:tmpl w:val="D7683552"/>
    <w:lvl w:ilvl="0" w:tplc="FFFFFFFF">
      <w:start w:val="1"/>
      <w:numFmt w:val="upperLetter"/>
      <w:lvlText w:val="%1."/>
      <w:lvlJc w:val="left"/>
      <w:pPr>
        <w:ind w:left="792" w:hanging="360"/>
      </w:pPr>
      <w:rPr>
        <w:b/>
        <w:i w:val="0"/>
        <w:color w:val="auto"/>
        <w:sz w:val="22"/>
        <w:szCs w:val="22"/>
      </w:rPr>
    </w:lvl>
    <w:lvl w:ilvl="1" w:tplc="04090001">
      <w:start w:val="1"/>
      <w:numFmt w:val="bullet"/>
      <w:lvlText w:val=""/>
      <w:lvlJc w:val="left"/>
      <w:pPr>
        <w:ind w:left="108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2" w15:restartNumberingAfterBreak="0">
    <w:nsid w:val="72D35FAB"/>
    <w:multiLevelType w:val="multilevel"/>
    <w:tmpl w:val="30C0B388"/>
    <w:lvl w:ilvl="0">
      <w:start w:val="5"/>
      <w:numFmt w:val="decimal"/>
      <w:lvlText w:val="%1."/>
      <w:lvlJc w:val="left"/>
      <w:pPr>
        <w:tabs>
          <w:tab w:val="num" w:pos="360"/>
        </w:tabs>
        <w:ind w:left="360" w:hanging="360"/>
      </w:pPr>
      <w:rPr>
        <w:b/>
      </w:rPr>
    </w:lvl>
    <w:lvl w:ilvl="1">
      <w:start w:val="5"/>
      <w:numFmt w:val="decimal"/>
      <w:lvlText w:val="%2."/>
      <w:lvlJc w:val="left"/>
      <w:pPr>
        <w:tabs>
          <w:tab w:val="num" w:pos="792"/>
        </w:tabs>
        <w:ind w:left="792" w:hanging="432"/>
      </w:pPr>
      <w:rPr>
        <w:b/>
      </w:rPr>
    </w:lvl>
    <w:lvl w:ilvl="2">
      <w:start w:val="4"/>
      <w:numFmt w:val="upperLetter"/>
      <w:lvlText w:val="%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33" w15:restartNumberingAfterBreak="0">
    <w:nsid w:val="72F576B6"/>
    <w:multiLevelType w:val="multilevel"/>
    <w:tmpl w:val="3B8E0BC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4" w15:restartNumberingAfterBreak="0">
    <w:nsid w:val="7361323C"/>
    <w:multiLevelType w:val="hybridMultilevel"/>
    <w:tmpl w:val="CF6AB924"/>
    <w:lvl w:ilvl="0" w:tplc="181C56BE">
      <w:start w:val="1"/>
      <w:numFmt w:val="bullet"/>
      <w:lvlText w:val=""/>
      <w:lvlJc w:val="left"/>
      <w:pPr>
        <w:tabs>
          <w:tab w:val="num" w:pos="1512"/>
        </w:tabs>
        <w:ind w:left="1512" w:hanging="360"/>
      </w:pPr>
      <w:rPr>
        <w:rFonts w:ascii="Symbol" w:hAnsi="Symbol" w:hint="default"/>
        <w:b w:val="0"/>
        <w:i w:val="0"/>
        <w:color w:val="auto"/>
        <w:sz w:val="20"/>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181C56BE">
      <w:start w:val="1"/>
      <w:numFmt w:val="bullet"/>
      <w:lvlText w:val=""/>
      <w:lvlJc w:val="left"/>
      <w:pPr>
        <w:tabs>
          <w:tab w:val="num" w:pos="3600"/>
        </w:tabs>
        <w:ind w:left="3600" w:hanging="360"/>
      </w:pPr>
      <w:rPr>
        <w:rFonts w:ascii="Symbol" w:hAnsi="Symbol" w:hint="default"/>
        <w:b w:val="0"/>
        <w:i w:val="0"/>
        <w:color w:val="auto"/>
        <w:sz w:val="20"/>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35" w15:restartNumberingAfterBreak="0">
    <w:nsid w:val="74290F11"/>
    <w:multiLevelType w:val="multilevel"/>
    <w:tmpl w:val="3F92469A"/>
    <w:lvl w:ilvl="0">
      <w:start w:val="4"/>
      <w:numFmt w:val="decimal"/>
      <w:lvlText w:val="%1."/>
      <w:lvlJc w:val="left"/>
      <w:pPr>
        <w:tabs>
          <w:tab w:val="num" w:pos="288"/>
        </w:tabs>
        <w:ind w:left="1224" w:hanging="1224"/>
      </w:pPr>
      <w:rPr>
        <w:b/>
        <w:i w:val="0"/>
      </w:rPr>
    </w:lvl>
    <w:lvl w:ilvl="1">
      <w:start w:val="3"/>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36" w15:restartNumberingAfterBreak="0">
    <w:nsid w:val="74897742"/>
    <w:multiLevelType w:val="hybridMultilevel"/>
    <w:tmpl w:val="D7AEB0AE"/>
    <w:lvl w:ilvl="0" w:tplc="FFFFFFFF">
      <w:start w:val="5"/>
      <w:numFmt w:val="upperLetter"/>
      <w:lvlText w:val="%1."/>
      <w:lvlJc w:val="left"/>
      <w:pPr>
        <w:ind w:left="720" w:hanging="360"/>
      </w:pPr>
      <w:rPr>
        <w:b/>
        <w:i w:val="0"/>
        <w:color w:val="auto"/>
        <w:sz w:val="22"/>
        <w:szCs w:val="22"/>
      </w:rPr>
    </w:lvl>
    <w:lvl w:ilvl="1" w:tplc="FFFFFFFF">
      <w:start w:val="1"/>
      <w:numFmt w:val="lowerLetter"/>
      <w:lvlText w:val="%2."/>
      <w:lvlJc w:val="left"/>
      <w:pPr>
        <w:ind w:left="-1728" w:hanging="360"/>
      </w:pPr>
    </w:lvl>
    <w:lvl w:ilvl="2" w:tplc="FFFFFFFF" w:tentative="1">
      <w:start w:val="1"/>
      <w:numFmt w:val="lowerRoman"/>
      <w:lvlText w:val="%3."/>
      <w:lvlJc w:val="right"/>
      <w:pPr>
        <w:ind w:left="-1008" w:hanging="180"/>
      </w:pPr>
    </w:lvl>
    <w:lvl w:ilvl="3" w:tplc="FFFFFFFF" w:tentative="1">
      <w:start w:val="1"/>
      <w:numFmt w:val="decimal"/>
      <w:lvlText w:val="%4."/>
      <w:lvlJc w:val="left"/>
      <w:pPr>
        <w:ind w:left="-288" w:hanging="360"/>
      </w:pPr>
    </w:lvl>
    <w:lvl w:ilvl="4" w:tplc="FFFFFFFF" w:tentative="1">
      <w:start w:val="1"/>
      <w:numFmt w:val="lowerLetter"/>
      <w:lvlText w:val="%5."/>
      <w:lvlJc w:val="left"/>
      <w:pPr>
        <w:ind w:left="432" w:hanging="360"/>
      </w:pPr>
    </w:lvl>
    <w:lvl w:ilvl="5" w:tplc="FFFFFFFF" w:tentative="1">
      <w:start w:val="1"/>
      <w:numFmt w:val="lowerRoman"/>
      <w:lvlText w:val="%6."/>
      <w:lvlJc w:val="right"/>
      <w:pPr>
        <w:ind w:left="1152" w:hanging="180"/>
      </w:pPr>
    </w:lvl>
    <w:lvl w:ilvl="6" w:tplc="FFFFFFFF" w:tentative="1">
      <w:start w:val="1"/>
      <w:numFmt w:val="decimal"/>
      <w:lvlText w:val="%7."/>
      <w:lvlJc w:val="left"/>
      <w:pPr>
        <w:ind w:left="1872" w:hanging="360"/>
      </w:pPr>
    </w:lvl>
    <w:lvl w:ilvl="7" w:tplc="FFFFFFFF" w:tentative="1">
      <w:start w:val="1"/>
      <w:numFmt w:val="lowerLetter"/>
      <w:lvlText w:val="%8."/>
      <w:lvlJc w:val="left"/>
      <w:pPr>
        <w:ind w:left="2592" w:hanging="360"/>
      </w:pPr>
    </w:lvl>
    <w:lvl w:ilvl="8" w:tplc="FFFFFFFF" w:tentative="1">
      <w:start w:val="1"/>
      <w:numFmt w:val="lowerRoman"/>
      <w:lvlText w:val="%9."/>
      <w:lvlJc w:val="right"/>
      <w:pPr>
        <w:ind w:left="3312" w:hanging="180"/>
      </w:pPr>
    </w:lvl>
  </w:abstractNum>
  <w:abstractNum w:abstractNumId="437" w15:restartNumberingAfterBreak="0">
    <w:nsid w:val="74B63A12"/>
    <w:multiLevelType w:val="hybridMultilevel"/>
    <w:tmpl w:val="2B5A96D4"/>
    <w:lvl w:ilvl="0" w:tplc="A3F62BBE">
      <w:start w:val="1"/>
      <w:numFmt w:val="bullet"/>
      <w:lvlText w:val=""/>
      <w:lvlJc w:val="left"/>
      <w:pPr>
        <w:tabs>
          <w:tab w:val="num" w:pos="2880"/>
        </w:tabs>
        <w:ind w:left="288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38" w15:restartNumberingAfterBreak="0">
    <w:nsid w:val="750D353D"/>
    <w:multiLevelType w:val="hybridMultilevel"/>
    <w:tmpl w:val="B8A4FA0E"/>
    <w:lvl w:ilvl="0" w:tplc="04090005">
      <w:start w:val="1"/>
      <w:numFmt w:val="bullet"/>
      <w:lvlText w:val=""/>
      <w:lvlJc w:val="left"/>
      <w:pPr>
        <w:tabs>
          <w:tab w:val="num" w:pos="2347"/>
        </w:tabs>
        <w:ind w:left="2347" w:hanging="360"/>
      </w:pPr>
      <w:rPr>
        <w:rFonts w:ascii="Wingdings" w:hAnsi="Wingdings" w:hint="default"/>
        <w:b w:val="0"/>
        <w:i w:val="0"/>
        <w:color w:val="auto"/>
        <w:sz w:val="20"/>
      </w:rPr>
    </w:lvl>
    <w:lvl w:ilvl="1" w:tplc="FFFFFFFF">
      <w:start w:val="1"/>
      <w:numFmt w:val="bullet"/>
      <w:lvlText w:val="o"/>
      <w:lvlJc w:val="left"/>
      <w:pPr>
        <w:tabs>
          <w:tab w:val="num" w:pos="3427"/>
        </w:tabs>
        <w:ind w:left="3427" w:hanging="360"/>
      </w:pPr>
      <w:rPr>
        <w:rFonts w:ascii="Courier New" w:hAnsi="Courier New" w:cs="Arial" w:hint="default"/>
      </w:rPr>
    </w:lvl>
    <w:lvl w:ilvl="2" w:tplc="FFFFFFFF">
      <w:start w:val="1"/>
      <w:numFmt w:val="bullet"/>
      <w:lvlText w:val=""/>
      <w:lvlJc w:val="left"/>
      <w:pPr>
        <w:tabs>
          <w:tab w:val="num" w:pos="4147"/>
        </w:tabs>
        <w:ind w:left="4147" w:hanging="360"/>
      </w:pPr>
      <w:rPr>
        <w:rFonts w:ascii="Wingdings" w:hAnsi="Wingdings" w:hint="default"/>
      </w:rPr>
    </w:lvl>
    <w:lvl w:ilvl="3" w:tplc="FFFFFFFF">
      <w:start w:val="1"/>
      <w:numFmt w:val="bullet"/>
      <w:lvlText w:val=""/>
      <w:lvlJc w:val="left"/>
      <w:pPr>
        <w:tabs>
          <w:tab w:val="num" w:pos="4867"/>
        </w:tabs>
        <w:ind w:left="4867" w:hanging="360"/>
      </w:pPr>
      <w:rPr>
        <w:rFonts w:ascii="Symbol" w:hAnsi="Symbol" w:hint="default"/>
      </w:rPr>
    </w:lvl>
    <w:lvl w:ilvl="4" w:tplc="FFFFFFFF">
      <w:start w:val="1"/>
      <w:numFmt w:val="bullet"/>
      <w:lvlText w:val="o"/>
      <w:lvlJc w:val="left"/>
      <w:pPr>
        <w:tabs>
          <w:tab w:val="num" w:pos="5587"/>
        </w:tabs>
        <w:ind w:left="5587" w:hanging="360"/>
      </w:pPr>
      <w:rPr>
        <w:rFonts w:ascii="Courier New" w:hAnsi="Courier New" w:cs="Arial" w:hint="default"/>
      </w:rPr>
    </w:lvl>
    <w:lvl w:ilvl="5" w:tplc="FFFFFFFF">
      <w:start w:val="1"/>
      <w:numFmt w:val="bullet"/>
      <w:lvlText w:val=""/>
      <w:lvlJc w:val="left"/>
      <w:pPr>
        <w:tabs>
          <w:tab w:val="num" w:pos="6307"/>
        </w:tabs>
        <w:ind w:left="6307" w:hanging="360"/>
      </w:pPr>
      <w:rPr>
        <w:rFonts w:ascii="Wingdings" w:hAnsi="Wingdings" w:hint="default"/>
      </w:rPr>
    </w:lvl>
    <w:lvl w:ilvl="6" w:tplc="FFFFFFFF">
      <w:start w:val="1"/>
      <w:numFmt w:val="bullet"/>
      <w:lvlText w:val=""/>
      <w:lvlJc w:val="left"/>
      <w:pPr>
        <w:tabs>
          <w:tab w:val="num" w:pos="7027"/>
        </w:tabs>
        <w:ind w:left="7027" w:hanging="360"/>
      </w:pPr>
      <w:rPr>
        <w:rFonts w:ascii="Symbol" w:hAnsi="Symbol" w:hint="default"/>
      </w:rPr>
    </w:lvl>
    <w:lvl w:ilvl="7" w:tplc="FFFFFFFF">
      <w:start w:val="1"/>
      <w:numFmt w:val="bullet"/>
      <w:lvlText w:val="o"/>
      <w:lvlJc w:val="left"/>
      <w:pPr>
        <w:tabs>
          <w:tab w:val="num" w:pos="7747"/>
        </w:tabs>
        <w:ind w:left="7747" w:hanging="360"/>
      </w:pPr>
      <w:rPr>
        <w:rFonts w:ascii="Courier New" w:hAnsi="Courier New" w:cs="Arial" w:hint="default"/>
      </w:rPr>
    </w:lvl>
    <w:lvl w:ilvl="8" w:tplc="FFFFFFFF">
      <w:start w:val="1"/>
      <w:numFmt w:val="bullet"/>
      <w:lvlText w:val=""/>
      <w:lvlJc w:val="left"/>
      <w:pPr>
        <w:tabs>
          <w:tab w:val="num" w:pos="8467"/>
        </w:tabs>
        <w:ind w:left="8467" w:hanging="360"/>
      </w:pPr>
      <w:rPr>
        <w:rFonts w:ascii="Wingdings" w:hAnsi="Wingdings" w:hint="default"/>
      </w:rPr>
    </w:lvl>
  </w:abstractNum>
  <w:abstractNum w:abstractNumId="439" w15:restartNumberingAfterBreak="0">
    <w:nsid w:val="75301692"/>
    <w:multiLevelType w:val="hybridMultilevel"/>
    <w:tmpl w:val="0F58FDEA"/>
    <w:lvl w:ilvl="0" w:tplc="447A8232">
      <w:start w:val="1"/>
      <w:numFmt w:val="bullet"/>
      <w:lvlText w:val=""/>
      <w:lvlJc w:val="left"/>
      <w:pPr>
        <w:tabs>
          <w:tab w:val="num" w:pos="1368"/>
        </w:tabs>
        <w:ind w:left="1368" w:hanging="360"/>
      </w:pPr>
      <w:rPr>
        <w:rFonts w:ascii="Symbol" w:hAnsi="Symbol" w:hint="default"/>
        <w:b w:val="0"/>
        <w:i w:val="0"/>
        <w:color w:val="auto"/>
        <w:sz w:val="20"/>
      </w:rPr>
    </w:lvl>
    <w:lvl w:ilvl="1" w:tplc="00030409" w:tentative="1">
      <w:start w:val="1"/>
      <w:numFmt w:val="bullet"/>
      <w:lvlText w:val="o"/>
      <w:lvlJc w:val="left"/>
      <w:pPr>
        <w:ind w:left="630" w:hanging="360"/>
      </w:pPr>
      <w:rPr>
        <w:rFonts w:ascii="Courier New" w:hAnsi="Courier New" w:hint="default"/>
      </w:rPr>
    </w:lvl>
    <w:lvl w:ilvl="2" w:tplc="00050409">
      <w:start w:val="1"/>
      <w:numFmt w:val="bullet"/>
      <w:lvlText w:val=""/>
      <w:lvlJc w:val="left"/>
      <w:pPr>
        <w:ind w:left="1350" w:hanging="360"/>
      </w:pPr>
      <w:rPr>
        <w:rFonts w:ascii="Wingdings" w:hAnsi="Wingdings" w:hint="default"/>
      </w:rPr>
    </w:lvl>
    <w:lvl w:ilvl="3" w:tplc="447A8232">
      <w:start w:val="1"/>
      <w:numFmt w:val="bullet"/>
      <w:lvlText w:val=""/>
      <w:lvlJc w:val="left"/>
      <w:pPr>
        <w:tabs>
          <w:tab w:val="num" w:pos="2178"/>
        </w:tabs>
        <w:ind w:left="2178" w:hanging="360"/>
      </w:pPr>
      <w:rPr>
        <w:rFonts w:ascii="Symbol" w:hAnsi="Symbol" w:hint="default"/>
        <w:b w:val="0"/>
        <w:i w:val="0"/>
        <w:color w:val="auto"/>
        <w:sz w:val="20"/>
      </w:rPr>
    </w:lvl>
    <w:lvl w:ilvl="4" w:tplc="00030409">
      <w:start w:val="1"/>
      <w:numFmt w:val="bullet"/>
      <w:lvlText w:val="o"/>
      <w:lvlJc w:val="left"/>
      <w:pPr>
        <w:ind w:left="2790" w:hanging="360"/>
      </w:pPr>
      <w:rPr>
        <w:rFonts w:ascii="Courier New" w:hAnsi="Courier New" w:hint="default"/>
      </w:rPr>
    </w:lvl>
    <w:lvl w:ilvl="5" w:tplc="00050409" w:tentative="1">
      <w:start w:val="1"/>
      <w:numFmt w:val="bullet"/>
      <w:lvlText w:val=""/>
      <w:lvlJc w:val="left"/>
      <w:pPr>
        <w:ind w:left="3510" w:hanging="360"/>
      </w:pPr>
      <w:rPr>
        <w:rFonts w:ascii="Wingdings" w:hAnsi="Wingdings" w:hint="default"/>
      </w:rPr>
    </w:lvl>
    <w:lvl w:ilvl="6" w:tplc="00010409" w:tentative="1">
      <w:start w:val="1"/>
      <w:numFmt w:val="bullet"/>
      <w:lvlText w:val=""/>
      <w:lvlJc w:val="left"/>
      <w:pPr>
        <w:ind w:left="4230" w:hanging="360"/>
      </w:pPr>
      <w:rPr>
        <w:rFonts w:ascii="Symbol" w:hAnsi="Symbol" w:hint="default"/>
      </w:rPr>
    </w:lvl>
    <w:lvl w:ilvl="7" w:tplc="00030409" w:tentative="1">
      <w:start w:val="1"/>
      <w:numFmt w:val="bullet"/>
      <w:lvlText w:val="o"/>
      <w:lvlJc w:val="left"/>
      <w:pPr>
        <w:ind w:left="4950" w:hanging="360"/>
      </w:pPr>
      <w:rPr>
        <w:rFonts w:ascii="Courier New" w:hAnsi="Courier New" w:hint="default"/>
      </w:rPr>
    </w:lvl>
    <w:lvl w:ilvl="8" w:tplc="00050409" w:tentative="1">
      <w:start w:val="1"/>
      <w:numFmt w:val="bullet"/>
      <w:lvlText w:val=""/>
      <w:lvlJc w:val="left"/>
      <w:pPr>
        <w:ind w:left="5670" w:hanging="360"/>
      </w:pPr>
      <w:rPr>
        <w:rFonts w:ascii="Wingdings" w:hAnsi="Wingdings" w:hint="default"/>
      </w:rPr>
    </w:lvl>
  </w:abstractNum>
  <w:abstractNum w:abstractNumId="440" w15:restartNumberingAfterBreak="0">
    <w:nsid w:val="75564634"/>
    <w:multiLevelType w:val="hybridMultilevel"/>
    <w:tmpl w:val="67EC5E04"/>
    <w:lvl w:ilvl="0" w:tplc="10F8814A">
      <w:start w:val="1"/>
      <w:numFmt w:val="upperLetter"/>
      <w:lvlText w:val="%1."/>
      <w:lvlJc w:val="left"/>
      <w:pPr>
        <w:ind w:left="630" w:hanging="360"/>
      </w:pPr>
      <w:rPr>
        <w:b/>
        <w:i w:val="0"/>
        <w:color w:val="auto"/>
        <w:sz w:val="22"/>
        <w:szCs w:val="22"/>
      </w:rPr>
    </w:lvl>
    <w:lvl w:ilvl="1" w:tplc="04090001">
      <w:start w:val="1"/>
      <w:numFmt w:val="bullet"/>
      <w:lvlText w:val=""/>
      <w:lvlJc w:val="left"/>
      <w:pPr>
        <w:ind w:left="1710" w:hanging="360"/>
      </w:pPr>
      <w:rPr>
        <w:rFonts w:ascii="Symbol" w:hAnsi="Symbol" w:hint="default"/>
      </w:rPr>
    </w:lvl>
    <w:lvl w:ilvl="2" w:tplc="001B0409" w:tentative="1">
      <w:start w:val="1"/>
      <w:numFmt w:val="lowerRoman"/>
      <w:lvlText w:val="%3."/>
      <w:lvlJc w:val="right"/>
      <w:pPr>
        <w:ind w:left="2430" w:hanging="180"/>
      </w:pPr>
    </w:lvl>
    <w:lvl w:ilvl="3" w:tplc="000F0409" w:tentative="1">
      <w:start w:val="1"/>
      <w:numFmt w:val="decimal"/>
      <w:lvlText w:val="%4."/>
      <w:lvlJc w:val="left"/>
      <w:pPr>
        <w:ind w:left="3150" w:hanging="360"/>
      </w:pPr>
    </w:lvl>
    <w:lvl w:ilvl="4" w:tplc="00190409" w:tentative="1">
      <w:start w:val="1"/>
      <w:numFmt w:val="lowerLetter"/>
      <w:lvlText w:val="%5."/>
      <w:lvlJc w:val="left"/>
      <w:pPr>
        <w:ind w:left="3870" w:hanging="360"/>
      </w:pPr>
    </w:lvl>
    <w:lvl w:ilvl="5" w:tplc="001B0409" w:tentative="1">
      <w:start w:val="1"/>
      <w:numFmt w:val="lowerRoman"/>
      <w:lvlText w:val="%6."/>
      <w:lvlJc w:val="right"/>
      <w:pPr>
        <w:ind w:left="4590" w:hanging="180"/>
      </w:pPr>
    </w:lvl>
    <w:lvl w:ilvl="6" w:tplc="000F0409" w:tentative="1">
      <w:start w:val="1"/>
      <w:numFmt w:val="decimal"/>
      <w:lvlText w:val="%7."/>
      <w:lvlJc w:val="left"/>
      <w:pPr>
        <w:ind w:left="5310" w:hanging="360"/>
      </w:pPr>
    </w:lvl>
    <w:lvl w:ilvl="7" w:tplc="00190409" w:tentative="1">
      <w:start w:val="1"/>
      <w:numFmt w:val="lowerLetter"/>
      <w:lvlText w:val="%8."/>
      <w:lvlJc w:val="left"/>
      <w:pPr>
        <w:ind w:left="6030" w:hanging="360"/>
      </w:pPr>
    </w:lvl>
    <w:lvl w:ilvl="8" w:tplc="001B0409" w:tentative="1">
      <w:start w:val="1"/>
      <w:numFmt w:val="lowerRoman"/>
      <w:lvlText w:val="%9."/>
      <w:lvlJc w:val="right"/>
      <w:pPr>
        <w:ind w:left="6750" w:hanging="180"/>
      </w:pPr>
    </w:lvl>
  </w:abstractNum>
  <w:abstractNum w:abstractNumId="441" w15:restartNumberingAfterBreak="0">
    <w:nsid w:val="75D42014"/>
    <w:multiLevelType w:val="hybridMultilevel"/>
    <w:tmpl w:val="CBB454F6"/>
    <w:lvl w:ilvl="0" w:tplc="D518820E">
      <w:start w:val="1"/>
      <w:numFmt w:val="upperLetter"/>
      <w:lvlText w:val="%1."/>
      <w:lvlJc w:val="left"/>
      <w:pPr>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42" w15:restartNumberingAfterBreak="0">
    <w:nsid w:val="76707AEA"/>
    <w:multiLevelType w:val="hybridMultilevel"/>
    <w:tmpl w:val="860619BC"/>
    <w:lvl w:ilvl="0" w:tplc="4B1257D2">
      <w:start w:val="1"/>
      <w:numFmt w:val="bullet"/>
      <w:lvlText w:val=""/>
      <w:lvlJc w:val="left"/>
      <w:pPr>
        <w:ind w:left="720" w:hanging="360"/>
      </w:pPr>
      <w:rPr>
        <w:rFonts w:ascii="Symbol" w:hAnsi="Symbol" w:hint="default"/>
        <w:b w:val="0"/>
        <w:i w:val="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3" w15:restartNumberingAfterBreak="0">
    <w:nsid w:val="7765274B"/>
    <w:multiLevelType w:val="hybridMultilevel"/>
    <w:tmpl w:val="3FCCC39C"/>
    <w:lvl w:ilvl="0" w:tplc="5C18F97A">
      <w:start w:val="1"/>
      <w:numFmt w:val="bullet"/>
      <w:lvlText w:val=""/>
      <w:lvlJc w:val="left"/>
      <w:pPr>
        <w:tabs>
          <w:tab w:val="num" w:pos="2160"/>
        </w:tabs>
        <w:ind w:left="2160" w:hanging="360"/>
      </w:pPr>
      <w:rPr>
        <w:rFonts w:ascii="Symbol" w:hAnsi="Symbol" w:hint="default"/>
        <w:b w:val="0"/>
        <w:i w:val="0"/>
        <w:color w:val="auto"/>
        <w:sz w:val="20"/>
      </w:rPr>
    </w:lvl>
    <w:lvl w:ilvl="1" w:tplc="00030409">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00010409" w:tentative="1">
      <w:start w:val="1"/>
      <w:numFmt w:val="bullet"/>
      <w:lvlText w:val=""/>
      <w:lvlJc w:val="left"/>
      <w:pPr>
        <w:ind w:left="2880" w:hanging="360"/>
      </w:pPr>
      <w:rPr>
        <w:rFonts w:ascii="Symbol" w:hAnsi="Symbol" w:hint="default"/>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44" w15:restartNumberingAfterBreak="0">
    <w:nsid w:val="77CB04F8"/>
    <w:multiLevelType w:val="hybridMultilevel"/>
    <w:tmpl w:val="07CEDE02"/>
    <w:lvl w:ilvl="0" w:tplc="7A28DCF8">
      <w:start w:val="1"/>
      <w:numFmt w:val="upperLetter"/>
      <w:lvlText w:val="%1."/>
      <w:lvlJc w:val="left"/>
      <w:pPr>
        <w:ind w:left="1800"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45" w15:restartNumberingAfterBreak="0">
    <w:nsid w:val="77FA0A24"/>
    <w:multiLevelType w:val="hybridMultilevel"/>
    <w:tmpl w:val="5E2E8E76"/>
    <w:lvl w:ilvl="0" w:tplc="C9B6E4DE">
      <w:start w:val="1"/>
      <w:numFmt w:val="upperLetter"/>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6" w15:restartNumberingAfterBreak="0">
    <w:nsid w:val="78204086"/>
    <w:multiLevelType w:val="hybridMultilevel"/>
    <w:tmpl w:val="6346FE8C"/>
    <w:lvl w:ilvl="0" w:tplc="7256C790">
      <w:start w:val="3"/>
      <w:numFmt w:val="upperLetter"/>
      <w:lvlText w:val="%1."/>
      <w:lvlJc w:val="left"/>
      <w:pPr>
        <w:ind w:left="907" w:hanging="360"/>
      </w:pPr>
    </w:lvl>
    <w:lvl w:ilvl="1" w:tplc="04090019" w:tentative="1">
      <w:start w:val="1"/>
      <w:numFmt w:val="lowerLetter"/>
      <w:lvlText w:val="%2."/>
      <w:lvlJc w:val="left"/>
      <w:pPr>
        <w:ind w:left="1627" w:hanging="360"/>
      </w:pPr>
    </w:lvl>
    <w:lvl w:ilvl="2" w:tplc="0409001B" w:tentative="1">
      <w:start w:val="1"/>
      <w:numFmt w:val="lowerRoman"/>
      <w:lvlText w:val="%3."/>
      <w:lvlJc w:val="right"/>
      <w:pPr>
        <w:ind w:left="2347" w:hanging="180"/>
      </w:pPr>
    </w:lvl>
    <w:lvl w:ilvl="3" w:tplc="0409000F" w:tentative="1">
      <w:start w:val="1"/>
      <w:numFmt w:val="decimal"/>
      <w:lvlText w:val="%4."/>
      <w:lvlJc w:val="left"/>
      <w:pPr>
        <w:ind w:left="3067" w:hanging="360"/>
      </w:pPr>
    </w:lvl>
    <w:lvl w:ilvl="4" w:tplc="04090019" w:tentative="1">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447" w15:restartNumberingAfterBreak="0">
    <w:nsid w:val="78C44A32"/>
    <w:multiLevelType w:val="hybridMultilevel"/>
    <w:tmpl w:val="25FC9AC4"/>
    <w:lvl w:ilvl="0" w:tplc="5A1EA56E">
      <w:start w:val="8"/>
      <w:numFmt w:val="decimal"/>
      <w:lvlText w:val="%1."/>
      <w:lvlJc w:val="left"/>
      <w:pPr>
        <w:tabs>
          <w:tab w:val="num" w:pos="360"/>
        </w:tabs>
        <w:ind w:left="360" w:hanging="360"/>
      </w:pPr>
      <w:rPr>
        <w:b/>
        <w:i w:val="0"/>
        <w:color w:val="auto"/>
        <w:sz w:val="22"/>
        <w:szCs w:val="22"/>
      </w:rPr>
    </w:lvl>
    <w:lvl w:ilvl="1" w:tplc="CE6C7D24">
      <w:start w:val="1"/>
      <w:numFmt w:val="upperLetter"/>
      <w:lvlText w:val="%2."/>
      <w:lvlJc w:val="left"/>
      <w:pPr>
        <w:tabs>
          <w:tab w:val="num" w:pos="1440"/>
        </w:tabs>
        <w:ind w:left="1440" w:hanging="360"/>
      </w:pPr>
      <w:rPr>
        <w:b/>
        <w:i w:val="0"/>
        <w:color w:val="auto"/>
        <w:sz w:val="22"/>
        <w:szCs w:val="22"/>
      </w:rPr>
    </w:lvl>
    <w:lvl w:ilvl="2" w:tplc="001B0409">
      <w:start w:val="1"/>
      <w:numFmt w:val="lowerRoman"/>
      <w:lvlText w:val="%3."/>
      <w:lvlJc w:val="right"/>
      <w:pPr>
        <w:tabs>
          <w:tab w:val="num" w:pos="2160"/>
        </w:tabs>
        <w:ind w:left="2160" w:hanging="180"/>
      </w:pPr>
    </w:lvl>
    <w:lvl w:ilvl="3" w:tplc="000F0409">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48" w15:restartNumberingAfterBreak="0">
    <w:nsid w:val="79214ABF"/>
    <w:multiLevelType w:val="hybridMultilevel"/>
    <w:tmpl w:val="91446DDC"/>
    <w:lvl w:ilvl="0" w:tplc="1B1E20C8">
      <w:start w:val="1"/>
      <w:numFmt w:val="upperLetter"/>
      <w:lvlText w:val="%1."/>
      <w:lvlJc w:val="left"/>
      <w:pPr>
        <w:ind w:left="648" w:hanging="360"/>
      </w:pPr>
      <w:rPr>
        <w:b w:val="0"/>
        <w:i w:val="0"/>
        <w:color w:val="auto"/>
        <w:sz w:val="24"/>
      </w:rPr>
    </w:lvl>
    <w:lvl w:ilvl="1" w:tplc="00190409">
      <w:start w:val="1"/>
      <w:numFmt w:val="lowerLetter"/>
      <w:lvlText w:val="%2."/>
      <w:lvlJc w:val="left"/>
      <w:pPr>
        <w:ind w:left="1440" w:hanging="360"/>
      </w:pPr>
    </w:lvl>
    <w:lvl w:ilvl="2" w:tplc="001B0409">
      <w:start w:val="1"/>
      <w:numFmt w:val="lowerRoman"/>
      <w:lvlText w:val="%3."/>
      <w:lvlJc w:val="right"/>
      <w:pPr>
        <w:ind w:left="2160" w:hanging="180"/>
      </w:pPr>
    </w:lvl>
    <w:lvl w:ilvl="3" w:tplc="000F0409">
      <w:start w:val="1"/>
      <w:numFmt w:val="decimal"/>
      <w:lvlText w:val="%4."/>
      <w:lvlJc w:val="left"/>
      <w:pPr>
        <w:ind w:left="2880" w:hanging="360"/>
      </w:pPr>
    </w:lvl>
    <w:lvl w:ilvl="4" w:tplc="00190409">
      <w:start w:val="1"/>
      <w:numFmt w:val="lowerLetter"/>
      <w:lvlText w:val="%5."/>
      <w:lvlJc w:val="left"/>
      <w:pPr>
        <w:ind w:left="3600" w:hanging="360"/>
      </w:pPr>
    </w:lvl>
    <w:lvl w:ilvl="5" w:tplc="9DC60F62">
      <w:start w:val="1"/>
      <w:numFmt w:val="bullet"/>
      <w:lvlText w:val=""/>
      <w:lvlJc w:val="left"/>
      <w:pPr>
        <w:tabs>
          <w:tab w:val="num" w:pos="2340"/>
        </w:tabs>
        <w:ind w:left="2340" w:hanging="360"/>
      </w:pPr>
      <w:rPr>
        <w:rFonts w:ascii="Symbol" w:hAnsi="Symbol" w:hint="default"/>
        <w:b w:val="0"/>
        <w:i w:val="0"/>
        <w:color w:val="auto"/>
        <w:sz w:val="20"/>
      </w:rPr>
    </w:lvl>
    <w:lvl w:ilvl="6" w:tplc="CE20615E">
      <w:start w:val="45"/>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49" w15:restartNumberingAfterBreak="0">
    <w:nsid w:val="79823DBA"/>
    <w:multiLevelType w:val="hybridMultilevel"/>
    <w:tmpl w:val="E19A6E5C"/>
    <w:lvl w:ilvl="0" w:tplc="18B40506">
      <w:start w:val="1"/>
      <w:numFmt w:val="bullet"/>
      <w:lvlText w:val=""/>
      <w:lvlJc w:val="left"/>
      <w:pPr>
        <w:tabs>
          <w:tab w:val="num" w:pos="3240"/>
        </w:tabs>
        <w:ind w:left="3240" w:hanging="360"/>
      </w:pPr>
      <w:rPr>
        <w:rFonts w:ascii="Symbol" w:hAnsi="Symbol" w:hint="default"/>
        <w:b w:val="0"/>
        <w:i w:val="0"/>
        <w:color w:val="auto"/>
        <w:sz w:val="22"/>
      </w:rPr>
    </w:lvl>
    <w:lvl w:ilvl="1" w:tplc="00030409">
      <w:start w:val="1"/>
      <w:numFmt w:val="bullet"/>
      <w:lvlText w:val="o"/>
      <w:lvlJc w:val="left"/>
      <w:pPr>
        <w:tabs>
          <w:tab w:val="num" w:pos="4968"/>
        </w:tabs>
        <w:ind w:left="4968" w:hanging="360"/>
      </w:pPr>
      <w:rPr>
        <w:rFonts w:ascii="Courier New" w:hAnsi="Courier New" w:hint="default"/>
      </w:rPr>
    </w:lvl>
    <w:lvl w:ilvl="2" w:tplc="00050409">
      <w:start w:val="1"/>
      <w:numFmt w:val="bullet"/>
      <w:lvlText w:val=""/>
      <w:lvlJc w:val="left"/>
      <w:pPr>
        <w:tabs>
          <w:tab w:val="num" w:pos="5688"/>
        </w:tabs>
        <w:ind w:left="5688" w:hanging="360"/>
      </w:pPr>
      <w:rPr>
        <w:rFonts w:ascii="Wingdings" w:hAnsi="Wingdings" w:hint="default"/>
      </w:rPr>
    </w:lvl>
    <w:lvl w:ilvl="3" w:tplc="825C79B4">
      <w:start w:val="1"/>
      <w:numFmt w:val="bullet"/>
      <w:lvlText w:val=""/>
      <w:lvlJc w:val="left"/>
      <w:pPr>
        <w:tabs>
          <w:tab w:val="num" w:pos="6408"/>
        </w:tabs>
        <w:ind w:left="6408" w:hanging="360"/>
      </w:pPr>
      <w:rPr>
        <w:rFonts w:ascii="Symbol" w:hAnsi="Symbol" w:hint="default"/>
        <w:b w:val="0"/>
        <w:i w:val="0"/>
        <w:color w:val="auto"/>
        <w:sz w:val="20"/>
      </w:rPr>
    </w:lvl>
    <w:lvl w:ilvl="4" w:tplc="00030409" w:tentative="1">
      <w:start w:val="1"/>
      <w:numFmt w:val="bullet"/>
      <w:lvlText w:val="o"/>
      <w:lvlJc w:val="left"/>
      <w:pPr>
        <w:tabs>
          <w:tab w:val="num" w:pos="7128"/>
        </w:tabs>
        <w:ind w:left="7128" w:hanging="360"/>
      </w:pPr>
      <w:rPr>
        <w:rFonts w:ascii="Courier New" w:hAnsi="Courier New" w:hint="default"/>
      </w:rPr>
    </w:lvl>
    <w:lvl w:ilvl="5" w:tplc="00050409" w:tentative="1">
      <w:start w:val="1"/>
      <w:numFmt w:val="bullet"/>
      <w:lvlText w:val=""/>
      <w:lvlJc w:val="left"/>
      <w:pPr>
        <w:tabs>
          <w:tab w:val="num" w:pos="7848"/>
        </w:tabs>
        <w:ind w:left="7848" w:hanging="360"/>
      </w:pPr>
      <w:rPr>
        <w:rFonts w:ascii="Wingdings" w:hAnsi="Wingdings" w:hint="default"/>
      </w:rPr>
    </w:lvl>
    <w:lvl w:ilvl="6" w:tplc="00010409" w:tentative="1">
      <w:start w:val="1"/>
      <w:numFmt w:val="bullet"/>
      <w:lvlText w:val=""/>
      <w:lvlJc w:val="left"/>
      <w:pPr>
        <w:tabs>
          <w:tab w:val="num" w:pos="8568"/>
        </w:tabs>
        <w:ind w:left="8568" w:hanging="360"/>
      </w:pPr>
      <w:rPr>
        <w:rFonts w:ascii="Symbol" w:hAnsi="Symbol" w:hint="default"/>
      </w:rPr>
    </w:lvl>
    <w:lvl w:ilvl="7" w:tplc="00030409" w:tentative="1">
      <w:start w:val="1"/>
      <w:numFmt w:val="bullet"/>
      <w:lvlText w:val="o"/>
      <w:lvlJc w:val="left"/>
      <w:pPr>
        <w:tabs>
          <w:tab w:val="num" w:pos="9288"/>
        </w:tabs>
        <w:ind w:left="9288" w:hanging="360"/>
      </w:pPr>
      <w:rPr>
        <w:rFonts w:ascii="Courier New" w:hAnsi="Courier New" w:hint="default"/>
      </w:rPr>
    </w:lvl>
    <w:lvl w:ilvl="8" w:tplc="00050409" w:tentative="1">
      <w:start w:val="1"/>
      <w:numFmt w:val="bullet"/>
      <w:lvlText w:val=""/>
      <w:lvlJc w:val="left"/>
      <w:pPr>
        <w:tabs>
          <w:tab w:val="num" w:pos="10008"/>
        </w:tabs>
        <w:ind w:left="10008" w:hanging="360"/>
      </w:pPr>
      <w:rPr>
        <w:rFonts w:ascii="Wingdings" w:hAnsi="Wingdings" w:hint="default"/>
      </w:rPr>
    </w:lvl>
  </w:abstractNum>
  <w:abstractNum w:abstractNumId="450" w15:restartNumberingAfterBreak="0">
    <w:nsid w:val="7A0604EA"/>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51" w15:restartNumberingAfterBreak="0">
    <w:nsid w:val="7A304FDF"/>
    <w:multiLevelType w:val="multilevel"/>
    <w:tmpl w:val="24EE322A"/>
    <w:lvl w:ilvl="0">
      <w:start w:val="1"/>
      <w:numFmt w:val="upperLetter"/>
      <w:lvlText w:val="%1."/>
      <w:lvlJc w:val="left"/>
      <w:pPr>
        <w:tabs>
          <w:tab w:val="num" w:pos="648"/>
        </w:tabs>
        <w:ind w:left="1584" w:hanging="1224"/>
      </w:pPr>
      <w:rPr>
        <w:b/>
        <w:i w:val="0"/>
      </w:rPr>
    </w:lvl>
    <w:lvl w:ilvl="1">
      <w:start w:val="1"/>
      <w:numFmt w:val="upperLetter"/>
      <w:lvlText w:val="%2."/>
      <w:lvlJc w:val="left"/>
      <w:pPr>
        <w:tabs>
          <w:tab w:val="num" w:pos="1080"/>
        </w:tabs>
        <w:ind w:left="1080" w:hanging="432"/>
      </w:pPr>
      <w:rPr>
        <w:b/>
      </w:rPr>
    </w:lvl>
    <w:lvl w:ilvl="2">
      <w:start w:val="1"/>
      <w:numFmt w:val="bullet"/>
      <w:lvlText w:val=""/>
      <w:lvlJc w:val="left"/>
      <w:pPr>
        <w:tabs>
          <w:tab w:val="num" w:pos="1368"/>
        </w:tabs>
        <w:ind w:left="1368" w:hanging="288"/>
      </w:pPr>
      <w:rPr>
        <w:rFonts w:ascii="Symbol" w:hAnsi="Symbol" w:hint="default"/>
        <w:b w:val="0"/>
      </w:rPr>
    </w:lvl>
    <w:lvl w:ilvl="3">
      <w:start w:val="1"/>
      <w:numFmt w:val="lowerLetter"/>
      <w:lvlText w:val="%4)"/>
      <w:lvlJc w:val="left"/>
      <w:pPr>
        <w:tabs>
          <w:tab w:val="num" w:pos="1728"/>
        </w:tabs>
        <w:ind w:left="1728" w:hanging="360"/>
      </w:pPr>
    </w:lvl>
    <w:lvl w:ilvl="4">
      <w:start w:val="1"/>
      <w:numFmt w:val="decimal"/>
      <w:lvlText w:val="(%5)"/>
      <w:lvlJc w:val="left"/>
      <w:pPr>
        <w:tabs>
          <w:tab w:val="num" w:pos="1872"/>
        </w:tabs>
        <w:ind w:left="1872" w:hanging="360"/>
      </w:pPr>
    </w:lvl>
    <w:lvl w:ilvl="5">
      <w:start w:val="1"/>
      <w:numFmt w:val="lowerLetter"/>
      <w:lvlText w:val="(%6)"/>
      <w:lvlJc w:val="left"/>
      <w:pPr>
        <w:tabs>
          <w:tab w:val="num" w:pos="2160"/>
        </w:tabs>
        <w:ind w:left="2160" w:hanging="360"/>
      </w:pPr>
    </w:lvl>
    <w:lvl w:ilvl="6">
      <w:start w:val="1"/>
      <w:numFmt w:val="lowerRoman"/>
      <w:lvlText w:val="(%7)"/>
      <w:lvlJc w:val="left"/>
      <w:pPr>
        <w:tabs>
          <w:tab w:val="num" w:pos="5040"/>
        </w:tabs>
        <w:ind w:left="4680" w:firstLine="0"/>
      </w:pPr>
    </w:lvl>
    <w:lvl w:ilvl="7">
      <w:start w:val="1"/>
      <w:numFmt w:val="lowerLetter"/>
      <w:lvlText w:val="(%8)"/>
      <w:lvlJc w:val="left"/>
      <w:pPr>
        <w:tabs>
          <w:tab w:val="num" w:pos="5760"/>
        </w:tabs>
        <w:ind w:left="5400" w:firstLine="0"/>
      </w:pPr>
    </w:lvl>
    <w:lvl w:ilvl="8">
      <w:start w:val="1"/>
      <w:numFmt w:val="lowerRoman"/>
      <w:lvlText w:val="(%9)"/>
      <w:lvlJc w:val="left"/>
      <w:pPr>
        <w:tabs>
          <w:tab w:val="num" w:pos="6480"/>
        </w:tabs>
        <w:ind w:left="6120" w:firstLine="0"/>
      </w:pPr>
    </w:lvl>
  </w:abstractNum>
  <w:abstractNum w:abstractNumId="452" w15:restartNumberingAfterBreak="0">
    <w:nsid w:val="7A5C737B"/>
    <w:multiLevelType w:val="hybridMultilevel"/>
    <w:tmpl w:val="14E84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3" w15:restartNumberingAfterBreak="0">
    <w:nsid w:val="7A736FE2"/>
    <w:multiLevelType w:val="hybridMultilevel"/>
    <w:tmpl w:val="AD006F30"/>
    <w:lvl w:ilvl="0" w:tplc="0D00F808">
      <w:start w:val="7"/>
      <w:numFmt w:val="decimal"/>
      <w:lvlText w:val="%1."/>
      <w:lvlJc w:val="left"/>
      <w:pPr>
        <w:tabs>
          <w:tab w:val="num" w:pos="648"/>
        </w:tabs>
        <w:ind w:left="648" w:hanging="360"/>
      </w:pPr>
      <w:rPr>
        <w:b/>
        <w:i w:val="0"/>
        <w:color w:val="auto"/>
        <w:sz w:val="22"/>
        <w:szCs w:val="22"/>
      </w:rPr>
    </w:lvl>
    <w:lvl w:ilvl="1" w:tplc="00190409" w:tentative="1">
      <w:start w:val="1"/>
      <w:numFmt w:val="lowerLetter"/>
      <w:lvlText w:val="%2."/>
      <w:lvlJc w:val="left"/>
      <w:pPr>
        <w:ind w:left="1440" w:hanging="360"/>
      </w:pPr>
    </w:lvl>
    <w:lvl w:ilvl="2" w:tplc="001B0409" w:tentative="1">
      <w:start w:val="1"/>
      <w:numFmt w:val="lowerRoman"/>
      <w:lvlText w:val="%3."/>
      <w:lvlJc w:val="right"/>
      <w:pPr>
        <w:ind w:left="2160" w:hanging="180"/>
      </w:pPr>
    </w:lvl>
    <w:lvl w:ilvl="3" w:tplc="000F0409" w:tentative="1">
      <w:start w:val="1"/>
      <w:numFmt w:val="decimal"/>
      <w:lvlText w:val="%4."/>
      <w:lvlJc w:val="left"/>
      <w:pPr>
        <w:ind w:left="2880" w:hanging="360"/>
      </w:pPr>
    </w:lvl>
    <w:lvl w:ilvl="4" w:tplc="00190409" w:tentative="1">
      <w:start w:val="1"/>
      <w:numFmt w:val="lowerLetter"/>
      <w:lvlText w:val="%5."/>
      <w:lvlJc w:val="left"/>
      <w:pPr>
        <w:ind w:left="3600" w:hanging="360"/>
      </w:pPr>
    </w:lvl>
    <w:lvl w:ilvl="5" w:tplc="001B0409" w:tentative="1">
      <w:start w:val="1"/>
      <w:numFmt w:val="lowerRoman"/>
      <w:lvlText w:val="%6."/>
      <w:lvlJc w:val="right"/>
      <w:pPr>
        <w:ind w:left="4320" w:hanging="180"/>
      </w:pPr>
    </w:lvl>
    <w:lvl w:ilvl="6" w:tplc="000F0409" w:tentative="1">
      <w:start w:val="1"/>
      <w:numFmt w:val="decimal"/>
      <w:lvlText w:val="%7."/>
      <w:lvlJc w:val="left"/>
      <w:pPr>
        <w:ind w:left="5040" w:hanging="360"/>
      </w:pPr>
    </w:lvl>
    <w:lvl w:ilvl="7" w:tplc="00190409" w:tentative="1">
      <w:start w:val="1"/>
      <w:numFmt w:val="lowerLetter"/>
      <w:lvlText w:val="%8."/>
      <w:lvlJc w:val="left"/>
      <w:pPr>
        <w:ind w:left="5760" w:hanging="360"/>
      </w:pPr>
    </w:lvl>
    <w:lvl w:ilvl="8" w:tplc="001B0409" w:tentative="1">
      <w:start w:val="1"/>
      <w:numFmt w:val="lowerRoman"/>
      <w:lvlText w:val="%9."/>
      <w:lvlJc w:val="right"/>
      <w:pPr>
        <w:ind w:left="6480" w:hanging="180"/>
      </w:pPr>
    </w:lvl>
  </w:abstractNum>
  <w:abstractNum w:abstractNumId="454" w15:restartNumberingAfterBreak="0">
    <w:nsid w:val="7AB0720E"/>
    <w:multiLevelType w:val="hybridMultilevel"/>
    <w:tmpl w:val="26B2C6CA"/>
    <w:lvl w:ilvl="0" w:tplc="B41C0426">
      <w:start w:val="1"/>
      <w:numFmt w:val="upperLetter"/>
      <w:lvlText w:val="%1."/>
      <w:lvlJc w:val="left"/>
      <w:pPr>
        <w:ind w:left="1080" w:hanging="360"/>
      </w:pPr>
      <w:rPr>
        <w:b/>
        <w:i w:val="0"/>
        <w:color w:val="auto"/>
        <w:sz w:val="22"/>
        <w:szCs w:val="22"/>
      </w:rPr>
    </w:lvl>
    <w:lvl w:ilvl="1" w:tplc="22B2CE54">
      <w:start w:val="1"/>
      <w:numFmt w:val="bullet"/>
      <w:lvlText w:val=""/>
      <w:lvlJc w:val="left"/>
      <w:pPr>
        <w:tabs>
          <w:tab w:val="num" w:pos="2160"/>
        </w:tabs>
        <w:ind w:left="2160" w:hanging="360"/>
      </w:pPr>
      <w:rPr>
        <w:rFonts w:ascii="Symbol" w:hAnsi="Symbol" w:hint="default"/>
        <w:b w:val="0"/>
        <w:i w:val="0"/>
        <w:color w:val="auto"/>
        <w:sz w:val="2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55" w15:restartNumberingAfterBreak="0">
    <w:nsid w:val="7ABB3752"/>
    <w:multiLevelType w:val="hybridMultilevel"/>
    <w:tmpl w:val="AB5EE438"/>
    <w:lvl w:ilvl="0" w:tplc="D486A578">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1080" w:hanging="360"/>
      </w:pPr>
    </w:lvl>
    <w:lvl w:ilvl="2" w:tplc="001B0409" w:tentative="1">
      <w:start w:val="1"/>
      <w:numFmt w:val="lowerRoman"/>
      <w:lvlText w:val="%3."/>
      <w:lvlJc w:val="right"/>
      <w:pPr>
        <w:ind w:left="1800" w:hanging="180"/>
      </w:pPr>
    </w:lvl>
    <w:lvl w:ilvl="3" w:tplc="000F0409" w:tentative="1">
      <w:start w:val="1"/>
      <w:numFmt w:val="decimal"/>
      <w:lvlText w:val="%4."/>
      <w:lvlJc w:val="left"/>
      <w:pPr>
        <w:ind w:left="2520" w:hanging="360"/>
      </w:pPr>
    </w:lvl>
    <w:lvl w:ilvl="4" w:tplc="00190409" w:tentative="1">
      <w:start w:val="1"/>
      <w:numFmt w:val="lowerLetter"/>
      <w:lvlText w:val="%5."/>
      <w:lvlJc w:val="left"/>
      <w:pPr>
        <w:ind w:left="3240" w:hanging="360"/>
      </w:pPr>
    </w:lvl>
    <w:lvl w:ilvl="5" w:tplc="001B0409" w:tentative="1">
      <w:start w:val="1"/>
      <w:numFmt w:val="lowerRoman"/>
      <w:lvlText w:val="%6."/>
      <w:lvlJc w:val="right"/>
      <w:pPr>
        <w:ind w:left="3960" w:hanging="180"/>
      </w:pPr>
    </w:lvl>
    <w:lvl w:ilvl="6" w:tplc="000F0409" w:tentative="1">
      <w:start w:val="1"/>
      <w:numFmt w:val="decimal"/>
      <w:lvlText w:val="%7."/>
      <w:lvlJc w:val="left"/>
      <w:pPr>
        <w:ind w:left="4680" w:hanging="360"/>
      </w:pPr>
    </w:lvl>
    <w:lvl w:ilvl="7" w:tplc="00190409" w:tentative="1">
      <w:start w:val="1"/>
      <w:numFmt w:val="lowerLetter"/>
      <w:lvlText w:val="%8."/>
      <w:lvlJc w:val="left"/>
      <w:pPr>
        <w:ind w:left="5400" w:hanging="360"/>
      </w:pPr>
    </w:lvl>
    <w:lvl w:ilvl="8" w:tplc="001B0409" w:tentative="1">
      <w:start w:val="1"/>
      <w:numFmt w:val="lowerRoman"/>
      <w:lvlText w:val="%9."/>
      <w:lvlJc w:val="right"/>
      <w:pPr>
        <w:ind w:left="6120" w:hanging="180"/>
      </w:pPr>
    </w:lvl>
  </w:abstractNum>
  <w:abstractNum w:abstractNumId="456" w15:restartNumberingAfterBreak="0">
    <w:nsid w:val="7AFC6381"/>
    <w:multiLevelType w:val="hybridMultilevel"/>
    <w:tmpl w:val="F08E1A60"/>
    <w:lvl w:ilvl="0" w:tplc="24B24C26">
      <w:start w:val="1"/>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360" w:hanging="360"/>
      </w:pPr>
    </w:lvl>
    <w:lvl w:ilvl="2" w:tplc="001B0409" w:tentative="1">
      <w:start w:val="1"/>
      <w:numFmt w:val="lowerRoman"/>
      <w:lvlText w:val="%3."/>
      <w:lvlJc w:val="right"/>
      <w:pPr>
        <w:ind w:left="360" w:hanging="180"/>
      </w:pPr>
    </w:lvl>
    <w:lvl w:ilvl="3" w:tplc="000F0409" w:tentative="1">
      <w:start w:val="1"/>
      <w:numFmt w:val="decimal"/>
      <w:lvlText w:val="%4."/>
      <w:lvlJc w:val="left"/>
      <w:pPr>
        <w:ind w:left="1080" w:hanging="360"/>
      </w:pPr>
    </w:lvl>
    <w:lvl w:ilvl="4" w:tplc="00190409" w:tentative="1">
      <w:start w:val="1"/>
      <w:numFmt w:val="lowerLetter"/>
      <w:lvlText w:val="%5."/>
      <w:lvlJc w:val="left"/>
      <w:pPr>
        <w:ind w:left="1800" w:hanging="360"/>
      </w:pPr>
    </w:lvl>
    <w:lvl w:ilvl="5" w:tplc="001B0409" w:tentative="1">
      <w:start w:val="1"/>
      <w:numFmt w:val="lowerRoman"/>
      <w:lvlText w:val="%6."/>
      <w:lvlJc w:val="right"/>
      <w:pPr>
        <w:ind w:left="2520" w:hanging="180"/>
      </w:pPr>
    </w:lvl>
    <w:lvl w:ilvl="6" w:tplc="000F0409" w:tentative="1">
      <w:start w:val="1"/>
      <w:numFmt w:val="decimal"/>
      <w:lvlText w:val="%7."/>
      <w:lvlJc w:val="left"/>
      <w:pPr>
        <w:ind w:left="3240" w:hanging="360"/>
      </w:pPr>
    </w:lvl>
    <w:lvl w:ilvl="7" w:tplc="00190409" w:tentative="1">
      <w:start w:val="1"/>
      <w:numFmt w:val="lowerLetter"/>
      <w:lvlText w:val="%8."/>
      <w:lvlJc w:val="left"/>
      <w:pPr>
        <w:ind w:left="3960" w:hanging="360"/>
      </w:pPr>
    </w:lvl>
    <w:lvl w:ilvl="8" w:tplc="001B0409" w:tentative="1">
      <w:start w:val="1"/>
      <w:numFmt w:val="lowerRoman"/>
      <w:lvlText w:val="%9."/>
      <w:lvlJc w:val="right"/>
      <w:pPr>
        <w:ind w:left="4680" w:hanging="180"/>
      </w:pPr>
    </w:lvl>
  </w:abstractNum>
  <w:abstractNum w:abstractNumId="457" w15:restartNumberingAfterBreak="0">
    <w:nsid w:val="7B053F69"/>
    <w:multiLevelType w:val="hybridMultilevel"/>
    <w:tmpl w:val="D34CC50E"/>
    <w:lvl w:ilvl="0" w:tplc="2C0E8E0E">
      <w:start w:val="1"/>
      <w:numFmt w:val="decimal"/>
      <w:lvlText w:val="%1."/>
      <w:lvlJc w:val="left"/>
      <w:pPr>
        <w:ind w:left="720" w:hanging="360"/>
      </w:pPr>
      <w:rPr>
        <w:b/>
        <w:i w:val="0"/>
        <w:color w:val="auto"/>
      </w:rPr>
    </w:lvl>
    <w:lvl w:ilvl="1" w:tplc="04090001">
      <w:start w:val="1"/>
      <w:numFmt w:val="bullet"/>
      <w:lvlText w:val=""/>
      <w:lvlJc w:val="left"/>
      <w:pPr>
        <w:ind w:left="1440" w:hanging="360"/>
      </w:pPr>
      <w:rPr>
        <w:rFonts w:ascii="Symbol" w:hAnsi="Symbol" w:hint="default"/>
        <w:b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8" w15:restartNumberingAfterBreak="0">
    <w:nsid w:val="7BA06A29"/>
    <w:multiLevelType w:val="hybridMultilevel"/>
    <w:tmpl w:val="C5D6297C"/>
    <w:lvl w:ilvl="0" w:tplc="71B4F3DA">
      <w:start w:val="1"/>
      <w:numFmt w:val="bullet"/>
      <w:lvlText w:val=""/>
      <w:lvlJc w:val="left"/>
      <w:pPr>
        <w:tabs>
          <w:tab w:val="num" w:pos="2160"/>
        </w:tabs>
        <w:ind w:left="2160" w:hanging="360"/>
      </w:pPr>
      <w:rPr>
        <w:rFonts w:ascii="Symbol" w:hAnsi="Symbol" w:hint="default"/>
        <w:b w:val="0"/>
        <w:i w:val="0"/>
        <w:color w:val="auto"/>
        <w:sz w:val="20"/>
      </w:rPr>
    </w:lvl>
    <w:lvl w:ilvl="1" w:tplc="00030409" w:tentative="1">
      <w:start w:val="1"/>
      <w:numFmt w:val="bullet"/>
      <w:lvlText w:val="o"/>
      <w:lvlJc w:val="left"/>
      <w:pPr>
        <w:ind w:left="1440" w:hanging="360"/>
      </w:pPr>
      <w:rPr>
        <w:rFonts w:ascii="Courier New" w:hAnsi="Courier New" w:hint="default"/>
      </w:rPr>
    </w:lvl>
    <w:lvl w:ilvl="2" w:tplc="00050409" w:tentative="1">
      <w:start w:val="1"/>
      <w:numFmt w:val="bullet"/>
      <w:lvlText w:val=""/>
      <w:lvlJc w:val="left"/>
      <w:pPr>
        <w:ind w:left="2160" w:hanging="360"/>
      </w:pPr>
      <w:rPr>
        <w:rFonts w:ascii="Wingdings" w:hAnsi="Wingdings" w:hint="default"/>
      </w:rPr>
    </w:lvl>
    <w:lvl w:ilvl="3" w:tplc="907E4160">
      <w:start w:val="1"/>
      <w:numFmt w:val="bullet"/>
      <w:lvlText w:val=""/>
      <w:lvlJc w:val="left"/>
      <w:pPr>
        <w:tabs>
          <w:tab w:val="num" w:pos="2880"/>
        </w:tabs>
        <w:ind w:left="2880" w:hanging="360"/>
      </w:pPr>
      <w:rPr>
        <w:rFonts w:ascii="Symbol" w:hAnsi="Symbol" w:hint="default"/>
        <w:b w:val="0"/>
        <w:i w:val="0"/>
        <w:color w:val="auto"/>
        <w:sz w:val="20"/>
      </w:rPr>
    </w:lvl>
    <w:lvl w:ilvl="4" w:tplc="00030409" w:tentative="1">
      <w:start w:val="1"/>
      <w:numFmt w:val="bullet"/>
      <w:lvlText w:val="o"/>
      <w:lvlJc w:val="left"/>
      <w:pPr>
        <w:ind w:left="3600" w:hanging="360"/>
      </w:pPr>
      <w:rPr>
        <w:rFonts w:ascii="Courier New" w:hAnsi="Courier New" w:hint="default"/>
      </w:rPr>
    </w:lvl>
    <w:lvl w:ilvl="5" w:tplc="00050409" w:tentative="1">
      <w:start w:val="1"/>
      <w:numFmt w:val="bullet"/>
      <w:lvlText w:val=""/>
      <w:lvlJc w:val="left"/>
      <w:pPr>
        <w:ind w:left="4320" w:hanging="360"/>
      </w:pPr>
      <w:rPr>
        <w:rFonts w:ascii="Wingdings" w:hAnsi="Wingdings" w:hint="default"/>
      </w:rPr>
    </w:lvl>
    <w:lvl w:ilvl="6" w:tplc="00010409" w:tentative="1">
      <w:start w:val="1"/>
      <w:numFmt w:val="bullet"/>
      <w:lvlText w:val=""/>
      <w:lvlJc w:val="left"/>
      <w:pPr>
        <w:ind w:left="5040" w:hanging="360"/>
      </w:pPr>
      <w:rPr>
        <w:rFonts w:ascii="Symbol" w:hAnsi="Symbol" w:hint="default"/>
      </w:rPr>
    </w:lvl>
    <w:lvl w:ilvl="7" w:tplc="00030409" w:tentative="1">
      <w:start w:val="1"/>
      <w:numFmt w:val="bullet"/>
      <w:lvlText w:val="o"/>
      <w:lvlJc w:val="left"/>
      <w:pPr>
        <w:ind w:left="5760" w:hanging="360"/>
      </w:pPr>
      <w:rPr>
        <w:rFonts w:ascii="Courier New" w:hAnsi="Courier New" w:hint="default"/>
      </w:rPr>
    </w:lvl>
    <w:lvl w:ilvl="8" w:tplc="00050409" w:tentative="1">
      <w:start w:val="1"/>
      <w:numFmt w:val="bullet"/>
      <w:lvlText w:val=""/>
      <w:lvlJc w:val="left"/>
      <w:pPr>
        <w:ind w:left="6480" w:hanging="360"/>
      </w:pPr>
      <w:rPr>
        <w:rFonts w:ascii="Wingdings" w:hAnsi="Wingdings" w:hint="default"/>
      </w:rPr>
    </w:lvl>
  </w:abstractNum>
  <w:abstractNum w:abstractNumId="459" w15:restartNumberingAfterBreak="0">
    <w:nsid w:val="7BAC5293"/>
    <w:multiLevelType w:val="multilevel"/>
    <w:tmpl w:val="F8B85660"/>
    <w:lvl w:ilvl="0">
      <w:start w:val="1"/>
      <w:numFmt w:val="upperRoman"/>
      <w:lvlText w:val="%1."/>
      <w:lvlJc w:val="left"/>
      <w:pPr>
        <w:tabs>
          <w:tab w:val="num" w:pos="288"/>
        </w:tabs>
        <w:ind w:left="1224" w:hanging="1224"/>
      </w:pPr>
      <w:rPr>
        <w:b/>
        <w:i w:val="0"/>
      </w:rPr>
    </w:lvl>
    <w:lvl w:ilvl="1">
      <w:start w:val="1"/>
      <w:numFmt w:val="upperLetter"/>
      <w:lvlText w:val="%2."/>
      <w:lvlJc w:val="left"/>
      <w:pPr>
        <w:tabs>
          <w:tab w:val="num" w:pos="720"/>
        </w:tabs>
        <w:ind w:left="720" w:hanging="432"/>
      </w:pPr>
      <w:rPr>
        <w:b w:val="0"/>
        <w:i w:val="0"/>
      </w:rPr>
    </w:lvl>
    <w:lvl w:ilvl="2">
      <w:start w:val="3"/>
      <w:numFmt w:val="upperLetter"/>
      <w:lvlText w:val="%3."/>
      <w:lvlJc w:val="left"/>
      <w:pPr>
        <w:tabs>
          <w:tab w:val="num" w:pos="1008"/>
        </w:tabs>
        <w:ind w:left="1008" w:hanging="288"/>
      </w:pPr>
      <w:rPr>
        <w:b/>
        <w:i w:val="0"/>
      </w:r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460" w15:restartNumberingAfterBreak="0">
    <w:nsid w:val="7C192795"/>
    <w:multiLevelType w:val="hybridMultilevel"/>
    <w:tmpl w:val="9768F06E"/>
    <w:lvl w:ilvl="0" w:tplc="1E44A246">
      <w:start w:val="1"/>
      <w:numFmt w:val="bullet"/>
      <w:lvlText w:val=""/>
      <w:lvlJc w:val="left"/>
      <w:pPr>
        <w:ind w:left="2880" w:hanging="360"/>
      </w:pPr>
      <w:rPr>
        <w:rFonts w:ascii="Symbol" w:hAnsi="Symbol" w:hint="default"/>
        <w:b w:val="0"/>
        <w:i w:val="0"/>
        <w:color w:val="auto"/>
        <w:sz w:val="20"/>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1" w15:restartNumberingAfterBreak="0">
    <w:nsid w:val="7C226675"/>
    <w:multiLevelType w:val="hybridMultilevel"/>
    <w:tmpl w:val="5956B9D2"/>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F3F45766">
      <w:start w:val="1"/>
      <w:numFmt w:val="decimal"/>
      <w:lvlText w:val="(%7)"/>
      <w:lvlJc w:val="left"/>
      <w:pPr>
        <w:ind w:left="5040" w:hanging="360"/>
      </w:pPr>
    </w:lvl>
    <w:lvl w:ilvl="7" w:tplc="AC16457A">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2" w15:restartNumberingAfterBreak="0">
    <w:nsid w:val="7C911A12"/>
    <w:multiLevelType w:val="multilevel"/>
    <w:tmpl w:val="D1FE9508"/>
    <w:lvl w:ilvl="0">
      <w:start w:val="1"/>
      <w:numFmt w:val="none"/>
      <w:lvlText w:val="1.6.3."/>
      <w:lvlJc w:val="left"/>
      <w:pPr>
        <w:tabs>
          <w:tab w:val="num" w:pos="360"/>
        </w:tabs>
        <w:ind w:left="360" w:hanging="360"/>
      </w:pPr>
      <w:rPr>
        <w:b/>
        <w:i w:val="0"/>
      </w:rPr>
    </w:lvl>
    <w:lvl w:ilvl="1">
      <w:start w:val="2"/>
      <w:numFmt w:val="upperLetter"/>
      <w:lvlText w:val="%2."/>
      <w:lvlJc w:val="left"/>
      <w:pPr>
        <w:tabs>
          <w:tab w:val="num" w:pos="792"/>
        </w:tabs>
        <w:ind w:left="792" w:hanging="432"/>
      </w:pPr>
      <w:rPr>
        <w:b/>
        <w:i w:val="0"/>
      </w:rPr>
    </w:lvl>
    <w:lvl w:ilvl="2">
      <w:start w:val="1"/>
      <w:numFmt w:val="decimal"/>
      <w:lvlText w:val="%3.6.2."/>
      <w:lvlJc w:val="left"/>
      <w:pPr>
        <w:tabs>
          <w:tab w:val="num" w:pos="1224"/>
        </w:tabs>
        <w:ind w:left="1224" w:hanging="504"/>
      </w:pPr>
      <w:rPr>
        <w:b/>
        <w:i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63" w15:restartNumberingAfterBreak="0">
    <w:nsid w:val="7D504B3C"/>
    <w:multiLevelType w:val="multilevel"/>
    <w:tmpl w:val="4BD0C6B2"/>
    <w:lvl w:ilvl="0">
      <w:start w:val="1"/>
      <w:numFmt w:val="decimal"/>
      <w:lvlText w:val="%1."/>
      <w:lvlJc w:val="left"/>
      <w:pPr>
        <w:tabs>
          <w:tab w:val="num" w:pos="936"/>
        </w:tabs>
        <w:ind w:left="936" w:hanging="360"/>
      </w:pPr>
      <w:rPr>
        <w:b/>
        <w:i w:val="0"/>
        <w:color w:val="auto"/>
        <w:sz w:val="22"/>
        <w:szCs w:val="22"/>
      </w:rPr>
    </w:lvl>
    <w:lvl w:ilvl="1">
      <w:start w:val="1"/>
      <w:numFmt w:val="decimal"/>
      <w:isLgl/>
      <w:lvlText w:val="%1.%2"/>
      <w:lvlJc w:val="left"/>
      <w:pPr>
        <w:ind w:left="1116" w:hanging="540"/>
      </w:pPr>
    </w:lvl>
    <w:lvl w:ilvl="2">
      <w:start w:val="1"/>
      <w:numFmt w:val="decimal"/>
      <w:isLgl/>
      <w:lvlText w:val="%1.%2.%3"/>
      <w:lvlJc w:val="left"/>
      <w:pPr>
        <w:ind w:left="1296" w:hanging="720"/>
      </w:pPr>
    </w:lvl>
    <w:lvl w:ilvl="3">
      <w:start w:val="1"/>
      <w:numFmt w:val="decimal"/>
      <w:isLgl/>
      <w:lvlText w:val="%1.%2.%3.%4"/>
      <w:lvlJc w:val="left"/>
      <w:pPr>
        <w:ind w:left="1296" w:hanging="720"/>
      </w:pPr>
    </w:lvl>
    <w:lvl w:ilvl="4">
      <w:start w:val="1"/>
      <w:numFmt w:val="decimal"/>
      <w:isLgl/>
      <w:lvlText w:val="%1.%2.%3.%4.%5"/>
      <w:lvlJc w:val="left"/>
      <w:pPr>
        <w:ind w:left="1656" w:hanging="1080"/>
      </w:pPr>
    </w:lvl>
    <w:lvl w:ilvl="5">
      <w:start w:val="1"/>
      <w:numFmt w:val="decimal"/>
      <w:isLgl/>
      <w:lvlText w:val="%1.%2.%3.%4.%5.%6"/>
      <w:lvlJc w:val="left"/>
      <w:pPr>
        <w:ind w:left="1656" w:hanging="1080"/>
      </w:pPr>
    </w:lvl>
    <w:lvl w:ilvl="6">
      <w:start w:val="1"/>
      <w:numFmt w:val="decimal"/>
      <w:isLgl/>
      <w:lvlText w:val="%1.%2.%3.%4.%5.%6.%7"/>
      <w:lvlJc w:val="left"/>
      <w:pPr>
        <w:ind w:left="2016" w:hanging="1440"/>
      </w:pPr>
    </w:lvl>
    <w:lvl w:ilvl="7">
      <w:start w:val="1"/>
      <w:numFmt w:val="decimal"/>
      <w:isLgl/>
      <w:lvlText w:val="%1.%2.%3.%4.%5.%6.%7.%8"/>
      <w:lvlJc w:val="left"/>
      <w:pPr>
        <w:ind w:left="2016" w:hanging="1440"/>
      </w:pPr>
    </w:lvl>
    <w:lvl w:ilvl="8">
      <w:start w:val="1"/>
      <w:numFmt w:val="decimal"/>
      <w:isLgl/>
      <w:lvlText w:val="%1.%2.%3.%4.%5.%6.%7.%8.%9"/>
      <w:lvlJc w:val="left"/>
      <w:pPr>
        <w:ind w:left="2376" w:hanging="1800"/>
      </w:pPr>
    </w:lvl>
  </w:abstractNum>
  <w:abstractNum w:abstractNumId="464" w15:restartNumberingAfterBreak="0">
    <w:nsid w:val="7D9C306E"/>
    <w:multiLevelType w:val="hybridMultilevel"/>
    <w:tmpl w:val="5508A05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5" w15:restartNumberingAfterBreak="0">
    <w:nsid w:val="7DB728B7"/>
    <w:multiLevelType w:val="hybridMultilevel"/>
    <w:tmpl w:val="C6288D9A"/>
    <w:lvl w:ilvl="0" w:tplc="04090003">
      <w:start w:val="1"/>
      <w:numFmt w:val="bullet"/>
      <w:lvlText w:val="o"/>
      <w:lvlJc w:val="left"/>
      <w:pPr>
        <w:tabs>
          <w:tab w:val="num" w:pos="2430"/>
        </w:tabs>
        <w:ind w:left="2430" w:hanging="360"/>
      </w:pPr>
      <w:rPr>
        <w:rFonts w:ascii="Courier New" w:hAnsi="Courier New" w:cs="Courier New" w:hint="default"/>
        <w:b w:val="0"/>
        <w:i w:val="0"/>
        <w:color w:val="auto"/>
        <w:sz w:val="20"/>
      </w:rPr>
    </w:lvl>
    <w:lvl w:ilvl="1" w:tplc="FFFFFFFF" w:tentative="1">
      <w:start w:val="1"/>
      <w:numFmt w:val="bullet"/>
      <w:lvlText w:val="o"/>
      <w:lvlJc w:val="left"/>
      <w:pPr>
        <w:ind w:left="1800" w:hanging="360"/>
      </w:pPr>
      <w:rPr>
        <w:rFonts w:ascii="Courier New" w:hAnsi="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66" w15:restartNumberingAfterBreak="0">
    <w:nsid w:val="7DBB4583"/>
    <w:multiLevelType w:val="hybridMultilevel"/>
    <w:tmpl w:val="3E3026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7" w15:restartNumberingAfterBreak="0">
    <w:nsid w:val="7DC24050"/>
    <w:multiLevelType w:val="hybridMultilevel"/>
    <w:tmpl w:val="AB1CCC16"/>
    <w:lvl w:ilvl="0" w:tplc="03C6034C">
      <w:start w:val="8"/>
      <w:numFmt w:val="decimal"/>
      <w:lvlText w:val="%1."/>
      <w:lvlJc w:val="left"/>
      <w:pPr>
        <w:tabs>
          <w:tab w:val="num" w:pos="1008"/>
        </w:tabs>
        <w:ind w:left="1008" w:hanging="360"/>
      </w:pPr>
      <w:rPr>
        <w:b/>
        <w:i w:val="0"/>
        <w:color w:val="auto"/>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8" w15:restartNumberingAfterBreak="0">
    <w:nsid w:val="7DFB641B"/>
    <w:multiLevelType w:val="hybridMultilevel"/>
    <w:tmpl w:val="07546D70"/>
    <w:lvl w:ilvl="0" w:tplc="DA686068">
      <w:start w:val="1"/>
      <w:numFmt w:val="upperLetter"/>
      <w:lvlText w:val="%1."/>
      <w:lvlJc w:val="left"/>
      <w:pPr>
        <w:ind w:left="1080" w:hanging="360"/>
      </w:pPr>
      <w:rPr>
        <w:b/>
      </w:rPr>
    </w:lvl>
    <w:lvl w:ilvl="1" w:tplc="D2A0CE64">
      <w:start w:val="1"/>
      <w:numFmt w:val="bullet"/>
      <w:lvlText w:val=""/>
      <w:lvlJc w:val="left"/>
      <w:pPr>
        <w:ind w:left="1800" w:hanging="360"/>
      </w:pPr>
      <w:rPr>
        <w:rFonts w:ascii="Symbol" w:hAnsi="Symbol" w:hint="default"/>
        <w:color w:val="FF000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9" w15:restartNumberingAfterBreak="0">
    <w:nsid w:val="7E3F0B38"/>
    <w:multiLevelType w:val="hybridMultilevel"/>
    <w:tmpl w:val="DEE4926C"/>
    <w:name w:val="OutlineHeadings222"/>
    <w:lvl w:ilvl="0" w:tplc="DB4A2BA2">
      <w:start w:val="3"/>
      <w:numFmt w:val="upperLetter"/>
      <w:lvlText w:val="%1."/>
      <w:lvlJc w:val="left"/>
      <w:pPr>
        <w:ind w:left="1080" w:hanging="360"/>
      </w:pPr>
      <w:rPr>
        <w:b/>
        <w:i w:val="0"/>
        <w:color w:val="auto"/>
        <w:sz w:val="22"/>
        <w:szCs w:val="22"/>
      </w:rPr>
    </w:lvl>
    <w:lvl w:ilvl="1" w:tplc="00190409" w:tentative="1">
      <w:start w:val="1"/>
      <w:numFmt w:val="lowerLetter"/>
      <w:lvlText w:val="%2."/>
      <w:lvlJc w:val="left"/>
      <w:pPr>
        <w:ind w:left="360" w:hanging="360"/>
      </w:pPr>
    </w:lvl>
    <w:lvl w:ilvl="2" w:tplc="001B0409" w:tentative="1">
      <w:start w:val="1"/>
      <w:numFmt w:val="lowerRoman"/>
      <w:lvlText w:val="%3."/>
      <w:lvlJc w:val="right"/>
      <w:pPr>
        <w:ind w:left="1080" w:hanging="180"/>
      </w:pPr>
    </w:lvl>
    <w:lvl w:ilvl="3" w:tplc="000F0409" w:tentative="1">
      <w:start w:val="1"/>
      <w:numFmt w:val="decimal"/>
      <w:lvlText w:val="%4."/>
      <w:lvlJc w:val="left"/>
      <w:pPr>
        <w:ind w:left="1800" w:hanging="360"/>
      </w:pPr>
    </w:lvl>
    <w:lvl w:ilvl="4" w:tplc="00190409" w:tentative="1">
      <w:start w:val="1"/>
      <w:numFmt w:val="lowerLetter"/>
      <w:lvlText w:val="%5."/>
      <w:lvlJc w:val="left"/>
      <w:pPr>
        <w:ind w:left="2520" w:hanging="360"/>
      </w:pPr>
    </w:lvl>
    <w:lvl w:ilvl="5" w:tplc="001B0409" w:tentative="1">
      <w:start w:val="1"/>
      <w:numFmt w:val="lowerRoman"/>
      <w:lvlText w:val="%6."/>
      <w:lvlJc w:val="right"/>
      <w:pPr>
        <w:ind w:left="3240" w:hanging="180"/>
      </w:pPr>
    </w:lvl>
    <w:lvl w:ilvl="6" w:tplc="000F0409" w:tentative="1">
      <w:start w:val="1"/>
      <w:numFmt w:val="decimal"/>
      <w:lvlText w:val="%7."/>
      <w:lvlJc w:val="left"/>
      <w:pPr>
        <w:ind w:left="3960" w:hanging="360"/>
      </w:pPr>
    </w:lvl>
    <w:lvl w:ilvl="7" w:tplc="00190409" w:tentative="1">
      <w:start w:val="1"/>
      <w:numFmt w:val="lowerLetter"/>
      <w:lvlText w:val="%8."/>
      <w:lvlJc w:val="left"/>
      <w:pPr>
        <w:ind w:left="4680" w:hanging="360"/>
      </w:pPr>
    </w:lvl>
    <w:lvl w:ilvl="8" w:tplc="001B0409" w:tentative="1">
      <w:start w:val="1"/>
      <w:numFmt w:val="lowerRoman"/>
      <w:lvlText w:val="%9."/>
      <w:lvlJc w:val="right"/>
      <w:pPr>
        <w:ind w:left="5400" w:hanging="180"/>
      </w:pPr>
    </w:lvl>
  </w:abstractNum>
  <w:abstractNum w:abstractNumId="470" w15:restartNumberingAfterBreak="0">
    <w:nsid w:val="7E45675A"/>
    <w:multiLevelType w:val="hybridMultilevel"/>
    <w:tmpl w:val="20E0843E"/>
    <w:lvl w:ilvl="0" w:tplc="9F6C8AF0">
      <w:start w:val="4"/>
      <w:numFmt w:val="decimal"/>
      <w:lvlText w:val="%1."/>
      <w:lvlJc w:val="left"/>
      <w:pPr>
        <w:tabs>
          <w:tab w:val="num" w:pos="450"/>
        </w:tabs>
        <w:ind w:left="450" w:hanging="360"/>
      </w:pPr>
      <w:rPr>
        <w:b/>
        <w:i w:val="0"/>
        <w:color w:val="auto"/>
        <w:sz w:val="22"/>
        <w:szCs w:val="22"/>
      </w:rPr>
    </w:lvl>
    <w:lvl w:ilvl="1" w:tplc="00190409" w:tentative="1">
      <w:start w:val="1"/>
      <w:numFmt w:val="lowerLetter"/>
      <w:lvlText w:val="%2."/>
      <w:lvlJc w:val="left"/>
      <w:pPr>
        <w:ind w:left="1170" w:hanging="360"/>
      </w:pPr>
    </w:lvl>
    <w:lvl w:ilvl="2" w:tplc="001B0409" w:tentative="1">
      <w:start w:val="1"/>
      <w:numFmt w:val="lowerRoman"/>
      <w:lvlText w:val="%3."/>
      <w:lvlJc w:val="right"/>
      <w:pPr>
        <w:ind w:left="1890" w:hanging="180"/>
      </w:pPr>
    </w:lvl>
    <w:lvl w:ilvl="3" w:tplc="000F0409" w:tentative="1">
      <w:start w:val="1"/>
      <w:numFmt w:val="decimal"/>
      <w:lvlText w:val="%4."/>
      <w:lvlJc w:val="left"/>
      <w:pPr>
        <w:ind w:left="2610" w:hanging="360"/>
      </w:pPr>
    </w:lvl>
    <w:lvl w:ilvl="4" w:tplc="00190409" w:tentative="1">
      <w:start w:val="1"/>
      <w:numFmt w:val="lowerLetter"/>
      <w:lvlText w:val="%5."/>
      <w:lvlJc w:val="left"/>
      <w:pPr>
        <w:ind w:left="3330" w:hanging="360"/>
      </w:pPr>
    </w:lvl>
    <w:lvl w:ilvl="5" w:tplc="001B0409" w:tentative="1">
      <w:start w:val="1"/>
      <w:numFmt w:val="lowerRoman"/>
      <w:lvlText w:val="%6."/>
      <w:lvlJc w:val="right"/>
      <w:pPr>
        <w:ind w:left="4050" w:hanging="180"/>
      </w:pPr>
    </w:lvl>
    <w:lvl w:ilvl="6" w:tplc="000F0409" w:tentative="1">
      <w:start w:val="1"/>
      <w:numFmt w:val="decimal"/>
      <w:lvlText w:val="%7."/>
      <w:lvlJc w:val="left"/>
      <w:pPr>
        <w:ind w:left="4770" w:hanging="360"/>
      </w:pPr>
    </w:lvl>
    <w:lvl w:ilvl="7" w:tplc="00190409" w:tentative="1">
      <w:start w:val="1"/>
      <w:numFmt w:val="lowerLetter"/>
      <w:lvlText w:val="%8."/>
      <w:lvlJc w:val="left"/>
      <w:pPr>
        <w:ind w:left="5490" w:hanging="360"/>
      </w:pPr>
    </w:lvl>
    <w:lvl w:ilvl="8" w:tplc="001B0409" w:tentative="1">
      <w:start w:val="1"/>
      <w:numFmt w:val="lowerRoman"/>
      <w:lvlText w:val="%9."/>
      <w:lvlJc w:val="right"/>
      <w:pPr>
        <w:ind w:left="6210" w:hanging="180"/>
      </w:pPr>
    </w:lvl>
  </w:abstractNum>
  <w:abstractNum w:abstractNumId="471" w15:restartNumberingAfterBreak="0">
    <w:nsid w:val="7E486504"/>
    <w:multiLevelType w:val="hybridMultilevel"/>
    <w:tmpl w:val="1AAE0D1A"/>
    <w:lvl w:ilvl="0" w:tplc="CBF21F6C">
      <w:start w:val="1"/>
      <w:numFmt w:val="bullet"/>
      <w:lvlText w:val=""/>
      <w:lvlJc w:val="left"/>
      <w:pPr>
        <w:ind w:left="1080" w:hanging="360"/>
      </w:pPr>
      <w:rPr>
        <w:rFonts w:ascii="Symbol" w:hAnsi="Symbol" w:hint="default"/>
        <w:b w:val="0"/>
        <w:i w:val="0"/>
        <w:color w:val="auto"/>
        <w:sz w:val="20"/>
      </w:rPr>
    </w:lvl>
    <w:lvl w:ilvl="1" w:tplc="00030409" w:tentative="1">
      <w:start w:val="1"/>
      <w:numFmt w:val="bullet"/>
      <w:lvlText w:val="o"/>
      <w:lvlJc w:val="left"/>
      <w:pPr>
        <w:ind w:left="360" w:hanging="360"/>
      </w:pPr>
      <w:rPr>
        <w:rFonts w:ascii="Courier New" w:hAnsi="Courier New" w:hint="default"/>
      </w:rPr>
    </w:lvl>
    <w:lvl w:ilvl="2" w:tplc="B1769B2E">
      <w:start w:val="1"/>
      <w:numFmt w:val="bullet"/>
      <w:lvlText w:val=""/>
      <w:lvlJc w:val="left"/>
      <w:pPr>
        <w:tabs>
          <w:tab w:val="num" w:pos="1080"/>
        </w:tabs>
        <w:ind w:left="1080" w:hanging="360"/>
      </w:pPr>
      <w:rPr>
        <w:rFonts w:ascii="Symbol" w:hAnsi="Symbol" w:hint="default"/>
        <w:b w:val="0"/>
        <w:i w:val="0"/>
        <w:color w:val="auto"/>
        <w:sz w:val="20"/>
      </w:rPr>
    </w:lvl>
    <w:lvl w:ilvl="3" w:tplc="00010409" w:tentative="1">
      <w:start w:val="1"/>
      <w:numFmt w:val="bullet"/>
      <w:lvlText w:val=""/>
      <w:lvlJc w:val="left"/>
      <w:pPr>
        <w:ind w:left="1800" w:hanging="360"/>
      </w:pPr>
      <w:rPr>
        <w:rFonts w:ascii="Symbol" w:hAnsi="Symbol" w:hint="default"/>
      </w:rPr>
    </w:lvl>
    <w:lvl w:ilvl="4" w:tplc="00030409" w:tentative="1">
      <w:start w:val="1"/>
      <w:numFmt w:val="bullet"/>
      <w:lvlText w:val="o"/>
      <w:lvlJc w:val="left"/>
      <w:pPr>
        <w:ind w:left="2520" w:hanging="360"/>
      </w:pPr>
      <w:rPr>
        <w:rFonts w:ascii="Courier New" w:hAnsi="Courier New" w:hint="default"/>
      </w:rPr>
    </w:lvl>
    <w:lvl w:ilvl="5" w:tplc="00050409" w:tentative="1">
      <w:start w:val="1"/>
      <w:numFmt w:val="bullet"/>
      <w:lvlText w:val=""/>
      <w:lvlJc w:val="left"/>
      <w:pPr>
        <w:ind w:left="3240" w:hanging="360"/>
      </w:pPr>
      <w:rPr>
        <w:rFonts w:ascii="Wingdings" w:hAnsi="Wingdings" w:hint="default"/>
      </w:rPr>
    </w:lvl>
    <w:lvl w:ilvl="6" w:tplc="00010409" w:tentative="1">
      <w:start w:val="1"/>
      <w:numFmt w:val="bullet"/>
      <w:lvlText w:val=""/>
      <w:lvlJc w:val="left"/>
      <w:pPr>
        <w:ind w:left="3960" w:hanging="360"/>
      </w:pPr>
      <w:rPr>
        <w:rFonts w:ascii="Symbol" w:hAnsi="Symbol" w:hint="default"/>
      </w:rPr>
    </w:lvl>
    <w:lvl w:ilvl="7" w:tplc="00030409" w:tentative="1">
      <w:start w:val="1"/>
      <w:numFmt w:val="bullet"/>
      <w:lvlText w:val="o"/>
      <w:lvlJc w:val="left"/>
      <w:pPr>
        <w:ind w:left="4680" w:hanging="360"/>
      </w:pPr>
      <w:rPr>
        <w:rFonts w:ascii="Courier New" w:hAnsi="Courier New" w:hint="default"/>
      </w:rPr>
    </w:lvl>
    <w:lvl w:ilvl="8" w:tplc="00050409" w:tentative="1">
      <w:start w:val="1"/>
      <w:numFmt w:val="bullet"/>
      <w:lvlText w:val=""/>
      <w:lvlJc w:val="left"/>
      <w:pPr>
        <w:ind w:left="5400" w:hanging="360"/>
      </w:pPr>
      <w:rPr>
        <w:rFonts w:ascii="Wingdings" w:hAnsi="Wingdings" w:hint="default"/>
      </w:rPr>
    </w:lvl>
  </w:abstractNum>
  <w:abstractNum w:abstractNumId="472" w15:restartNumberingAfterBreak="0">
    <w:nsid w:val="7E76436C"/>
    <w:multiLevelType w:val="hybridMultilevel"/>
    <w:tmpl w:val="79A29860"/>
    <w:lvl w:ilvl="0" w:tplc="2B00BA00">
      <w:start w:val="1"/>
      <w:numFmt w:val="bullet"/>
      <w:lvlText w:val=""/>
      <w:lvlJc w:val="left"/>
      <w:pPr>
        <w:tabs>
          <w:tab w:val="num" w:pos="1080"/>
        </w:tabs>
        <w:ind w:left="1080" w:hanging="360"/>
      </w:pPr>
      <w:rPr>
        <w:rFonts w:ascii="Symbol" w:hAnsi="Symbol" w:hint="default"/>
        <w:b w:val="0"/>
        <w:i w:val="0"/>
        <w:sz w:val="18"/>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73" w15:restartNumberingAfterBreak="0">
    <w:nsid w:val="7E931B34"/>
    <w:multiLevelType w:val="multilevel"/>
    <w:tmpl w:val="3C504188"/>
    <w:lvl w:ilvl="0">
      <w:start w:val="1"/>
      <w:numFmt w:val="decimal"/>
      <w:lvlText w:val="%1."/>
      <w:lvlJc w:val="left"/>
      <w:pPr>
        <w:tabs>
          <w:tab w:val="num" w:pos="288"/>
        </w:tabs>
        <w:ind w:left="1224" w:hanging="1224"/>
      </w:pPr>
      <w:rPr>
        <w:b/>
        <w:i w:val="0"/>
      </w:rPr>
    </w:lvl>
    <w:lvl w:ilvl="1">
      <w:start w:val="1"/>
      <w:numFmt w:val="upperLetter"/>
      <w:lvlText w:val="%2."/>
      <w:lvlJc w:val="left"/>
      <w:pPr>
        <w:tabs>
          <w:tab w:val="num" w:pos="792"/>
        </w:tabs>
        <w:ind w:left="792" w:hanging="432"/>
      </w:pPr>
      <w:rPr>
        <w:b/>
        <w:i w:val="0"/>
        <w:color w:val="auto"/>
        <w:sz w:val="22"/>
        <w:szCs w:val="22"/>
      </w:rPr>
    </w:lvl>
    <w:lvl w:ilvl="2">
      <w:start w:val="1"/>
      <w:numFmt w:val="decimal"/>
      <w:lvlText w:val="%3."/>
      <w:lvlJc w:val="left"/>
      <w:pPr>
        <w:tabs>
          <w:tab w:val="num" w:pos="1008"/>
        </w:tabs>
        <w:ind w:left="1008" w:hanging="288"/>
      </w:pPr>
    </w:lvl>
    <w:lvl w:ilvl="3">
      <w:start w:val="1"/>
      <w:numFmt w:val="lowerLetter"/>
      <w:lvlText w:val="%4)"/>
      <w:lvlJc w:val="left"/>
      <w:pPr>
        <w:tabs>
          <w:tab w:val="num" w:pos="1368"/>
        </w:tabs>
        <w:ind w:left="1368" w:hanging="360"/>
      </w:pPr>
    </w:lvl>
    <w:lvl w:ilvl="4">
      <w:start w:val="1"/>
      <w:numFmt w:val="decimal"/>
      <w:lvlText w:val="(%5)"/>
      <w:lvlJc w:val="left"/>
      <w:pPr>
        <w:tabs>
          <w:tab w:val="num" w:pos="1512"/>
        </w:tabs>
        <w:ind w:left="1512" w:hanging="360"/>
      </w:pPr>
    </w:lvl>
    <w:lvl w:ilvl="5">
      <w:start w:val="1"/>
      <w:numFmt w:val="lowerLetter"/>
      <w:lvlText w:val="(%6)"/>
      <w:lvlJc w:val="left"/>
      <w:pPr>
        <w:tabs>
          <w:tab w:val="num" w:pos="1800"/>
        </w:tabs>
        <w:ind w:left="1800" w:hanging="36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num w:numId="1" w16cid:durableId="489369241">
    <w:abstractNumId w:val="2"/>
  </w:num>
  <w:num w:numId="2" w16cid:durableId="397946363">
    <w:abstractNumId w:val="1"/>
  </w:num>
  <w:num w:numId="3" w16cid:durableId="1746537140">
    <w:abstractNumId w:val="0"/>
  </w:num>
  <w:num w:numId="4" w16cid:durableId="1401444413">
    <w:abstractNumId w:val="433"/>
  </w:num>
  <w:num w:numId="5" w16cid:durableId="1495487150">
    <w:abstractNumId w:val="400"/>
  </w:num>
  <w:num w:numId="6" w16cid:durableId="988706466">
    <w:abstractNumId w:val="311"/>
  </w:num>
  <w:num w:numId="7" w16cid:durableId="664941851">
    <w:abstractNumId w:val="140"/>
  </w:num>
  <w:num w:numId="8" w16cid:durableId="1128551047">
    <w:abstractNumId w:val="168"/>
  </w:num>
  <w:num w:numId="9" w16cid:durableId="1547644458">
    <w:abstractNumId w:val="409"/>
  </w:num>
  <w:num w:numId="10" w16cid:durableId="134881178">
    <w:abstractNumId w:val="148"/>
  </w:num>
  <w:num w:numId="11" w16cid:durableId="1102916342">
    <w:abstractNumId w:val="224"/>
  </w:num>
  <w:num w:numId="12" w16cid:durableId="1245916604">
    <w:abstractNumId w:val="415"/>
  </w:num>
  <w:num w:numId="13" w16cid:durableId="790630041">
    <w:abstractNumId w:val="344"/>
  </w:num>
  <w:num w:numId="14" w16cid:durableId="195317544">
    <w:abstractNumId w:val="424"/>
  </w:num>
  <w:num w:numId="15" w16cid:durableId="1883713514">
    <w:abstractNumId w:val="62"/>
  </w:num>
  <w:num w:numId="16" w16cid:durableId="349796299">
    <w:abstractNumId w:val="219"/>
  </w:num>
  <w:num w:numId="17" w16cid:durableId="819422927">
    <w:abstractNumId w:val="54"/>
  </w:num>
  <w:num w:numId="18" w16cid:durableId="1478524645">
    <w:abstractNumId w:val="284"/>
  </w:num>
  <w:num w:numId="19" w16cid:durableId="292685195">
    <w:abstractNumId w:val="287"/>
  </w:num>
  <w:num w:numId="20" w16cid:durableId="348875859">
    <w:abstractNumId w:val="90"/>
  </w:num>
  <w:num w:numId="21" w16cid:durableId="1329166984">
    <w:abstractNumId w:val="30"/>
  </w:num>
  <w:num w:numId="22" w16cid:durableId="336738648">
    <w:abstractNumId w:val="289"/>
  </w:num>
  <w:num w:numId="23" w16cid:durableId="1190752635">
    <w:abstractNumId w:val="167"/>
  </w:num>
  <w:num w:numId="24" w16cid:durableId="1256286448">
    <w:abstractNumId w:val="461"/>
  </w:num>
  <w:num w:numId="25" w16cid:durableId="582419949">
    <w:abstractNumId w:val="421"/>
  </w:num>
  <w:num w:numId="26" w16cid:durableId="1016422840">
    <w:abstractNumId w:val="359"/>
  </w:num>
  <w:num w:numId="27" w16cid:durableId="1256329191">
    <w:abstractNumId w:val="375"/>
  </w:num>
  <w:num w:numId="28" w16cid:durableId="1378429127">
    <w:abstractNumId w:val="28"/>
  </w:num>
  <w:num w:numId="29" w16cid:durableId="367460593">
    <w:abstractNumId w:val="373"/>
  </w:num>
  <w:num w:numId="30" w16cid:durableId="893739822">
    <w:abstractNumId w:val="159"/>
  </w:num>
  <w:num w:numId="31" w16cid:durableId="1172841847">
    <w:abstractNumId w:val="420"/>
  </w:num>
  <w:num w:numId="32" w16cid:durableId="236483076">
    <w:abstractNumId w:val="315"/>
  </w:num>
  <w:num w:numId="33" w16cid:durableId="802041714">
    <w:abstractNumId w:val="20"/>
  </w:num>
  <w:num w:numId="34" w16cid:durableId="1206411941">
    <w:abstractNumId w:val="191"/>
  </w:num>
  <w:num w:numId="35" w16cid:durableId="1965843655">
    <w:abstractNumId w:val="466"/>
  </w:num>
  <w:num w:numId="36" w16cid:durableId="1867283295">
    <w:abstractNumId w:val="382"/>
  </w:num>
  <w:num w:numId="37" w16cid:durableId="570696340">
    <w:abstractNumId w:val="17"/>
  </w:num>
  <w:num w:numId="38" w16cid:durableId="1225876583">
    <w:abstractNumId w:val="173"/>
  </w:num>
  <w:num w:numId="39" w16cid:durableId="670257990">
    <w:abstractNumId w:val="115"/>
  </w:num>
  <w:num w:numId="40" w16cid:durableId="288436009">
    <w:abstractNumId w:val="194"/>
  </w:num>
  <w:num w:numId="41" w16cid:durableId="122232233">
    <w:abstractNumId w:val="216"/>
  </w:num>
  <w:num w:numId="42" w16cid:durableId="1384599773">
    <w:abstractNumId w:val="81"/>
  </w:num>
  <w:num w:numId="43" w16cid:durableId="2122071207">
    <w:abstractNumId w:val="84"/>
  </w:num>
  <w:num w:numId="44" w16cid:durableId="1559246716">
    <w:abstractNumId w:val="261"/>
  </w:num>
  <w:num w:numId="45" w16cid:durableId="1656643900">
    <w:abstractNumId w:val="274"/>
  </w:num>
  <w:num w:numId="46" w16cid:durableId="329022301">
    <w:abstractNumId w:val="403"/>
  </w:num>
  <w:num w:numId="47" w16cid:durableId="2114786550">
    <w:abstractNumId w:val="71"/>
  </w:num>
  <w:num w:numId="48" w16cid:durableId="1118640265">
    <w:abstractNumId w:val="256"/>
  </w:num>
  <w:num w:numId="49" w16cid:durableId="1224483111">
    <w:abstractNumId w:val="33"/>
  </w:num>
  <w:num w:numId="50" w16cid:durableId="1577010328">
    <w:abstractNumId w:val="177"/>
  </w:num>
  <w:num w:numId="51" w16cid:durableId="931477425">
    <w:abstractNumId w:val="48"/>
  </w:num>
  <w:num w:numId="52" w16cid:durableId="1251352812">
    <w:abstractNumId w:val="430"/>
  </w:num>
  <w:num w:numId="53" w16cid:durableId="2107920474">
    <w:abstractNumId w:val="52"/>
  </w:num>
  <w:num w:numId="54" w16cid:durableId="226915100">
    <w:abstractNumId w:val="401"/>
  </w:num>
  <w:num w:numId="55" w16cid:durableId="1604342252">
    <w:abstractNumId w:val="98"/>
  </w:num>
  <w:num w:numId="56" w16cid:durableId="1330864439">
    <w:abstractNumId w:val="226"/>
  </w:num>
  <w:num w:numId="57" w16cid:durableId="1393769596">
    <w:abstractNumId w:val="404"/>
  </w:num>
  <w:num w:numId="58" w16cid:durableId="1867592988">
    <w:abstractNumId w:val="417"/>
  </w:num>
  <w:num w:numId="59" w16cid:durableId="1259413737">
    <w:abstractNumId w:val="336"/>
  </w:num>
  <w:num w:numId="60" w16cid:durableId="890001936">
    <w:abstractNumId w:val="10"/>
  </w:num>
  <w:num w:numId="61" w16cid:durableId="2116751783">
    <w:abstractNumId w:val="199"/>
  </w:num>
  <w:num w:numId="62" w16cid:durableId="638730077">
    <w:abstractNumId w:val="263"/>
  </w:num>
  <w:num w:numId="63" w16cid:durableId="412626618">
    <w:abstractNumId w:val="372"/>
  </w:num>
  <w:num w:numId="64" w16cid:durableId="121004553">
    <w:abstractNumId w:val="195"/>
  </w:num>
  <w:num w:numId="65" w16cid:durableId="170066624">
    <w:abstractNumId w:val="141"/>
  </w:num>
  <w:num w:numId="66" w16cid:durableId="83039988">
    <w:abstractNumId w:val="154"/>
  </w:num>
  <w:num w:numId="67" w16cid:durableId="1897623698">
    <w:abstractNumId w:val="302"/>
  </w:num>
  <w:num w:numId="68" w16cid:durableId="795217210">
    <w:abstractNumId w:val="155"/>
  </w:num>
  <w:num w:numId="69" w16cid:durableId="2101101339">
    <w:abstractNumId w:val="160"/>
  </w:num>
  <w:num w:numId="70" w16cid:durableId="5135375">
    <w:abstractNumId w:val="9"/>
  </w:num>
  <w:num w:numId="71" w16cid:durableId="154692661">
    <w:abstractNumId w:val="49"/>
  </w:num>
  <w:num w:numId="72" w16cid:durableId="643240129">
    <w:abstractNumId w:val="402"/>
  </w:num>
  <w:num w:numId="73" w16cid:durableId="71242171">
    <w:abstractNumId w:val="399"/>
  </w:num>
  <w:num w:numId="74" w16cid:durableId="2010937846">
    <w:abstractNumId w:val="362"/>
  </w:num>
  <w:num w:numId="75" w16cid:durableId="1859152905">
    <w:abstractNumId w:val="410"/>
  </w:num>
  <w:num w:numId="76" w16cid:durableId="1521312442">
    <w:abstractNumId w:val="326"/>
  </w:num>
  <w:num w:numId="77" w16cid:durableId="2136830393">
    <w:abstractNumId w:val="367"/>
  </w:num>
  <w:num w:numId="78" w16cid:durableId="1292398156">
    <w:abstractNumId w:val="222"/>
  </w:num>
  <w:num w:numId="79" w16cid:durableId="63914418">
    <w:abstractNumId w:val="61"/>
  </w:num>
  <w:num w:numId="80" w16cid:durableId="580870518">
    <w:abstractNumId w:val="60"/>
  </w:num>
  <w:num w:numId="81" w16cid:durableId="1935431487">
    <w:abstractNumId w:val="179"/>
  </w:num>
  <w:num w:numId="82" w16cid:durableId="1687292830">
    <w:abstractNumId w:val="270"/>
  </w:num>
  <w:num w:numId="83" w16cid:durableId="1660226410">
    <w:abstractNumId w:val="406"/>
  </w:num>
  <w:num w:numId="84" w16cid:durableId="1166097147">
    <w:abstractNumId w:val="268"/>
  </w:num>
  <w:num w:numId="85" w16cid:durableId="814373539">
    <w:abstractNumId w:val="164"/>
  </w:num>
  <w:num w:numId="86" w16cid:durableId="888878800">
    <w:abstractNumId w:val="95"/>
  </w:num>
  <w:num w:numId="87" w16cid:durableId="1961766763">
    <w:abstractNumId w:val="21"/>
  </w:num>
  <w:num w:numId="88" w16cid:durableId="313684515">
    <w:abstractNumId w:val="329"/>
  </w:num>
  <w:num w:numId="89" w16cid:durableId="770007419">
    <w:abstractNumId w:val="213"/>
  </w:num>
  <w:num w:numId="90" w16cid:durableId="200481700">
    <w:abstractNumId w:val="58"/>
  </w:num>
  <w:num w:numId="91" w16cid:durableId="1956475772">
    <w:abstractNumId w:val="22"/>
  </w:num>
  <w:num w:numId="92" w16cid:durableId="507990172">
    <w:abstractNumId w:val="335"/>
  </w:num>
  <w:num w:numId="93" w16cid:durableId="286278990">
    <w:abstractNumId w:val="247"/>
  </w:num>
  <w:num w:numId="94" w16cid:durableId="682125449">
    <w:abstractNumId w:val="116"/>
  </w:num>
  <w:num w:numId="95" w16cid:durableId="975140712">
    <w:abstractNumId w:val="379"/>
  </w:num>
  <w:num w:numId="96" w16cid:durableId="517502424">
    <w:abstractNumId w:val="39"/>
  </w:num>
  <w:num w:numId="97" w16cid:durableId="1175728153">
    <w:abstractNumId w:val="123"/>
  </w:num>
  <w:num w:numId="98" w16cid:durableId="1100368033">
    <w:abstractNumId w:val="120"/>
  </w:num>
  <w:num w:numId="99" w16cid:durableId="1400177429">
    <w:abstractNumId w:val="369"/>
  </w:num>
  <w:num w:numId="100" w16cid:durableId="1599680854">
    <w:abstractNumId w:val="151"/>
  </w:num>
  <w:num w:numId="101" w16cid:durableId="110977605">
    <w:abstractNumId w:val="328"/>
  </w:num>
  <w:num w:numId="102" w16cid:durableId="427508195">
    <w:abstractNumId w:val="74"/>
  </w:num>
  <w:num w:numId="103" w16cid:durableId="329607158">
    <w:abstractNumId w:val="334"/>
  </w:num>
  <w:num w:numId="104" w16cid:durableId="1704017206">
    <w:abstractNumId w:val="282"/>
  </w:num>
  <w:num w:numId="105" w16cid:durableId="805926778">
    <w:abstractNumId w:val="457"/>
  </w:num>
  <w:num w:numId="106" w16cid:durableId="657882981">
    <w:abstractNumId w:val="99"/>
  </w:num>
  <w:num w:numId="107" w16cid:durableId="737288614">
    <w:abstractNumId w:val="463"/>
  </w:num>
  <w:num w:numId="108" w16cid:durableId="540825578">
    <w:abstractNumId w:val="238"/>
  </w:num>
  <w:num w:numId="109" w16cid:durableId="1694307766">
    <w:abstractNumId w:val="333"/>
  </w:num>
  <w:num w:numId="110" w16cid:durableId="1753819464">
    <w:abstractNumId w:val="426"/>
  </w:num>
  <w:num w:numId="111" w16cid:durableId="727190301">
    <w:abstractNumId w:val="285"/>
  </w:num>
  <w:num w:numId="112" w16cid:durableId="26495403">
    <w:abstractNumId w:val="317"/>
  </w:num>
  <w:num w:numId="113" w16cid:durableId="2028435488">
    <w:abstractNumId w:val="446"/>
  </w:num>
  <w:num w:numId="114" w16cid:durableId="1057095970">
    <w:abstractNumId w:val="398"/>
  </w:num>
  <w:num w:numId="115" w16cid:durableId="1074595081">
    <w:abstractNumId w:val="340"/>
  </w:num>
  <w:num w:numId="116" w16cid:durableId="2051756293">
    <w:abstractNumId w:val="69"/>
  </w:num>
  <w:num w:numId="117" w16cid:durableId="1774857608">
    <w:abstractNumId w:val="434"/>
  </w:num>
  <w:num w:numId="118" w16cid:durableId="1765417296">
    <w:abstractNumId w:val="156"/>
  </w:num>
  <w:num w:numId="119" w16cid:durableId="1115095305">
    <w:abstractNumId w:val="413"/>
  </w:num>
  <w:num w:numId="120" w16cid:durableId="1707634843">
    <w:abstractNumId w:val="342"/>
  </w:num>
  <w:num w:numId="121" w16cid:durableId="974331870">
    <w:abstractNumId w:val="378"/>
  </w:num>
  <w:num w:numId="122" w16cid:durableId="753165427">
    <w:abstractNumId w:val="80"/>
  </w:num>
  <w:num w:numId="123" w16cid:durableId="1722828489">
    <w:abstractNumId w:val="232"/>
  </w:num>
  <w:num w:numId="124" w16cid:durableId="1351372294">
    <w:abstractNumId w:val="59"/>
  </w:num>
  <w:num w:numId="125" w16cid:durableId="68697785">
    <w:abstractNumId w:val="254"/>
  </w:num>
  <w:num w:numId="126" w16cid:durableId="267079428">
    <w:abstractNumId w:val="330"/>
  </w:num>
  <w:num w:numId="127" w16cid:durableId="109327465">
    <w:abstractNumId w:val="146"/>
  </w:num>
  <w:num w:numId="128" w16cid:durableId="1455176973">
    <w:abstractNumId w:val="180"/>
  </w:num>
  <w:num w:numId="129" w16cid:durableId="1539706805">
    <w:abstractNumId w:val="246"/>
  </w:num>
  <w:num w:numId="130" w16cid:durableId="937719446">
    <w:abstractNumId w:val="393"/>
  </w:num>
  <w:num w:numId="131" w16cid:durableId="628627266">
    <w:abstractNumId w:val="240"/>
  </w:num>
  <w:num w:numId="132" w16cid:durableId="1728651637">
    <w:abstractNumId w:val="72"/>
  </w:num>
  <w:num w:numId="133" w16cid:durableId="2066220835">
    <w:abstractNumId w:val="183"/>
  </w:num>
  <w:num w:numId="134" w16cid:durableId="1955480222">
    <w:abstractNumId w:val="235"/>
  </w:num>
  <w:num w:numId="135" w16cid:durableId="1559592153">
    <w:abstractNumId w:val="12"/>
  </w:num>
  <w:num w:numId="136" w16cid:durableId="1497838419">
    <w:abstractNumId w:val="365"/>
  </w:num>
  <w:num w:numId="137" w16cid:durableId="1048800204">
    <w:abstractNumId w:val="419"/>
  </w:num>
  <w:num w:numId="138" w16cid:durableId="1279524961">
    <w:abstractNumId w:val="101"/>
  </w:num>
  <w:num w:numId="139" w16cid:durableId="1850868707">
    <w:abstractNumId w:val="139"/>
  </w:num>
  <w:num w:numId="140" w16cid:durableId="933824276">
    <w:abstractNumId w:val="221"/>
  </w:num>
  <w:num w:numId="141" w16cid:durableId="275066505">
    <w:abstractNumId w:val="91"/>
  </w:num>
  <w:num w:numId="142" w16cid:durableId="1388800274">
    <w:abstractNumId w:val="313"/>
  </w:num>
  <w:num w:numId="143" w16cid:durableId="551696874">
    <w:abstractNumId w:val="229"/>
  </w:num>
  <w:num w:numId="144" w16cid:durableId="692923073">
    <w:abstractNumId w:val="150"/>
  </w:num>
  <w:num w:numId="145" w16cid:durableId="1864202670">
    <w:abstractNumId w:val="138"/>
  </w:num>
  <w:num w:numId="146" w16cid:durableId="788358324">
    <w:abstractNumId w:val="447"/>
  </w:num>
  <w:num w:numId="147" w16cid:durableId="1779525597">
    <w:abstractNumId w:val="390"/>
  </w:num>
  <w:num w:numId="148" w16cid:durableId="1124811727">
    <w:abstractNumId w:val="76"/>
  </w:num>
  <w:num w:numId="149" w16cid:durableId="1291470173">
    <w:abstractNumId w:val="442"/>
  </w:num>
  <w:num w:numId="150" w16cid:durableId="675302937">
    <w:abstractNumId w:val="181"/>
  </w:num>
  <w:num w:numId="151" w16cid:durableId="296760421">
    <w:abstractNumId w:val="310"/>
  </w:num>
  <w:num w:numId="152" w16cid:durableId="227543053">
    <w:abstractNumId w:val="220"/>
  </w:num>
  <w:num w:numId="153" w16cid:durableId="161698202">
    <w:abstractNumId w:val="165"/>
  </w:num>
  <w:num w:numId="154" w16cid:durableId="519854181">
    <w:abstractNumId w:val="389"/>
  </w:num>
  <w:num w:numId="155" w16cid:durableId="1488325707">
    <w:abstractNumId w:val="89"/>
  </w:num>
  <w:num w:numId="156" w16cid:durableId="600452719">
    <w:abstractNumId w:val="241"/>
  </w:num>
  <w:num w:numId="157" w16cid:durableId="974289501">
    <w:abstractNumId w:val="255"/>
  </w:num>
  <w:num w:numId="158" w16cid:durableId="1241938393">
    <w:abstractNumId w:val="68"/>
  </w:num>
  <w:num w:numId="159" w16cid:durableId="1616476363">
    <w:abstractNumId w:val="451"/>
  </w:num>
  <w:num w:numId="160" w16cid:durableId="1813063151">
    <w:abstractNumId w:val="259"/>
  </w:num>
  <w:num w:numId="161" w16cid:durableId="1712610919">
    <w:abstractNumId w:val="292"/>
  </w:num>
  <w:num w:numId="162" w16cid:durableId="81680656">
    <w:abstractNumId w:val="102"/>
  </w:num>
  <w:num w:numId="163" w16cid:durableId="1279218257">
    <w:abstractNumId w:val="43"/>
  </w:num>
  <w:num w:numId="164" w16cid:durableId="1980454664">
    <w:abstractNumId w:val="374"/>
  </w:num>
  <w:num w:numId="165" w16cid:durableId="11538418">
    <w:abstractNumId w:val="106"/>
  </w:num>
  <w:num w:numId="166" w16cid:durableId="2010057607">
    <w:abstractNumId w:val="391"/>
  </w:num>
  <w:num w:numId="167" w16cid:durableId="1796484608">
    <w:abstractNumId w:val="449"/>
  </w:num>
  <w:num w:numId="168" w16cid:durableId="16319838">
    <w:abstractNumId w:val="269"/>
  </w:num>
  <w:num w:numId="169" w16cid:durableId="1518732210">
    <w:abstractNumId w:val="176"/>
  </w:num>
  <w:num w:numId="170" w16cid:durableId="1943536012">
    <w:abstractNumId w:val="358"/>
  </w:num>
  <w:num w:numId="171" w16cid:durableId="509486169">
    <w:abstractNumId w:val="459"/>
  </w:num>
  <w:num w:numId="172" w16cid:durableId="1496459725">
    <w:abstractNumId w:val="203"/>
  </w:num>
  <w:num w:numId="173" w16cid:durableId="56056692">
    <w:abstractNumId w:val="338"/>
  </w:num>
  <w:num w:numId="174" w16cid:durableId="1622372332">
    <w:abstractNumId w:val="15"/>
  </w:num>
  <w:num w:numId="175" w16cid:durableId="1601714068">
    <w:abstractNumId w:val="40"/>
  </w:num>
  <w:num w:numId="176" w16cid:durableId="1861237327">
    <w:abstractNumId w:val="308"/>
  </w:num>
  <w:num w:numId="177" w16cid:durableId="171183670">
    <w:abstractNumId w:val="324"/>
  </w:num>
  <w:num w:numId="178" w16cid:durableId="158158335">
    <w:abstractNumId w:val="278"/>
  </w:num>
  <w:num w:numId="179" w16cid:durableId="1095129641">
    <w:abstractNumId w:val="470"/>
  </w:num>
  <w:num w:numId="180" w16cid:durableId="2006782089">
    <w:abstractNumId w:val="297"/>
  </w:num>
  <w:num w:numId="181" w16cid:durableId="538323373">
    <w:abstractNumId w:val="158"/>
  </w:num>
  <w:num w:numId="182" w16cid:durableId="1500927405">
    <w:abstractNumId w:val="321"/>
  </w:num>
  <w:num w:numId="183" w16cid:durableId="1053426935">
    <w:abstractNumId w:val="351"/>
  </w:num>
  <w:num w:numId="184" w16cid:durableId="219286208">
    <w:abstractNumId w:val="134"/>
  </w:num>
  <w:num w:numId="185" w16cid:durableId="1661469309">
    <w:abstractNumId w:val="314"/>
  </w:num>
  <w:num w:numId="186" w16cid:durableId="851262024">
    <w:abstractNumId w:val="407"/>
  </w:num>
  <w:num w:numId="187" w16cid:durableId="839733871">
    <w:abstractNumId w:val="174"/>
  </w:num>
  <w:num w:numId="188" w16cid:durableId="1800607303">
    <w:abstractNumId w:val="210"/>
  </w:num>
  <w:num w:numId="189" w16cid:durableId="690641014">
    <w:abstractNumId w:val="172"/>
  </w:num>
  <w:num w:numId="190" w16cid:durableId="1036196020">
    <w:abstractNumId w:val="252"/>
  </w:num>
  <w:num w:numId="191" w16cid:durableId="1953125804">
    <w:abstractNumId w:val="237"/>
  </w:num>
  <w:num w:numId="192" w16cid:durableId="1230388150">
    <w:abstractNumId w:val="142"/>
  </w:num>
  <w:num w:numId="193" w16cid:durableId="1106995710">
    <w:abstractNumId w:val="227"/>
  </w:num>
  <w:num w:numId="194" w16cid:durableId="1606116688">
    <w:abstractNumId w:val="301"/>
  </w:num>
  <w:num w:numId="195" w16cid:durableId="2054226283">
    <w:abstractNumId w:val="423"/>
  </w:num>
  <w:num w:numId="196" w16cid:durableId="177889582">
    <w:abstractNumId w:val="104"/>
  </w:num>
  <w:num w:numId="197" w16cid:durableId="611715297">
    <w:abstractNumId w:val="230"/>
  </w:num>
  <w:num w:numId="198" w16cid:durableId="1363550950">
    <w:abstractNumId w:val="234"/>
  </w:num>
  <w:num w:numId="199" w16cid:durableId="1602563376">
    <w:abstractNumId w:val="392"/>
  </w:num>
  <w:num w:numId="200" w16cid:durableId="585041263">
    <w:abstractNumId w:val="272"/>
  </w:num>
  <w:num w:numId="201" w16cid:durableId="1420445707">
    <w:abstractNumId w:val="440"/>
  </w:num>
  <w:num w:numId="202" w16cid:durableId="668826207">
    <w:abstractNumId w:val="458"/>
  </w:num>
  <w:num w:numId="203" w16cid:durableId="774638065">
    <w:abstractNumId w:val="109"/>
  </w:num>
  <w:num w:numId="204" w16cid:durableId="586496109">
    <w:abstractNumId w:val="122"/>
  </w:num>
  <w:num w:numId="205" w16cid:durableId="1293637695">
    <w:abstractNumId w:val="376"/>
  </w:num>
  <w:num w:numId="206" w16cid:durableId="1731077038">
    <w:abstractNumId w:val="201"/>
  </w:num>
  <w:num w:numId="207" w16cid:durableId="2121758058">
    <w:abstractNumId w:val="425"/>
  </w:num>
  <w:num w:numId="208" w16cid:durableId="556748471">
    <w:abstractNumId w:val="293"/>
  </w:num>
  <w:num w:numId="209" w16cid:durableId="1340086987">
    <w:abstractNumId w:val="258"/>
  </w:num>
  <w:num w:numId="210" w16cid:durableId="364646753">
    <w:abstractNumId w:val="92"/>
  </w:num>
  <w:num w:numId="211" w16cid:durableId="1073089461">
    <w:abstractNumId w:val="286"/>
  </w:num>
  <w:num w:numId="212" w16cid:durableId="1417441738">
    <w:abstractNumId w:val="290"/>
  </w:num>
  <w:num w:numId="213" w16cid:durableId="1727289636">
    <w:abstractNumId w:val="136"/>
  </w:num>
  <w:num w:numId="214" w16cid:durableId="1059284708">
    <w:abstractNumId w:val="332"/>
  </w:num>
  <w:num w:numId="215" w16cid:durableId="386269896">
    <w:abstractNumId w:val="264"/>
  </w:num>
  <w:num w:numId="216" w16cid:durableId="889193606">
    <w:abstractNumId w:val="443"/>
  </w:num>
  <w:num w:numId="217" w16cid:durableId="2046127377">
    <w:abstractNumId w:val="13"/>
  </w:num>
  <w:num w:numId="218" w16cid:durableId="875853311">
    <w:abstractNumId w:val="145"/>
  </w:num>
  <w:num w:numId="219" w16cid:durableId="1249583091">
    <w:abstractNumId w:val="121"/>
  </w:num>
  <w:num w:numId="220" w16cid:durableId="1905408807">
    <w:abstractNumId w:val="242"/>
  </w:num>
  <w:num w:numId="221" w16cid:durableId="2033846484">
    <w:abstractNumId w:val="383"/>
  </w:num>
  <w:num w:numId="222" w16cid:durableId="228228258">
    <w:abstractNumId w:val="128"/>
  </w:num>
  <w:num w:numId="223" w16cid:durableId="1513758524">
    <w:abstractNumId w:val="363"/>
  </w:num>
  <w:num w:numId="224" w16cid:durableId="673610784">
    <w:abstractNumId w:val="249"/>
  </w:num>
  <w:num w:numId="225" w16cid:durableId="1619994039">
    <w:abstractNumId w:val="207"/>
  </w:num>
  <w:num w:numId="226" w16cid:durableId="765030590">
    <w:abstractNumId w:val="105"/>
  </w:num>
  <w:num w:numId="227" w16cid:durableId="65611650">
    <w:abstractNumId w:val="37"/>
  </w:num>
  <w:num w:numId="228" w16cid:durableId="2102096229">
    <w:abstractNumId w:val="131"/>
  </w:num>
  <w:num w:numId="229" w16cid:durableId="1786000041">
    <w:abstractNumId w:val="132"/>
  </w:num>
  <w:num w:numId="230" w16cid:durableId="1746101862">
    <w:abstractNumId w:val="469"/>
  </w:num>
  <w:num w:numId="231" w16cid:durableId="1120027831">
    <w:abstractNumId w:val="291"/>
  </w:num>
  <w:num w:numId="232" w16cid:durableId="1785730923">
    <w:abstractNumId w:val="87"/>
  </w:num>
  <w:num w:numId="233" w16cid:durableId="1272784964">
    <w:abstractNumId w:val="27"/>
  </w:num>
  <w:num w:numId="234" w16cid:durableId="1976526751">
    <w:abstractNumId w:val="312"/>
  </w:num>
  <w:num w:numId="235" w16cid:durableId="1436751516">
    <w:abstractNumId w:val="202"/>
  </w:num>
  <w:num w:numId="236" w16cid:durableId="1819807980">
    <w:abstractNumId w:val="171"/>
  </w:num>
  <w:num w:numId="237" w16cid:durableId="124469929">
    <w:abstractNumId w:val="185"/>
  </w:num>
  <w:num w:numId="238" w16cid:durableId="558319768">
    <w:abstractNumId w:val="405"/>
  </w:num>
  <w:num w:numId="239" w16cid:durableId="1640457233">
    <w:abstractNumId w:val="231"/>
  </w:num>
  <w:num w:numId="240" w16cid:durableId="741834162">
    <w:abstractNumId w:val="339"/>
  </w:num>
  <w:num w:numId="241" w16cid:durableId="154876936">
    <w:abstractNumId w:val="46"/>
  </w:num>
  <w:num w:numId="242" w16cid:durableId="1062605029">
    <w:abstractNumId w:val="200"/>
  </w:num>
  <w:num w:numId="243" w16cid:durableId="1249775234">
    <w:abstractNumId w:val="422"/>
  </w:num>
  <w:num w:numId="244" w16cid:durableId="282926427">
    <w:abstractNumId w:val="83"/>
  </w:num>
  <w:num w:numId="245" w16cid:durableId="1060252527">
    <w:abstractNumId w:val="432"/>
  </w:num>
  <w:num w:numId="246" w16cid:durableId="2130082680">
    <w:abstractNumId w:val="7"/>
  </w:num>
  <w:num w:numId="247" w16cid:durableId="862552031">
    <w:abstractNumId w:val="55"/>
  </w:num>
  <w:num w:numId="248" w16cid:durableId="468286790">
    <w:abstractNumId w:val="343"/>
  </w:num>
  <w:num w:numId="249" w16cid:durableId="313723529">
    <w:abstractNumId w:val="253"/>
  </w:num>
  <w:num w:numId="250" w16cid:durableId="1874421562">
    <w:abstractNumId w:val="186"/>
  </w:num>
  <w:num w:numId="251" w16cid:durableId="903760319">
    <w:abstractNumId w:val="396"/>
  </w:num>
  <w:num w:numId="252" w16cid:durableId="2110538982">
    <w:abstractNumId w:val="8"/>
  </w:num>
  <w:num w:numId="253" w16cid:durableId="1607884918">
    <w:abstractNumId w:val="455"/>
  </w:num>
  <w:num w:numId="254" w16cid:durableId="1888182469">
    <w:abstractNumId w:val="189"/>
  </w:num>
  <w:num w:numId="255" w16cid:durableId="949818269">
    <w:abstractNumId w:val="361"/>
  </w:num>
  <w:num w:numId="256" w16cid:durableId="205338796">
    <w:abstractNumId w:val="357"/>
  </w:num>
  <w:num w:numId="257" w16cid:durableId="131874309">
    <w:abstractNumId w:val="85"/>
  </w:num>
  <w:num w:numId="258" w16cid:durableId="1798447099">
    <w:abstractNumId w:val="472"/>
  </w:num>
  <w:num w:numId="259" w16cid:durableId="1197281550">
    <w:abstractNumId w:val="298"/>
  </w:num>
  <w:num w:numId="260" w16cid:durableId="532957123">
    <w:abstractNumId w:val="368"/>
  </w:num>
  <w:num w:numId="261" w16cid:durableId="1803839585">
    <w:abstractNumId w:val="118"/>
  </w:num>
  <w:num w:numId="262" w16cid:durableId="876356024">
    <w:abstractNumId w:val="462"/>
  </w:num>
  <w:num w:numId="263" w16cid:durableId="994181662">
    <w:abstractNumId w:val="65"/>
  </w:num>
  <w:num w:numId="264" w16cid:durableId="1479804610">
    <w:abstractNumId w:val="445"/>
  </w:num>
  <w:num w:numId="265" w16cid:durableId="155995984">
    <w:abstractNumId w:val="251"/>
  </w:num>
  <w:num w:numId="266" w16cid:durableId="865948655">
    <w:abstractNumId w:val="464"/>
  </w:num>
  <w:num w:numId="267" w16cid:durableId="1143035992">
    <w:abstractNumId w:val="239"/>
  </w:num>
  <w:num w:numId="268" w16cid:durableId="993920546">
    <w:abstractNumId w:val="337"/>
  </w:num>
  <w:num w:numId="269" w16cid:durableId="256519330">
    <w:abstractNumId w:val="323"/>
  </w:num>
  <w:num w:numId="270" w16cid:durableId="243077744">
    <w:abstractNumId w:val="456"/>
  </w:num>
  <w:num w:numId="271" w16cid:durableId="401146081">
    <w:abstractNumId w:val="448"/>
  </w:num>
  <w:num w:numId="272" w16cid:durableId="1514101938">
    <w:abstractNumId w:val="47"/>
  </w:num>
  <w:num w:numId="273" w16cid:durableId="1465391246">
    <w:abstractNumId w:val="345"/>
  </w:num>
  <w:num w:numId="274" w16cid:durableId="952635235">
    <w:abstractNumId w:val="96"/>
  </w:num>
  <w:num w:numId="275" w16cid:durableId="2000840039">
    <w:abstractNumId w:val="190"/>
  </w:num>
  <w:num w:numId="276" w16cid:durableId="1927685042">
    <w:abstractNumId w:val="137"/>
  </w:num>
  <w:num w:numId="277" w16cid:durableId="1938099395">
    <w:abstractNumId w:val="427"/>
  </w:num>
  <w:num w:numId="278" w16cid:durableId="78714813">
    <w:abstractNumId w:val="356"/>
  </w:num>
  <w:num w:numId="279" w16cid:durableId="1451509732">
    <w:abstractNumId w:val="418"/>
  </w:num>
  <w:num w:numId="280" w16cid:durableId="745811102">
    <w:abstractNumId w:val="277"/>
  </w:num>
  <w:num w:numId="281" w16cid:durableId="1640839328">
    <w:abstractNumId w:val="299"/>
  </w:num>
  <w:num w:numId="282" w16cid:durableId="406659505">
    <w:abstractNumId w:val="243"/>
  </w:num>
  <w:num w:numId="283" w16cid:durableId="801536955">
    <w:abstractNumId w:val="453"/>
  </w:num>
  <w:num w:numId="284" w16cid:durableId="1912420311">
    <w:abstractNumId w:val="11"/>
  </w:num>
  <w:num w:numId="285" w16cid:durableId="231745228">
    <w:abstractNumId w:val="44"/>
  </w:num>
  <w:num w:numId="286" w16cid:durableId="154149909">
    <w:abstractNumId w:val="386"/>
  </w:num>
  <w:num w:numId="287" w16cid:durableId="345598104">
    <w:abstractNumId w:val="107"/>
  </w:num>
  <w:num w:numId="288" w16cid:durableId="1540043132">
    <w:abstractNumId w:val="41"/>
  </w:num>
  <w:num w:numId="289" w16cid:durableId="1105230659">
    <w:abstractNumId w:val="166"/>
  </w:num>
  <w:num w:numId="290" w16cid:durableId="541790215">
    <w:abstractNumId w:val="24"/>
  </w:num>
  <w:num w:numId="291" w16cid:durableId="768429941">
    <w:abstractNumId w:val="51"/>
  </w:num>
  <w:num w:numId="292" w16cid:durableId="989559663">
    <w:abstractNumId w:val="319"/>
  </w:num>
  <w:num w:numId="293" w16cid:durableId="2126072721">
    <w:abstractNumId w:val="64"/>
  </w:num>
  <w:num w:numId="294" w16cid:durableId="1237977676">
    <w:abstractNumId w:val="208"/>
  </w:num>
  <w:num w:numId="295" w16cid:durableId="1129208372">
    <w:abstractNumId w:val="188"/>
  </w:num>
  <w:num w:numId="296" w16cid:durableId="1868983011">
    <w:abstractNumId w:val="303"/>
  </w:num>
  <w:num w:numId="297" w16cid:durableId="2126386457">
    <w:abstractNumId w:val="349"/>
  </w:num>
  <w:num w:numId="298" w16cid:durableId="360521828">
    <w:abstractNumId w:val="467"/>
  </w:num>
  <w:num w:numId="299" w16cid:durableId="1742560133">
    <w:abstractNumId w:val="93"/>
  </w:num>
  <w:num w:numId="300" w16cid:durableId="1242982485">
    <w:abstractNumId w:val="209"/>
  </w:num>
  <w:num w:numId="301" w16cid:durableId="923957882">
    <w:abstractNumId w:val="271"/>
  </w:num>
  <w:num w:numId="302" w16cid:durableId="528877949">
    <w:abstractNumId w:val="439"/>
  </w:num>
  <w:num w:numId="303" w16cid:durableId="251015456">
    <w:abstractNumId w:val="441"/>
  </w:num>
  <w:num w:numId="304" w16cid:durableId="233009217">
    <w:abstractNumId w:val="86"/>
  </w:num>
  <w:num w:numId="305" w16cid:durableId="839733134">
    <w:abstractNumId w:val="18"/>
  </w:num>
  <w:num w:numId="306" w16cid:durableId="1482042924">
    <w:abstractNumId w:val="4"/>
  </w:num>
  <w:num w:numId="307" w16cid:durableId="1695155910">
    <w:abstractNumId w:val="135"/>
  </w:num>
  <w:num w:numId="308" w16cid:durableId="1040328241">
    <w:abstractNumId w:val="370"/>
  </w:num>
  <w:num w:numId="309" w16cid:durableId="1633901835">
    <w:abstractNumId w:val="354"/>
  </w:num>
  <w:num w:numId="310" w16cid:durableId="1414738730">
    <w:abstractNumId w:val="276"/>
  </w:num>
  <w:num w:numId="311" w16cid:durableId="903023985">
    <w:abstractNumId w:val="281"/>
  </w:num>
  <w:num w:numId="312" w16cid:durableId="496965640">
    <w:abstractNumId w:val="119"/>
  </w:num>
  <w:num w:numId="313" w16cid:durableId="691103972">
    <w:abstractNumId w:val="25"/>
  </w:num>
  <w:num w:numId="314" w16cid:durableId="1764960132">
    <w:abstractNumId w:val="31"/>
  </w:num>
  <w:num w:numId="315" w16cid:durableId="820776844">
    <w:abstractNumId w:val="295"/>
  </w:num>
  <w:num w:numId="316" w16cid:durableId="970982479">
    <w:abstractNumId w:val="133"/>
  </w:num>
  <w:num w:numId="317" w16cid:durableId="1128209208">
    <w:abstractNumId w:val="169"/>
  </w:num>
  <w:num w:numId="318" w16cid:durableId="1326933809">
    <w:abstractNumId w:val="113"/>
  </w:num>
  <w:num w:numId="319" w16cid:durableId="1298995323">
    <w:abstractNumId w:val="129"/>
  </w:num>
  <w:num w:numId="320" w16cid:durableId="1272470634">
    <w:abstractNumId w:val="147"/>
  </w:num>
  <w:num w:numId="321" w16cid:durableId="553001799">
    <w:abstractNumId w:val="42"/>
  </w:num>
  <w:num w:numId="322" w16cid:durableId="347370003">
    <w:abstractNumId w:val="77"/>
  </w:num>
  <w:num w:numId="323" w16cid:durableId="1682051348">
    <w:abstractNumId w:val="397"/>
  </w:num>
  <w:num w:numId="324" w16cid:durableId="308561465">
    <w:abstractNumId w:val="6"/>
  </w:num>
  <w:num w:numId="325" w16cid:durableId="610168337">
    <w:abstractNumId w:val="352"/>
  </w:num>
  <w:num w:numId="326" w16cid:durableId="1803693753">
    <w:abstractNumId w:val="348"/>
  </w:num>
  <w:num w:numId="327" w16cid:durableId="511146336">
    <w:abstractNumId w:val="161"/>
  </w:num>
  <w:num w:numId="328" w16cid:durableId="183982856">
    <w:abstractNumId w:val="283"/>
  </w:num>
  <w:num w:numId="329" w16cid:durableId="1781951661">
    <w:abstractNumId w:val="307"/>
  </w:num>
  <w:num w:numId="330" w16cid:durableId="1877690544">
    <w:abstractNumId w:val="67"/>
  </w:num>
  <w:num w:numId="331" w16cid:durableId="126051296">
    <w:abstractNumId w:val="212"/>
  </w:num>
  <w:num w:numId="332" w16cid:durableId="284971725">
    <w:abstractNumId w:val="187"/>
  </w:num>
  <w:num w:numId="333" w16cid:durableId="1933737500">
    <w:abstractNumId w:val="163"/>
  </w:num>
  <w:num w:numId="334" w16cid:durableId="1676616821">
    <w:abstractNumId w:val="273"/>
  </w:num>
  <w:num w:numId="335" w16cid:durableId="1511412112">
    <w:abstractNumId w:val="70"/>
  </w:num>
  <w:num w:numId="336" w16cid:durableId="831678067">
    <w:abstractNumId w:val="450"/>
  </w:num>
  <w:num w:numId="337" w16cid:durableId="1040671279">
    <w:abstractNumId w:val="170"/>
  </w:num>
  <w:num w:numId="338" w16cid:durableId="2040272347">
    <w:abstractNumId w:val="198"/>
  </w:num>
  <w:num w:numId="339" w16cid:durableId="737753117">
    <w:abstractNumId w:val="377"/>
  </w:num>
  <w:num w:numId="340" w16cid:durableId="801655215">
    <w:abstractNumId w:val="353"/>
  </w:num>
  <w:num w:numId="341" w16cid:durableId="364670742">
    <w:abstractNumId w:val="16"/>
  </w:num>
  <w:num w:numId="342" w16cid:durableId="377433532">
    <w:abstractNumId w:val="341"/>
  </w:num>
  <w:num w:numId="343" w16cid:durableId="270630060">
    <w:abstractNumId w:val="35"/>
  </w:num>
  <w:num w:numId="344" w16cid:durableId="421144336">
    <w:abstractNumId w:val="110"/>
  </w:num>
  <w:num w:numId="345" w16cid:durableId="1948417128">
    <w:abstractNumId w:val="26"/>
  </w:num>
  <w:num w:numId="346" w16cid:durableId="1624580770">
    <w:abstractNumId w:val="130"/>
  </w:num>
  <w:num w:numId="347" w16cid:durableId="1538156364">
    <w:abstractNumId w:val="127"/>
  </w:num>
  <w:num w:numId="348" w16cid:durableId="1138306019">
    <w:abstractNumId w:val="431"/>
  </w:num>
  <w:num w:numId="349" w16cid:durableId="61028329">
    <w:abstractNumId w:val="244"/>
  </w:num>
  <w:num w:numId="350" w16cid:durableId="388039200">
    <w:abstractNumId w:val="325"/>
  </w:num>
  <w:num w:numId="351" w16cid:durableId="2126384205">
    <w:abstractNumId w:val="114"/>
  </w:num>
  <w:num w:numId="352" w16cid:durableId="1408503119">
    <w:abstractNumId w:val="157"/>
  </w:num>
  <w:num w:numId="353" w16cid:durableId="1302345718">
    <w:abstractNumId w:val="236"/>
  </w:num>
  <w:num w:numId="354" w16cid:durableId="2093817470">
    <w:abstractNumId w:val="436"/>
  </w:num>
  <w:num w:numId="355" w16cid:durableId="1578783137">
    <w:abstractNumId w:val="218"/>
  </w:num>
  <w:num w:numId="356" w16cid:durableId="1084957759">
    <w:abstractNumId w:val="36"/>
  </w:num>
  <w:num w:numId="357" w16cid:durableId="1957329293">
    <w:abstractNumId w:val="468"/>
  </w:num>
  <w:num w:numId="358" w16cid:durableId="735788170">
    <w:abstractNumId w:val="460"/>
  </w:num>
  <w:num w:numId="359" w16cid:durableId="202448412">
    <w:abstractNumId w:val="23"/>
  </w:num>
  <w:num w:numId="360" w16cid:durableId="1476414591">
    <w:abstractNumId w:val="178"/>
  </w:num>
  <w:num w:numId="361" w16cid:durableId="1783262247">
    <w:abstractNumId w:val="296"/>
  </w:num>
  <w:num w:numId="362" w16cid:durableId="806632423">
    <w:abstractNumId w:val="117"/>
  </w:num>
  <w:num w:numId="363" w16cid:durableId="136075982">
    <w:abstractNumId w:val="126"/>
  </w:num>
  <w:num w:numId="364" w16cid:durableId="851795823">
    <w:abstractNumId w:val="320"/>
  </w:num>
  <w:num w:numId="365" w16cid:durableId="1091508368">
    <w:abstractNumId w:val="280"/>
  </w:num>
  <w:num w:numId="366" w16cid:durableId="2010012320">
    <w:abstractNumId w:val="248"/>
  </w:num>
  <w:num w:numId="367" w16cid:durableId="659382443">
    <w:abstractNumId w:val="144"/>
  </w:num>
  <w:num w:numId="368" w16cid:durableId="1130824560">
    <w:abstractNumId w:val="371"/>
  </w:num>
  <w:num w:numId="369" w16cid:durableId="767235034">
    <w:abstractNumId w:val="94"/>
  </w:num>
  <w:num w:numId="370" w16cid:durableId="1077479081">
    <w:abstractNumId w:val="412"/>
  </w:num>
  <w:num w:numId="371" w16cid:durableId="2010520124">
    <w:abstractNumId w:val="260"/>
  </w:num>
  <w:num w:numId="372" w16cid:durableId="2062901867">
    <w:abstractNumId w:val="197"/>
  </w:num>
  <w:num w:numId="373" w16cid:durableId="1159076221">
    <w:abstractNumId w:val="437"/>
  </w:num>
  <w:num w:numId="374" w16cid:durableId="1453859692">
    <w:abstractNumId w:val="223"/>
  </w:num>
  <w:num w:numId="375" w16cid:durableId="105852136">
    <w:abstractNumId w:val="205"/>
  </w:num>
  <w:num w:numId="376" w16cid:durableId="352416492">
    <w:abstractNumId w:val="5"/>
  </w:num>
  <w:num w:numId="377" w16cid:durableId="865362468">
    <w:abstractNumId w:val="245"/>
  </w:num>
  <w:num w:numId="378" w16cid:durableId="1725519472">
    <w:abstractNumId w:val="355"/>
  </w:num>
  <w:num w:numId="379" w16cid:durableId="2088309078">
    <w:abstractNumId w:val="275"/>
  </w:num>
  <w:num w:numId="380" w16cid:durableId="1073621408">
    <w:abstractNumId w:val="350"/>
  </w:num>
  <w:num w:numId="381" w16cid:durableId="1241058584">
    <w:abstractNumId w:val="411"/>
  </w:num>
  <w:num w:numId="382" w16cid:durableId="1102145502">
    <w:abstractNumId w:val="306"/>
  </w:num>
  <w:num w:numId="383" w16cid:durableId="1119571339">
    <w:abstractNumId w:val="211"/>
  </w:num>
  <w:num w:numId="384" w16cid:durableId="1542745094">
    <w:abstractNumId w:val="364"/>
  </w:num>
  <w:num w:numId="385" w16cid:durableId="199780522">
    <w:abstractNumId w:val="143"/>
  </w:num>
  <w:num w:numId="386" w16cid:durableId="2024162753">
    <w:abstractNumId w:val="380"/>
  </w:num>
  <w:num w:numId="387" w16cid:durableId="1935553720">
    <w:abstractNumId w:val="34"/>
  </w:num>
  <w:num w:numId="388" w16cid:durableId="2901546">
    <w:abstractNumId w:val="331"/>
  </w:num>
  <w:num w:numId="389" w16cid:durableId="1303775902">
    <w:abstractNumId w:val="19"/>
  </w:num>
  <w:num w:numId="390" w16cid:durableId="671372976">
    <w:abstractNumId w:val="444"/>
  </w:num>
  <w:num w:numId="391" w16cid:durableId="1287396797">
    <w:abstractNumId w:val="300"/>
  </w:num>
  <w:num w:numId="392" w16cid:durableId="677774158">
    <w:abstractNumId w:val="366"/>
  </w:num>
  <w:num w:numId="393" w16cid:durableId="838079303">
    <w:abstractNumId w:val="471"/>
  </w:num>
  <w:num w:numId="394" w16cid:durableId="2009600744">
    <w:abstractNumId w:val="111"/>
  </w:num>
  <w:num w:numId="395" w16cid:durableId="1337726985">
    <w:abstractNumId w:val="394"/>
  </w:num>
  <w:num w:numId="396" w16cid:durableId="1334911687">
    <w:abstractNumId w:val="233"/>
  </w:num>
  <w:num w:numId="397" w16cid:durableId="1516383851">
    <w:abstractNumId w:val="473"/>
  </w:num>
  <w:num w:numId="398" w16cid:durableId="934048685">
    <w:abstractNumId w:val="32"/>
  </w:num>
  <w:num w:numId="399" w16cid:durableId="1104887864">
    <w:abstractNumId w:val="3"/>
  </w:num>
  <w:num w:numId="400" w16cid:durableId="262032329">
    <w:abstractNumId w:val="196"/>
  </w:num>
  <w:num w:numId="401" w16cid:durableId="570969875">
    <w:abstractNumId w:val="267"/>
  </w:num>
  <w:num w:numId="402" w16cid:durableId="624699980">
    <w:abstractNumId w:val="215"/>
  </w:num>
  <w:num w:numId="403" w16cid:durableId="1246039369">
    <w:abstractNumId w:val="387"/>
  </w:num>
  <w:num w:numId="404" w16cid:durableId="2130397217">
    <w:abstractNumId w:val="162"/>
  </w:num>
  <w:num w:numId="405" w16cid:durableId="89013779">
    <w:abstractNumId w:val="88"/>
  </w:num>
  <w:num w:numId="406" w16cid:durableId="356079237">
    <w:abstractNumId w:val="384"/>
  </w:num>
  <w:num w:numId="407" w16cid:durableId="2122451814">
    <w:abstractNumId w:val="416"/>
  </w:num>
  <w:num w:numId="408" w16cid:durableId="1260329550">
    <w:abstractNumId w:val="153"/>
  </w:num>
  <w:num w:numId="409" w16cid:durableId="1356924120">
    <w:abstractNumId w:val="360"/>
  </w:num>
  <w:num w:numId="410" w16cid:durableId="1269116834">
    <w:abstractNumId w:val="78"/>
  </w:num>
  <w:num w:numId="411" w16cid:durableId="1379091219">
    <w:abstractNumId w:val="381"/>
  </w:num>
  <w:num w:numId="412" w16cid:durableId="35935386">
    <w:abstractNumId w:val="288"/>
  </w:num>
  <w:num w:numId="413" w16cid:durableId="1327706932">
    <w:abstractNumId w:val="279"/>
  </w:num>
  <w:num w:numId="414" w16cid:durableId="436297864">
    <w:abstractNumId w:val="385"/>
  </w:num>
  <w:num w:numId="415" w16cid:durableId="2107967632">
    <w:abstractNumId w:val="318"/>
  </w:num>
  <w:num w:numId="416" w16cid:durableId="1661349116">
    <w:abstractNumId w:val="73"/>
  </w:num>
  <w:num w:numId="417" w16cid:durableId="1017078002">
    <w:abstractNumId w:val="108"/>
  </w:num>
  <w:num w:numId="418" w16cid:durableId="1651517606">
    <w:abstractNumId w:val="408"/>
  </w:num>
  <w:num w:numId="419" w16cid:durableId="163591915">
    <w:abstractNumId w:val="454"/>
  </w:num>
  <w:num w:numId="420" w16cid:durableId="935677232">
    <w:abstractNumId w:val="294"/>
  </w:num>
  <w:num w:numId="421" w16cid:durableId="872693932">
    <w:abstractNumId w:val="305"/>
  </w:num>
  <w:num w:numId="422" w16cid:durableId="345595936">
    <w:abstractNumId w:val="257"/>
  </w:num>
  <w:num w:numId="423" w16cid:durableId="222954492">
    <w:abstractNumId w:val="452"/>
  </w:num>
  <w:num w:numId="424" w16cid:durableId="1530682561">
    <w:abstractNumId w:val="149"/>
  </w:num>
  <w:num w:numId="425" w16cid:durableId="894387487">
    <w:abstractNumId w:val="29"/>
  </w:num>
  <w:num w:numId="426" w16cid:durableId="1049304568">
    <w:abstractNumId w:val="175"/>
  </w:num>
  <w:num w:numId="427" w16cid:durableId="2146580619">
    <w:abstractNumId w:val="327"/>
  </w:num>
  <w:num w:numId="428" w16cid:durableId="1169297409">
    <w:abstractNumId w:val="125"/>
  </w:num>
  <w:num w:numId="429" w16cid:durableId="894976050">
    <w:abstractNumId w:val="266"/>
  </w:num>
  <w:num w:numId="430" w16cid:durableId="1213927492">
    <w:abstractNumId w:val="184"/>
  </w:num>
  <w:num w:numId="431" w16cid:durableId="469127376">
    <w:abstractNumId w:val="79"/>
  </w:num>
  <w:num w:numId="432" w16cid:durableId="851652214">
    <w:abstractNumId w:val="347"/>
  </w:num>
  <w:num w:numId="433" w16cid:durableId="1739093492">
    <w:abstractNumId w:val="322"/>
  </w:num>
  <w:num w:numId="434" w16cid:durableId="810682260">
    <w:abstractNumId w:val="438"/>
  </w:num>
  <w:num w:numId="435" w16cid:durableId="1396390647">
    <w:abstractNumId w:val="346"/>
  </w:num>
  <w:num w:numId="436" w16cid:durableId="2074812587">
    <w:abstractNumId w:val="38"/>
  </w:num>
  <w:num w:numId="437" w16cid:durableId="272129956">
    <w:abstractNumId w:val="262"/>
  </w:num>
  <w:num w:numId="438" w16cid:durableId="673649152">
    <w:abstractNumId w:val="265"/>
  </w:num>
  <w:num w:numId="439" w16cid:durableId="825321451">
    <w:abstractNumId w:val="45"/>
  </w:num>
  <w:num w:numId="440" w16cid:durableId="1418940562">
    <w:abstractNumId w:val="217"/>
  </w:num>
  <w:num w:numId="441" w16cid:durableId="1900897821">
    <w:abstractNumId w:val="182"/>
  </w:num>
  <w:num w:numId="442" w16cid:durableId="1223100960">
    <w:abstractNumId w:val="225"/>
  </w:num>
  <w:num w:numId="443" w16cid:durableId="640379655">
    <w:abstractNumId w:val="206"/>
  </w:num>
  <w:num w:numId="444" w16cid:durableId="907689703">
    <w:abstractNumId w:val="429"/>
  </w:num>
  <w:num w:numId="445" w16cid:durableId="689378918">
    <w:abstractNumId w:val="428"/>
  </w:num>
  <w:num w:numId="446" w16cid:durableId="345787762">
    <w:abstractNumId w:val="75"/>
  </w:num>
  <w:num w:numId="447" w16cid:durableId="1545288695">
    <w:abstractNumId w:val="250"/>
  </w:num>
  <w:num w:numId="448" w16cid:durableId="240993704">
    <w:abstractNumId w:val="66"/>
  </w:num>
  <w:num w:numId="449" w16cid:durableId="3675504">
    <w:abstractNumId w:val="103"/>
  </w:num>
  <w:num w:numId="450" w16cid:durableId="667439895">
    <w:abstractNumId w:val="465"/>
  </w:num>
  <w:num w:numId="451" w16cid:durableId="1865092893">
    <w:abstractNumId w:val="50"/>
  </w:num>
  <w:num w:numId="452" w16cid:durableId="413741455">
    <w:abstractNumId w:val="152"/>
  </w:num>
  <w:num w:numId="453" w16cid:durableId="939022736">
    <w:abstractNumId w:val="192"/>
  </w:num>
  <w:num w:numId="454" w16cid:durableId="1846554579">
    <w:abstractNumId w:val="435"/>
  </w:num>
  <w:num w:numId="455" w16cid:durableId="946352509">
    <w:abstractNumId w:val="388"/>
  </w:num>
  <w:num w:numId="456" w16cid:durableId="1692098960">
    <w:abstractNumId w:val="193"/>
  </w:num>
  <w:num w:numId="457" w16cid:durableId="1101489309">
    <w:abstractNumId w:val="82"/>
  </w:num>
  <w:num w:numId="458" w16cid:durableId="829517464">
    <w:abstractNumId w:val="14"/>
  </w:num>
  <w:num w:numId="459" w16cid:durableId="1276400899">
    <w:abstractNumId w:val="112"/>
  </w:num>
  <w:num w:numId="460" w16cid:durableId="651300736">
    <w:abstractNumId w:val="100"/>
  </w:num>
  <w:num w:numId="461" w16cid:durableId="797533034">
    <w:abstractNumId w:val="414"/>
  </w:num>
  <w:num w:numId="462" w16cid:durableId="970938423">
    <w:abstractNumId w:val="53"/>
  </w:num>
  <w:num w:numId="463" w16cid:durableId="824663024">
    <w:abstractNumId w:val="57"/>
  </w:num>
  <w:num w:numId="464" w16cid:durableId="1746996065">
    <w:abstractNumId w:val="56"/>
  </w:num>
  <w:num w:numId="465" w16cid:durableId="482283146">
    <w:abstractNumId w:val="395"/>
  </w:num>
  <w:num w:numId="466" w16cid:durableId="1769277099">
    <w:abstractNumId w:val="124"/>
  </w:num>
  <w:num w:numId="467" w16cid:durableId="1623682352">
    <w:abstractNumId w:val="304"/>
  </w:num>
  <w:num w:numId="468" w16cid:durableId="553002331">
    <w:abstractNumId w:val="228"/>
  </w:num>
  <w:num w:numId="469" w16cid:durableId="967473829">
    <w:abstractNumId w:val="214"/>
  </w:num>
  <w:num w:numId="470" w16cid:durableId="463012021">
    <w:abstractNumId w:val="316"/>
  </w:num>
  <w:num w:numId="471" w16cid:durableId="357052550">
    <w:abstractNumId w:val="309"/>
  </w:num>
  <w:num w:numId="472" w16cid:durableId="1151600800">
    <w:abstractNumId w:val="63"/>
  </w:num>
  <w:num w:numId="473" w16cid:durableId="931160919">
    <w:abstractNumId w:val="97"/>
  </w:num>
  <w:num w:numId="474" w16cid:durableId="1694722916">
    <w:abstractNumId w:val="204"/>
  </w:num>
  <w:numIdMacAtCleanup w:val="4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DQ1NzA3tzCxsDA2tzBX0lEKTi0uzszPAykwqgUAq/vlrywAAAA="/>
  </w:docVars>
  <w:rsids>
    <w:rsidRoot w:val="0033496A"/>
    <w:rsid w:val="000001A2"/>
    <w:rsid w:val="00000E28"/>
    <w:rsid w:val="00003E87"/>
    <w:rsid w:val="0000404A"/>
    <w:rsid w:val="00005BFF"/>
    <w:rsid w:val="0000790C"/>
    <w:rsid w:val="00010070"/>
    <w:rsid w:val="00010D61"/>
    <w:rsid w:val="000119B6"/>
    <w:rsid w:val="00011B11"/>
    <w:rsid w:val="00013623"/>
    <w:rsid w:val="000179CA"/>
    <w:rsid w:val="00020161"/>
    <w:rsid w:val="000220B2"/>
    <w:rsid w:val="000241D9"/>
    <w:rsid w:val="00024E59"/>
    <w:rsid w:val="0002536F"/>
    <w:rsid w:val="00025B10"/>
    <w:rsid w:val="00025B54"/>
    <w:rsid w:val="00027017"/>
    <w:rsid w:val="00027BA6"/>
    <w:rsid w:val="00030140"/>
    <w:rsid w:val="00030844"/>
    <w:rsid w:val="000308A7"/>
    <w:rsid w:val="000308F9"/>
    <w:rsid w:val="00031ED7"/>
    <w:rsid w:val="00032592"/>
    <w:rsid w:val="000335E7"/>
    <w:rsid w:val="00034E5C"/>
    <w:rsid w:val="0003643F"/>
    <w:rsid w:val="0003676B"/>
    <w:rsid w:val="00037DB3"/>
    <w:rsid w:val="00040F2D"/>
    <w:rsid w:val="000410A7"/>
    <w:rsid w:val="00043311"/>
    <w:rsid w:val="00043B85"/>
    <w:rsid w:val="00044465"/>
    <w:rsid w:val="000446E8"/>
    <w:rsid w:val="00044899"/>
    <w:rsid w:val="000454DA"/>
    <w:rsid w:val="0004610D"/>
    <w:rsid w:val="0004663E"/>
    <w:rsid w:val="000468DC"/>
    <w:rsid w:val="00046C92"/>
    <w:rsid w:val="000475F6"/>
    <w:rsid w:val="00050DBB"/>
    <w:rsid w:val="000523B8"/>
    <w:rsid w:val="0005319A"/>
    <w:rsid w:val="00053738"/>
    <w:rsid w:val="000537A8"/>
    <w:rsid w:val="00054AD5"/>
    <w:rsid w:val="0005574A"/>
    <w:rsid w:val="0005655E"/>
    <w:rsid w:val="00056925"/>
    <w:rsid w:val="00057869"/>
    <w:rsid w:val="000601DA"/>
    <w:rsid w:val="000603F3"/>
    <w:rsid w:val="000608BE"/>
    <w:rsid w:val="00060BB7"/>
    <w:rsid w:val="00060D49"/>
    <w:rsid w:val="0006173C"/>
    <w:rsid w:val="000626C9"/>
    <w:rsid w:val="00062D5E"/>
    <w:rsid w:val="00063633"/>
    <w:rsid w:val="000638A3"/>
    <w:rsid w:val="00063A00"/>
    <w:rsid w:val="00063CF2"/>
    <w:rsid w:val="000660EE"/>
    <w:rsid w:val="000677E0"/>
    <w:rsid w:val="00067B29"/>
    <w:rsid w:val="00070074"/>
    <w:rsid w:val="000700B0"/>
    <w:rsid w:val="0007031E"/>
    <w:rsid w:val="00070F06"/>
    <w:rsid w:val="00072228"/>
    <w:rsid w:val="00072609"/>
    <w:rsid w:val="00073454"/>
    <w:rsid w:val="000753B1"/>
    <w:rsid w:val="0007575D"/>
    <w:rsid w:val="00075CCF"/>
    <w:rsid w:val="0007674D"/>
    <w:rsid w:val="00076755"/>
    <w:rsid w:val="00076796"/>
    <w:rsid w:val="00076836"/>
    <w:rsid w:val="000803C9"/>
    <w:rsid w:val="00081ACB"/>
    <w:rsid w:val="000821CE"/>
    <w:rsid w:val="0008249A"/>
    <w:rsid w:val="0008268E"/>
    <w:rsid w:val="000836EC"/>
    <w:rsid w:val="00084103"/>
    <w:rsid w:val="00085C9E"/>
    <w:rsid w:val="00085CBA"/>
    <w:rsid w:val="00086395"/>
    <w:rsid w:val="000868B9"/>
    <w:rsid w:val="0008698A"/>
    <w:rsid w:val="0008764F"/>
    <w:rsid w:val="000879A7"/>
    <w:rsid w:val="00087C91"/>
    <w:rsid w:val="000900C6"/>
    <w:rsid w:val="000937F2"/>
    <w:rsid w:val="000938AE"/>
    <w:rsid w:val="00093F03"/>
    <w:rsid w:val="00094183"/>
    <w:rsid w:val="000971AB"/>
    <w:rsid w:val="000976B8"/>
    <w:rsid w:val="00097973"/>
    <w:rsid w:val="000A00ED"/>
    <w:rsid w:val="000A10AE"/>
    <w:rsid w:val="000A161B"/>
    <w:rsid w:val="000A2A9E"/>
    <w:rsid w:val="000A6272"/>
    <w:rsid w:val="000A65DF"/>
    <w:rsid w:val="000B00C7"/>
    <w:rsid w:val="000B0E1B"/>
    <w:rsid w:val="000B1484"/>
    <w:rsid w:val="000B1E61"/>
    <w:rsid w:val="000B41EC"/>
    <w:rsid w:val="000B506A"/>
    <w:rsid w:val="000B530D"/>
    <w:rsid w:val="000B5605"/>
    <w:rsid w:val="000C0C2A"/>
    <w:rsid w:val="000C1795"/>
    <w:rsid w:val="000C2131"/>
    <w:rsid w:val="000C29B6"/>
    <w:rsid w:val="000C3012"/>
    <w:rsid w:val="000C35AD"/>
    <w:rsid w:val="000C3670"/>
    <w:rsid w:val="000C489B"/>
    <w:rsid w:val="000C5D97"/>
    <w:rsid w:val="000C6C5B"/>
    <w:rsid w:val="000D00DC"/>
    <w:rsid w:val="000D0464"/>
    <w:rsid w:val="000D04D6"/>
    <w:rsid w:val="000D1721"/>
    <w:rsid w:val="000D2695"/>
    <w:rsid w:val="000D30BB"/>
    <w:rsid w:val="000D6343"/>
    <w:rsid w:val="000D6EA1"/>
    <w:rsid w:val="000D7870"/>
    <w:rsid w:val="000D7B9E"/>
    <w:rsid w:val="000E0056"/>
    <w:rsid w:val="000E0FEB"/>
    <w:rsid w:val="000E22F1"/>
    <w:rsid w:val="000E292D"/>
    <w:rsid w:val="000E296B"/>
    <w:rsid w:val="000E3A8F"/>
    <w:rsid w:val="000E4200"/>
    <w:rsid w:val="000E535D"/>
    <w:rsid w:val="000E5408"/>
    <w:rsid w:val="000E5C6B"/>
    <w:rsid w:val="000E5D6C"/>
    <w:rsid w:val="000E6673"/>
    <w:rsid w:val="000F072A"/>
    <w:rsid w:val="000F1741"/>
    <w:rsid w:val="000F1796"/>
    <w:rsid w:val="000F2CF1"/>
    <w:rsid w:val="000F2D8B"/>
    <w:rsid w:val="000F3010"/>
    <w:rsid w:val="000F365D"/>
    <w:rsid w:val="000F540A"/>
    <w:rsid w:val="000F5866"/>
    <w:rsid w:val="000F5F46"/>
    <w:rsid w:val="0010197C"/>
    <w:rsid w:val="00101C37"/>
    <w:rsid w:val="00102B0D"/>
    <w:rsid w:val="0010343F"/>
    <w:rsid w:val="00103A38"/>
    <w:rsid w:val="00103BCF"/>
    <w:rsid w:val="0010453A"/>
    <w:rsid w:val="00104DDF"/>
    <w:rsid w:val="00104E89"/>
    <w:rsid w:val="00105545"/>
    <w:rsid w:val="00105A79"/>
    <w:rsid w:val="0010776F"/>
    <w:rsid w:val="001077D4"/>
    <w:rsid w:val="00110521"/>
    <w:rsid w:val="001106FB"/>
    <w:rsid w:val="001115A7"/>
    <w:rsid w:val="0011215B"/>
    <w:rsid w:val="001127E9"/>
    <w:rsid w:val="00112A5F"/>
    <w:rsid w:val="001137CA"/>
    <w:rsid w:val="00115125"/>
    <w:rsid w:val="001151A6"/>
    <w:rsid w:val="00116DB8"/>
    <w:rsid w:val="00117AC8"/>
    <w:rsid w:val="001237EA"/>
    <w:rsid w:val="00124832"/>
    <w:rsid w:val="00125212"/>
    <w:rsid w:val="0012525B"/>
    <w:rsid w:val="00126030"/>
    <w:rsid w:val="00126A62"/>
    <w:rsid w:val="00130C6E"/>
    <w:rsid w:val="00130E90"/>
    <w:rsid w:val="00131C59"/>
    <w:rsid w:val="00131F80"/>
    <w:rsid w:val="00133469"/>
    <w:rsid w:val="00133934"/>
    <w:rsid w:val="0013538E"/>
    <w:rsid w:val="0014046F"/>
    <w:rsid w:val="00140768"/>
    <w:rsid w:val="00142460"/>
    <w:rsid w:val="00142F32"/>
    <w:rsid w:val="00143210"/>
    <w:rsid w:val="00143266"/>
    <w:rsid w:val="00143455"/>
    <w:rsid w:val="00143BC9"/>
    <w:rsid w:val="001474EC"/>
    <w:rsid w:val="0015178B"/>
    <w:rsid w:val="00152374"/>
    <w:rsid w:val="001526C6"/>
    <w:rsid w:val="00152E15"/>
    <w:rsid w:val="00153442"/>
    <w:rsid w:val="001542B8"/>
    <w:rsid w:val="00154432"/>
    <w:rsid w:val="00155E79"/>
    <w:rsid w:val="00156B9C"/>
    <w:rsid w:val="00156C45"/>
    <w:rsid w:val="00156F93"/>
    <w:rsid w:val="00157B50"/>
    <w:rsid w:val="00160350"/>
    <w:rsid w:val="00160A94"/>
    <w:rsid w:val="001638BF"/>
    <w:rsid w:val="00163D1A"/>
    <w:rsid w:val="00163D70"/>
    <w:rsid w:val="00164337"/>
    <w:rsid w:val="001648FB"/>
    <w:rsid w:val="0016646F"/>
    <w:rsid w:val="0016655C"/>
    <w:rsid w:val="0016720C"/>
    <w:rsid w:val="001705D1"/>
    <w:rsid w:val="001719AC"/>
    <w:rsid w:val="00171B0B"/>
    <w:rsid w:val="00171EBF"/>
    <w:rsid w:val="001723B2"/>
    <w:rsid w:val="001727BF"/>
    <w:rsid w:val="0017515B"/>
    <w:rsid w:val="00175684"/>
    <w:rsid w:val="00177A0C"/>
    <w:rsid w:val="00177E91"/>
    <w:rsid w:val="00181822"/>
    <w:rsid w:val="0018198E"/>
    <w:rsid w:val="00181B35"/>
    <w:rsid w:val="001834B9"/>
    <w:rsid w:val="001846DC"/>
    <w:rsid w:val="00185118"/>
    <w:rsid w:val="0018633E"/>
    <w:rsid w:val="001908A4"/>
    <w:rsid w:val="00190BC9"/>
    <w:rsid w:val="001914A4"/>
    <w:rsid w:val="00191540"/>
    <w:rsid w:val="00191625"/>
    <w:rsid w:val="00192F7F"/>
    <w:rsid w:val="00193090"/>
    <w:rsid w:val="001939D8"/>
    <w:rsid w:val="00194C64"/>
    <w:rsid w:val="001965CA"/>
    <w:rsid w:val="0019780A"/>
    <w:rsid w:val="001A0F0C"/>
    <w:rsid w:val="001A20C5"/>
    <w:rsid w:val="001A25A6"/>
    <w:rsid w:val="001A375E"/>
    <w:rsid w:val="001A4841"/>
    <w:rsid w:val="001A6A8C"/>
    <w:rsid w:val="001B0128"/>
    <w:rsid w:val="001B0940"/>
    <w:rsid w:val="001B0EF1"/>
    <w:rsid w:val="001B34FC"/>
    <w:rsid w:val="001B3E40"/>
    <w:rsid w:val="001B421B"/>
    <w:rsid w:val="001B5A0F"/>
    <w:rsid w:val="001B5E38"/>
    <w:rsid w:val="001B6BA9"/>
    <w:rsid w:val="001B76F9"/>
    <w:rsid w:val="001B7722"/>
    <w:rsid w:val="001B7789"/>
    <w:rsid w:val="001B781C"/>
    <w:rsid w:val="001B7BD8"/>
    <w:rsid w:val="001B7F35"/>
    <w:rsid w:val="001C0503"/>
    <w:rsid w:val="001C0FCF"/>
    <w:rsid w:val="001C1629"/>
    <w:rsid w:val="001C2C39"/>
    <w:rsid w:val="001C34D9"/>
    <w:rsid w:val="001C4037"/>
    <w:rsid w:val="001C47E2"/>
    <w:rsid w:val="001C4FCE"/>
    <w:rsid w:val="001C53E6"/>
    <w:rsid w:val="001C59A3"/>
    <w:rsid w:val="001C764C"/>
    <w:rsid w:val="001C7A58"/>
    <w:rsid w:val="001D217D"/>
    <w:rsid w:val="001D285F"/>
    <w:rsid w:val="001D3C70"/>
    <w:rsid w:val="001D4D3E"/>
    <w:rsid w:val="001D6D86"/>
    <w:rsid w:val="001E16D9"/>
    <w:rsid w:val="001E3674"/>
    <w:rsid w:val="001E41D1"/>
    <w:rsid w:val="001E615A"/>
    <w:rsid w:val="001E6748"/>
    <w:rsid w:val="001E6834"/>
    <w:rsid w:val="001E6B51"/>
    <w:rsid w:val="001E6EC4"/>
    <w:rsid w:val="001E7AA4"/>
    <w:rsid w:val="001E7E96"/>
    <w:rsid w:val="001E7FF9"/>
    <w:rsid w:val="001F0F36"/>
    <w:rsid w:val="001F10EE"/>
    <w:rsid w:val="001F210B"/>
    <w:rsid w:val="001F293C"/>
    <w:rsid w:val="001F34A9"/>
    <w:rsid w:val="001F425F"/>
    <w:rsid w:val="001F4A75"/>
    <w:rsid w:val="001F53BF"/>
    <w:rsid w:val="001F5A93"/>
    <w:rsid w:val="001F6122"/>
    <w:rsid w:val="001F6B6F"/>
    <w:rsid w:val="001F749B"/>
    <w:rsid w:val="001F7B2D"/>
    <w:rsid w:val="001F7F47"/>
    <w:rsid w:val="002003A1"/>
    <w:rsid w:val="00200D8A"/>
    <w:rsid w:val="0020100C"/>
    <w:rsid w:val="0020158A"/>
    <w:rsid w:val="0020210B"/>
    <w:rsid w:val="00202E8C"/>
    <w:rsid w:val="0020383B"/>
    <w:rsid w:val="002062BF"/>
    <w:rsid w:val="0020772F"/>
    <w:rsid w:val="002119A8"/>
    <w:rsid w:val="002120C4"/>
    <w:rsid w:val="00212282"/>
    <w:rsid w:val="0021486D"/>
    <w:rsid w:val="00217E40"/>
    <w:rsid w:val="0022032D"/>
    <w:rsid w:val="0022302E"/>
    <w:rsid w:val="002233BF"/>
    <w:rsid w:val="002238E1"/>
    <w:rsid w:val="00225427"/>
    <w:rsid w:val="00225984"/>
    <w:rsid w:val="00225ABD"/>
    <w:rsid w:val="00226AA8"/>
    <w:rsid w:val="00226F1A"/>
    <w:rsid w:val="00230D3F"/>
    <w:rsid w:val="00233374"/>
    <w:rsid w:val="00233562"/>
    <w:rsid w:val="00233D30"/>
    <w:rsid w:val="00234183"/>
    <w:rsid w:val="002360B9"/>
    <w:rsid w:val="002369DC"/>
    <w:rsid w:val="00237650"/>
    <w:rsid w:val="00240A20"/>
    <w:rsid w:val="00240E28"/>
    <w:rsid w:val="00241367"/>
    <w:rsid w:val="002415F5"/>
    <w:rsid w:val="0024432E"/>
    <w:rsid w:val="00244B54"/>
    <w:rsid w:val="00245ABB"/>
    <w:rsid w:val="00245AEF"/>
    <w:rsid w:val="00245CF2"/>
    <w:rsid w:val="002460E3"/>
    <w:rsid w:val="00246339"/>
    <w:rsid w:val="00246D3B"/>
    <w:rsid w:val="00246D73"/>
    <w:rsid w:val="0025114C"/>
    <w:rsid w:val="002512C1"/>
    <w:rsid w:val="00251E1A"/>
    <w:rsid w:val="002524C6"/>
    <w:rsid w:val="002535CC"/>
    <w:rsid w:val="00253600"/>
    <w:rsid w:val="00253B41"/>
    <w:rsid w:val="00254461"/>
    <w:rsid w:val="00254610"/>
    <w:rsid w:val="0025562C"/>
    <w:rsid w:val="002557BF"/>
    <w:rsid w:val="00255F5F"/>
    <w:rsid w:val="002562B2"/>
    <w:rsid w:val="0025649E"/>
    <w:rsid w:val="00256BF4"/>
    <w:rsid w:val="00257873"/>
    <w:rsid w:val="00261634"/>
    <w:rsid w:val="00262050"/>
    <w:rsid w:val="0026309D"/>
    <w:rsid w:val="002638AD"/>
    <w:rsid w:val="00263F36"/>
    <w:rsid w:val="0026426C"/>
    <w:rsid w:val="0026453E"/>
    <w:rsid w:val="00264A34"/>
    <w:rsid w:val="00264C8B"/>
    <w:rsid w:val="00265E76"/>
    <w:rsid w:val="00266969"/>
    <w:rsid w:val="00267D5B"/>
    <w:rsid w:val="00270491"/>
    <w:rsid w:val="002713BE"/>
    <w:rsid w:val="00271816"/>
    <w:rsid w:val="0027181F"/>
    <w:rsid w:val="00273C76"/>
    <w:rsid w:val="00273C8A"/>
    <w:rsid w:val="00273D0A"/>
    <w:rsid w:val="00274F34"/>
    <w:rsid w:val="00275A52"/>
    <w:rsid w:val="002760BC"/>
    <w:rsid w:val="00277E6C"/>
    <w:rsid w:val="00281448"/>
    <w:rsid w:val="00281719"/>
    <w:rsid w:val="002826B4"/>
    <w:rsid w:val="00282743"/>
    <w:rsid w:val="00282ED6"/>
    <w:rsid w:val="00283C67"/>
    <w:rsid w:val="00285965"/>
    <w:rsid w:val="00285AC7"/>
    <w:rsid w:val="002867BA"/>
    <w:rsid w:val="002876D4"/>
    <w:rsid w:val="00291371"/>
    <w:rsid w:val="00291784"/>
    <w:rsid w:val="00291F11"/>
    <w:rsid w:val="00292E7F"/>
    <w:rsid w:val="0029572B"/>
    <w:rsid w:val="00295D0F"/>
    <w:rsid w:val="002964ED"/>
    <w:rsid w:val="00296FD8"/>
    <w:rsid w:val="002A1B13"/>
    <w:rsid w:val="002A1E9F"/>
    <w:rsid w:val="002A2078"/>
    <w:rsid w:val="002A20D0"/>
    <w:rsid w:val="002A2B49"/>
    <w:rsid w:val="002A30D0"/>
    <w:rsid w:val="002A41FE"/>
    <w:rsid w:val="002A4349"/>
    <w:rsid w:val="002A4B36"/>
    <w:rsid w:val="002A509B"/>
    <w:rsid w:val="002A515D"/>
    <w:rsid w:val="002A6422"/>
    <w:rsid w:val="002A6E2E"/>
    <w:rsid w:val="002B28EC"/>
    <w:rsid w:val="002B2D66"/>
    <w:rsid w:val="002B38C7"/>
    <w:rsid w:val="002B4CB5"/>
    <w:rsid w:val="002B5AC2"/>
    <w:rsid w:val="002B5CC7"/>
    <w:rsid w:val="002B7678"/>
    <w:rsid w:val="002C06A9"/>
    <w:rsid w:val="002C113A"/>
    <w:rsid w:val="002C21CA"/>
    <w:rsid w:val="002C2219"/>
    <w:rsid w:val="002C2EC3"/>
    <w:rsid w:val="002C6B03"/>
    <w:rsid w:val="002D0CD6"/>
    <w:rsid w:val="002D279C"/>
    <w:rsid w:val="002D28C3"/>
    <w:rsid w:val="002D2BA2"/>
    <w:rsid w:val="002D2D94"/>
    <w:rsid w:val="002D3686"/>
    <w:rsid w:val="002D4C62"/>
    <w:rsid w:val="002D5845"/>
    <w:rsid w:val="002D6339"/>
    <w:rsid w:val="002D7403"/>
    <w:rsid w:val="002D7602"/>
    <w:rsid w:val="002E03EA"/>
    <w:rsid w:val="002E29F7"/>
    <w:rsid w:val="002E4DB4"/>
    <w:rsid w:val="002E6B87"/>
    <w:rsid w:val="002F0395"/>
    <w:rsid w:val="002F0482"/>
    <w:rsid w:val="002F108A"/>
    <w:rsid w:val="002F3711"/>
    <w:rsid w:val="002F3966"/>
    <w:rsid w:val="002F4015"/>
    <w:rsid w:val="002F5B57"/>
    <w:rsid w:val="002F625D"/>
    <w:rsid w:val="002F669E"/>
    <w:rsid w:val="002F66F3"/>
    <w:rsid w:val="002F68C6"/>
    <w:rsid w:val="002F732C"/>
    <w:rsid w:val="0030062D"/>
    <w:rsid w:val="00300DCA"/>
    <w:rsid w:val="003011EE"/>
    <w:rsid w:val="00301900"/>
    <w:rsid w:val="0030257E"/>
    <w:rsid w:val="003025F8"/>
    <w:rsid w:val="0030299E"/>
    <w:rsid w:val="003053AA"/>
    <w:rsid w:val="00305D85"/>
    <w:rsid w:val="0030617F"/>
    <w:rsid w:val="0030654F"/>
    <w:rsid w:val="00307CB5"/>
    <w:rsid w:val="00310066"/>
    <w:rsid w:val="003104A7"/>
    <w:rsid w:val="00310650"/>
    <w:rsid w:val="00311C42"/>
    <w:rsid w:val="003124B1"/>
    <w:rsid w:val="0031268C"/>
    <w:rsid w:val="0031376A"/>
    <w:rsid w:val="00313868"/>
    <w:rsid w:val="0031467B"/>
    <w:rsid w:val="00314F7C"/>
    <w:rsid w:val="003152B1"/>
    <w:rsid w:val="003165AA"/>
    <w:rsid w:val="00320136"/>
    <w:rsid w:val="003203A4"/>
    <w:rsid w:val="00320899"/>
    <w:rsid w:val="003217DC"/>
    <w:rsid w:val="00322434"/>
    <w:rsid w:val="003235C5"/>
    <w:rsid w:val="00323FB2"/>
    <w:rsid w:val="00323FE1"/>
    <w:rsid w:val="00324445"/>
    <w:rsid w:val="003244DB"/>
    <w:rsid w:val="00325F5B"/>
    <w:rsid w:val="00326551"/>
    <w:rsid w:val="00327429"/>
    <w:rsid w:val="0032759D"/>
    <w:rsid w:val="00330090"/>
    <w:rsid w:val="003302AE"/>
    <w:rsid w:val="00330439"/>
    <w:rsid w:val="00330E6A"/>
    <w:rsid w:val="003314FD"/>
    <w:rsid w:val="00331664"/>
    <w:rsid w:val="003338EA"/>
    <w:rsid w:val="00333A75"/>
    <w:rsid w:val="00334490"/>
    <w:rsid w:val="003345EC"/>
    <w:rsid w:val="0033496A"/>
    <w:rsid w:val="00336D08"/>
    <w:rsid w:val="00340360"/>
    <w:rsid w:val="00342509"/>
    <w:rsid w:val="00343E53"/>
    <w:rsid w:val="00344616"/>
    <w:rsid w:val="00345255"/>
    <w:rsid w:val="0034545A"/>
    <w:rsid w:val="0034624C"/>
    <w:rsid w:val="0034730A"/>
    <w:rsid w:val="00350887"/>
    <w:rsid w:val="00350F02"/>
    <w:rsid w:val="00351D4A"/>
    <w:rsid w:val="003520E0"/>
    <w:rsid w:val="00352707"/>
    <w:rsid w:val="00352949"/>
    <w:rsid w:val="00353E4A"/>
    <w:rsid w:val="00353E75"/>
    <w:rsid w:val="00354083"/>
    <w:rsid w:val="00354224"/>
    <w:rsid w:val="0035670E"/>
    <w:rsid w:val="00360CE5"/>
    <w:rsid w:val="00361FB2"/>
    <w:rsid w:val="00362BF8"/>
    <w:rsid w:val="00364400"/>
    <w:rsid w:val="00365B6F"/>
    <w:rsid w:val="00366E8A"/>
    <w:rsid w:val="0036725A"/>
    <w:rsid w:val="00367342"/>
    <w:rsid w:val="00367DBA"/>
    <w:rsid w:val="00370D45"/>
    <w:rsid w:val="00370FE7"/>
    <w:rsid w:val="00371C2F"/>
    <w:rsid w:val="0037361F"/>
    <w:rsid w:val="003760E6"/>
    <w:rsid w:val="0037714F"/>
    <w:rsid w:val="00377291"/>
    <w:rsid w:val="0037784B"/>
    <w:rsid w:val="003779B3"/>
    <w:rsid w:val="00377DCB"/>
    <w:rsid w:val="00380AF7"/>
    <w:rsid w:val="00381461"/>
    <w:rsid w:val="003823B9"/>
    <w:rsid w:val="00382536"/>
    <w:rsid w:val="00382CA0"/>
    <w:rsid w:val="00382DD7"/>
    <w:rsid w:val="00383E3F"/>
    <w:rsid w:val="00384CCB"/>
    <w:rsid w:val="00384D9B"/>
    <w:rsid w:val="00385AB9"/>
    <w:rsid w:val="00385EB6"/>
    <w:rsid w:val="00385F7F"/>
    <w:rsid w:val="003869B5"/>
    <w:rsid w:val="00386F9D"/>
    <w:rsid w:val="00387316"/>
    <w:rsid w:val="0038731D"/>
    <w:rsid w:val="00390695"/>
    <w:rsid w:val="00390EAB"/>
    <w:rsid w:val="003912FF"/>
    <w:rsid w:val="00393784"/>
    <w:rsid w:val="00394E57"/>
    <w:rsid w:val="003960C1"/>
    <w:rsid w:val="003A0386"/>
    <w:rsid w:val="003A043A"/>
    <w:rsid w:val="003A04CF"/>
    <w:rsid w:val="003A3DDF"/>
    <w:rsid w:val="003A6D3D"/>
    <w:rsid w:val="003A7E55"/>
    <w:rsid w:val="003A7F87"/>
    <w:rsid w:val="003B0CDB"/>
    <w:rsid w:val="003B1B30"/>
    <w:rsid w:val="003B297B"/>
    <w:rsid w:val="003B2CDB"/>
    <w:rsid w:val="003B3639"/>
    <w:rsid w:val="003B45E0"/>
    <w:rsid w:val="003B4E0A"/>
    <w:rsid w:val="003B6378"/>
    <w:rsid w:val="003B7100"/>
    <w:rsid w:val="003B78E3"/>
    <w:rsid w:val="003C0BF0"/>
    <w:rsid w:val="003C1B89"/>
    <w:rsid w:val="003C3906"/>
    <w:rsid w:val="003C51AA"/>
    <w:rsid w:val="003C6326"/>
    <w:rsid w:val="003C65D9"/>
    <w:rsid w:val="003C741C"/>
    <w:rsid w:val="003C7896"/>
    <w:rsid w:val="003C7CDC"/>
    <w:rsid w:val="003D06CA"/>
    <w:rsid w:val="003D0852"/>
    <w:rsid w:val="003D11DC"/>
    <w:rsid w:val="003D1C40"/>
    <w:rsid w:val="003D2D63"/>
    <w:rsid w:val="003D3024"/>
    <w:rsid w:val="003D3EBF"/>
    <w:rsid w:val="003D4042"/>
    <w:rsid w:val="003D46C3"/>
    <w:rsid w:val="003D4FF9"/>
    <w:rsid w:val="003D576E"/>
    <w:rsid w:val="003D5A05"/>
    <w:rsid w:val="003D5DCD"/>
    <w:rsid w:val="003D6BAA"/>
    <w:rsid w:val="003D78BB"/>
    <w:rsid w:val="003D794F"/>
    <w:rsid w:val="003E1728"/>
    <w:rsid w:val="003E1751"/>
    <w:rsid w:val="003E371D"/>
    <w:rsid w:val="003E42DE"/>
    <w:rsid w:val="003E4E60"/>
    <w:rsid w:val="003E4F3C"/>
    <w:rsid w:val="003E6FFA"/>
    <w:rsid w:val="003E725A"/>
    <w:rsid w:val="003E7EB9"/>
    <w:rsid w:val="003F17C2"/>
    <w:rsid w:val="003F2EDA"/>
    <w:rsid w:val="003F3E56"/>
    <w:rsid w:val="003F4265"/>
    <w:rsid w:val="003F5675"/>
    <w:rsid w:val="003F5B34"/>
    <w:rsid w:val="003F6452"/>
    <w:rsid w:val="003F7458"/>
    <w:rsid w:val="003F7841"/>
    <w:rsid w:val="004010BD"/>
    <w:rsid w:val="00402FFE"/>
    <w:rsid w:val="004035A1"/>
    <w:rsid w:val="00403628"/>
    <w:rsid w:val="00403C4F"/>
    <w:rsid w:val="00404880"/>
    <w:rsid w:val="00404AB7"/>
    <w:rsid w:val="00405170"/>
    <w:rsid w:val="00405A4B"/>
    <w:rsid w:val="00405DEB"/>
    <w:rsid w:val="00406878"/>
    <w:rsid w:val="00406A6D"/>
    <w:rsid w:val="0040733B"/>
    <w:rsid w:val="00407AF3"/>
    <w:rsid w:val="00410E12"/>
    <w:rsid w:val="00411D9D"/>
    <w:rsid w:val="00413312"/>
    <w:rsid w:val="004143C9"/>
    <w:rsid w:val="00414BA0"/>
    <w:rsid w:val="004156E2"/>
    <w:rsid w:val="004166E2"/>
    <w:rsid w:val="004170FD"/>
    <w:rsid w:val="00417566"/>
    <w:rsid w:val="00417816"/>
    <w:rsid w:val="004200AB"/>
    <w:rsid w:val="00420B20"/>
    <w:rsid w:val="00422B72"/>
    <w:rsid w:val="00422DBC"/>
    <w:rsid w:val="00425FD0"/>
    <w:rsid w:val="0042691E"/>
    <w:rsid w:val="00426C8A"/>
    <w:rsid w:val="004270C9"/>
    <w:rsid w:val="00431600"/>
    <w:rsid w:val="004319E4"/>
    <w:rsid w:val="004326DF"/>
    <w:rsid w:val="00437B99"/>
    <w:rsid w:val="00440AB8"/>
    <w:rsid w:val="004441BA"/>
    <w:rsid w:val="0044615C"/>
    <w:rsid w:val="00447CE2"/>
    <w:rsid w:val="004513AA"/>
    <w:rsid w:val="004521D0"/>
    <w:rsid w:val="004549BC"/>
    <w:rsid w:val="00454EC4"/>
    <w:rsid w:val="0045655C"/>
    <w:rsid w:val="0045662C"/>
    <w:rsid w:val="00456677"/>
    <w:rsid w:val="00456866"/>
    <w:rsid w:val="00456CA0"/>
    <w:rsid w:val="00457AA9"/>
    <w:rsid w:val="00457C02"/>
    <w:rsid w:val="004611C7"/>
    <w:rsid w:val="004617E5"/>
    <w:rsid w:val="00463704"/>
    <w:rsid w:val="00463B72"/>
    <w:rsid w:val="004644DF"/>
    <w:rsid w:val="0046565D"/>
    <w:rsid w:val="0046574E"/>
    <w:rsid w:val="00465E89"/>
    <w:rsid w:val="004662E4"/>
    <w:rsid w:val="00466423"/>
    <w:rsid w:val="0046781E"/>
    <w:rsid w:val="00467D2E"/>
    <w:rsid w:val="00467FE8"/>
    <w:rsid w:val="00470568"/>
    <w:rsid w:val="00470D47"/>
    <w:rsid w:val="00471B9E"/>
    <w:rsid w:val="00471D7F"/>
    <w:rsid w:val="00472924"/>
    <w:rsid w:val="004732C1"/>
    <w:rsid w:val="004747F0"/>
    <w:rsid w:val="004749B2"/>
    <w:rsid w:val="00474FA4"/>
    <w:rsid w:val="00475544"/>
    <w:rsid w:val="00475D64"/>
    <w:rsid w:val="0047769D"/>
    <w:rsid w:val="0048044D"/>
    <w:rsid w:val="00483A45"/>
    <w:rsid w:val="0048671D"/>
    <w:rsid w:val="0048795A"/>
    <w:rsid w:val="00487976"/>
    <w:rsid w:val="00490A1A"/>
    <w:rsid w:val="00491025"/>
    <w:rsid w:val="0049126B"/>
    <w:rsid w:val="00491AD9"/>
    <w:rsid w:val="00491FEE"/>
    <w:rsid w:val="004928D7"/>
    <w:rsid w:val="00494045"/>
    <w:rsid w:val="00495F5F"/>
    <w:rsid w:val="00496917"/>
    <w:rsid w:val="004A077B"/>
    <w:rsid w:val="004A0C01"/>
    <w:rsid w:val="004A115A"/>
    <w:rsid w:val="004A2CEF"/>
    <w:rsid w:val="004A3B4E"/>
    <w:rsid w:val="004A3E6B"/>
    <w:rsid w:val="004A4173"/>
    <w:rsid w:val="004A4425"/>
    <w:rsid w:val="004A54B0"/>
    <w:rsid w:val="004A5791"/>
    <w:rsid w:val="004A6252"/>
    <w:rsid w:val="004A68FE"/>
    <w:rsid w:val="004B002A"/>
    <w:rsid w:val="004B0647"/>
    <w:rsid w:val="004B39AE"/>
    <w:rsid w:val="004B3F75"/>
    <w:rsid w:val="004B48B5"/>
    <w:rsid w:val="004B4CC3"/>
    <w:rsid w:val="004B5C8E"/>
    <w:rsid w:val="004B5D1B"/>
    <w:rsid w:val="004B5DCC"/>
    <w:rsid w:val="004B5FD5"/>
    <w:rsid w:val="004B6125"/>
    <w:rsid w:val="004B64B6"/>
    <w:rsid w:val="004B7392"/>
    <w:rsid w:val="004B7456"/>
    <w:rsid w:val="004C1C33"/>
    <w:rsid w:val="004C1C4A"/>
    <w:rsid w:val="004C2B5A"/>
    <w:rsid w:val="004C2F48"/>
    <w:rsid w:val="004C35B6"/>
    <w:rsid w:val="004C3B8C"/>
    <w:rsid w:val="004C5812"/>
    <w:rsid w:val="004C6AC5"/>
    <w:rsid w:val="004C6F4D"/>
    <w:rsid w:val="004C7F23"/>
    <w:rsid w:val="004D0F69"/>
    <w:rsid w:val="004D103F"/>
    <w:rsid w:val="004D1974"/>
    <w:rsid w:val="004D2817"/>
    <w:rsid w:val="004D3968"/>
    <w:rsid w:val="004D608D"/>
    <w:rsid w:val="004E1D4F"/>
    <w:rsid w:val="004E2888"/>
    <w:rsid w:val="004E409C"/>
    <w:rsid w:val="004E4C46"/>
    <w:rsid w:val="004E4D72"/>
    <w:rsid w:val="004E73E9"/>
    <w:rsid w:val="004E7A5F"/>
    <w:rsid w:val="004F072D"/>
    <w:rsid w:val="004F0B73"/>
    <w:rsid w:val="004F0F2B"/>
    <w:rsid w:val="004F10A3"/>
    <w:rsid w:val="004F1295"/>
    <w:rsid w:val="004F155B"/>
    <w:rsid w:val="004F2311"/>
    <w:rsid w:val="004F419A"/>
    <w:rsid w:val="004F493A"/>
    <w:rsid w:val="004F5A9D"/>
    <w:rsid w:val="004F5B35"/>
    <w:rsid w:val="004F62DC"/>
    <w:rsid w:val="004F7040"/>
    <w:rsid w:val="0050109A"/>
    <w:rsid w:val="005013AA"/>
    <w:rsid w:val="00502184"/>
    <w:rsid w:val="00503AA5"/>
    <w:rsid w:val="00506349"/>
    <w:rsid w:val="005077A1"/>
    <w:rsid w:val="00510BEE"/>
    <w:rsid w:val="005112D8"/>
    <w:rsid w:val="005114FE"/>
    <w:rsid w:val="0051182D"/>
    <w:rsid w:val="0051193F"/>
    <w:rsid w:val="00512030"/>
    <w:rsid w:val="005128AD"/>
    <w:rsid w:val="00512F73"/>
    <w:rsid w:val="005134C4"/>
    <w:rsid w:val="005171DE"/>
    <w:rsid w:val="00520C6C"/>
    <w:rsid w:val="005210C3"/>
    <w:rsid w:val="0052169A"/>
    <w:rsid w:val="005224B7"/>
    <w:rsid w:val="00522834"/>
    <w:rsid w:val="005228AA"/>
    <w:rsid w:val="005241A7"/>
    <w:rsid w:val="005260F0"/>
    <w:rsid w:val="0052689D"/>
    <w:rsid w:val="00527561"/>
    <w:rsid w:val="00531CE3"/>
    <w:rsid w:val="005320C4"/>
    <w:rsid w:val="00532882"/>
    <w:rsid w:val="00532E63"/>
    <w:rsid w:val="00532F63"/>
    <w:rsid w:val="00537BE3"/>
    <w:rsid w:val="005403AF"/>
    <w:rsid w:val="00540D8C"/>
    <w:rsid w:val="00541540"/>
    <w:rsid w:val="00541610"/>
    <w:rsid w:val="0054256C"/>
    <w:rsid w:val="00545968"/>
    <w:rsid w:val="00546147"/>
    <w:rsid w:val="005462DA"/>
    <w:rsid w:val="005503AC"/>
    <w:rsid w:val="00550776"/>
    <w:rsid w:val="00550C8A"/>
    <w:rsid w:val="005513D4"/>
    <w:rsid w:val="0055150C"/>
    <w:rsid w:val="00552510"/>
    <w:rsid w:val="00553829"/>
    <w:rsid w:val="00554004"/>
    <w:rsid w:val="00554C34"/>
    <w:rsid w:val="00555132"/>
    <w:rsid w:val="0055523C"/>
    <w:rsid w:val="00555A4E"/>
    <w:rsid w:val="00555C52"/>
    <w:rsid w:val="00555D59"/>
    <w:rsid w:val="005560FA"/>
    <w:rsid w:val="00556499"/>
    <w:rsid w:val="00556BAE"/>
    <w:rsid w:val="00556F01"/>
    <w:rsid w:val="0056095B"/>
    <w:rsid w:val="00560DE4"/>
    <w:rsid w:val="0056124F"/>
    <w:rsid w:val="00562E30"/>
    <w:rsid w:val="0056310F"/>
    <w:rsid w:val="00565AAC"/>
    <w:rsid w:val="00565EA8"/>
    <w:rsid w:val="005679F9"/>
    <w:rsid w:val="00567AF1"/>
    <w:rsid w:val="00571204"/>
    <w:rsid w:val="00571E30"/>
    <w:rsid w:val="005723EA"/>
    <w:rsid w:val="00573158"/>
    <w:rsid w:val="00574309"/>
    <w:rsid w:val="0057467D"/>
    <w:rsid w:val="00574BA3"/>
    <w:rsid w:val="0057531A"/>
    <w:rsid w:val="00575418"/>
    <w:rsid w:val="00575E85"/>
    <w:rsid w:val="005762E3"/>
    <w:rsid w:val="00577AA1"/>
    <w:rsid w:val="00581346"/>
    <w:rsid w:val="005822DE"/>
    <w:rsid w:val="0058232C"/>
    <w:rsid w:val="00584E3D"/>
    <w:rsid w:val="00591CC5"/>
    <w:rsid w:val="00592691"/>
    <w:rsid w:val="005927AB"/>
    <w:rsid w:val="005936B2"/>
    <w:rsid w:val="005973F6"/>
    <w:rsid w:val="00597978"/>
    <w:rsid w:val="005A3A02"/>
    <w:rsid w:val="005A4BD8"/>
    <w:rsid w:val="005A65B0"/>
    <w:rsid w:val="005A6811"/>
    <w:rsid w:val="005A6FB1"/>
    <w:rsid w:val="005B0B47"/>
    <w:rsid w:val="005B232D"/>
    <w:rsid w:val="005B32D0"/>
    <w:rsid w:val="005B3F24"/>
    <w:rsid w:val="005B44C7"/>
    <w:rsid w:val="005C154B"/>
    <w:rsid w:val="005C17CF"/>
    <w:rsid w:val="005C1DFB"/>
    <w:rsid w:val="005C259E"/>
    <w:rsid w:val="005C280B"/>
    <w:rsid w:val="005C39A3"/>
    <w:rsid w:val="005C3CCC"/>
    <w:rsid w:val="005C3CF8"/>
    <w:rsid w:val="005C3E9F"/>
    <w:rsid w:val="005C4436"/>
    <w:rsid w:val="005C4E4A"/>
    <w:rsid w:val="005D10EF"/>
    <w:rsid w:val="005D16DC"/>
    <w:rsid w:val="005D1822"/>
    <w:rsid w:val="005D2522"/>
    <w:rsid w:val="005D36AF"/>
    <w:rsid w:val="005D4095"/>
    <w:rsid w:val="005D433E"/>
    <w:rsid w:val="005E09A0"/>
    <w:rsid w:val="005E0B66"/>
    <w:rsid w:val="005E27BA"/>
    <w:rsid w:val="005E3039"/>
    <w:rsid w:val="005E396B"/>
    <w:rsid w:val="005E5683"/>
    <w:rsid w:val="005E5AF9"/>
    <w:rsid w:val="005E6697"/>
    <w:rsid w:val="005E7590"/>
    <w:rsid w:val="005E7B08"/>
    <w:rsid w:val="005E7CDB"/>
    <w:rsid w:val="005E7EAA"/>
    <w:rsid w:val="005F0CE8"/>
    <w:rsid w:val="005F0FFA"/>
    <w:rsid w:val="005F1942"/>
    <w:rsid w:val="005F2C49"/>
    <w:rsid w:val="005F3100"/>
    <w:rsid w:val="005F36C2"/>
    <w:rsid w:val="005F3968"/>
    <w:rsid w:val="005F7573"/>
    <w:rsid w:val="005F790F"/>
    <w:rsid w:val="0060149B"/>
    <w:rsid w:val="00601F8D"/>
    <w:rsid w:val="00602083"/>
    <w:rsid w:val="00602405"/>
    <w:rsid w:val="0060247A"/>
    <w:rsid w:val="006024E1"/>
    <w:rsid w:val="006031A3"/>
    <w:rsid w:val="0060387F"/>
    <w:rsid w:val="00604BA8"/>
    <w:rsid w:val="00605AA3"/>
    <w:rsid w:val="00605E7C"/>
    <w:rsid w:val="00606C12"/>
    <w:rsid w:val="00607967"/>
    <w:rsid w:val="00611855"/>
    <w:rsid w:val="00612011"/>
    <w:rsid w:val="006128D7"/>
    <w:rsid w:val="0061339E"/>
    <w:rsid w:val="00614CB8"/>
    <w:rsid w:val="00614E6F"/>
    <w:rsid w:val="006154E8"/>
    <w:rsid w:val="00620A71"/>
    <w:rsid w:val="006213AE"/>
    <w:rsid w:val="00621815"/>
    <w:rsid w:val="00621AC3"/>
    <w:rsid w:val="00621B2F"/>
    <w:rsid w:val="0062247C"/>
    <w:rsid w:val="006224C0"/>
    <w:rsid w:val="006224F7"/>
    <w:rsid w:val="006240D8"/>
    <w:rsid w:val="00625210"/>
    <w:rsid w:val="00625641"/>
    <w:rsid w:val="00626C67"/>
    <w:rsid w:val="00627792"/>
    <w:rsid w:val="006313C4"/>
    <w:rsid w:val="00631543"/>
    <w:rsid w:val="00632855"/>
    <w:rsid w:val="006345F0"/>
    <w:rsid w:val="00635470"/>
    <w:rsid w:val="00636091"/>
    <w:rsid w:val="0063691F"/>
    <w:rsid w:val="00637681"/>
    <w:rsid w:val="006408A4"/>
    <w:rsid w:val="0064102E"/>
    <w:rsid w:val="00641904"/>
    <w:rsid w:val="00641D4B"/>
    <w:rsid w:val="00643716"/>
    <w:rsid w:val="006439E6"/>
    <w:rsid w:val="006440B3"/>
    <w:rsid w:val="00645678"/>
    <w:rsid w:val="006456F4"/>
    <w:rsid w:val="00646D5D"/>
    <w:rsid w:val="00647484"/>
    <w:rsid w:val="00647530"/>
    <w:rsid w:val="006544A9"/>
    <w:rsid w:val="0065479E"/>
    <w:rsid w:val="0065657E"/>
    <w:rsid w:val="00657538"/>
    <w:rsid w:val="006578B6"/>
    <w:rsid w:val="0066035E"/>
    <w:rsid w:val="0066064B"/>
    <w:rsid w:val="00660953"/>
    <w:rsid w:val="00661728"/>
    <w:rsid w:val="00663DFD"/>
    <w:rsid w:val="00664080"/>
    <w:rsid w:val="006640C2"/>
    <w:rsid w:val="006645D8"/>
    <w:rsid w:val="00664FF0"/>
    <w:rsid w:val="00665354"/>
    <w:rsid w:val="00666447"/>
    <w:rsid w:val="006676F2"/>
    <w:rsid w:val="00671BFA"/>
    <w:rsid w:val="006746BA"/>
    <w:rsid w:val="00674745"/>
    <w:rsid w:val="006750FD"/>
    <w:rsid w:val="0067674D"/>
    <w:rsid w:val="00677F13"/>
    <w:rsid w:val="00682934"/>
    <w:rsid w:val="00682DBC"/>
    <w:rsid w:val="00683F60"/>
    <w:rsid w:val="0068488F"/>
    <w:rsid w:val="00685125"/>
    <w:rsid w:val="00685150"/>
    <w:rsid w:val="006854FF"/>
    <w:rsid w:val="00686233"/>
    <w:rsid w:val="006865A4"/>
    <w:rsid w:val="00686986"/>
    <w:rsid w:val="00686A95"/>
    <w:rsid w:val="0068740A"/>
    <w:rsid w:val="006908EB"/>
    <w:rsid w:val="00690EF8"/>
    <w:rsid w:val="00690FDD"/>
    <w:rsid w:val="006914B0"/>
    <w:rsid w:val="00692221"/>
    <w:rsid w:val="00692EFC"/>
    <w:rsid w:val="0069311D"/>
    <w:rsid w:val="00695DF9"/>
    <w:rsid w:val="00697821"/>
    <w:rsid w:val="006A0603"/>
    <w:rsid w:val="006A148C"/>
    <w:rsid w:val="006A159E"/>
    <w:rsid w:val="006A2400"/>
    <w:rsid w:val="006A2AD0"/>
    <w:rsid w:val="006A2C1D"/>
    <w:rsid w:val="006A2CA4"/>
    <w:rsid w:val="006A3A90"/>
    <w:rsid w:val="006A4234"/>
    <w:rsid w:val="006A53AE"/>
    <w:rsid w:val="006A5547"/>
    <w:rsid w:val="006A6C03"/>
    <w:rsid w:val="006A75D7"/>
    <w:rsid w:val="006A7913"/>
    <w:rsid w:val="006B0666"/>
    <w:rsid w:val="006B0906"/>
    <w:rsid w:val="006B3FFF"/>
    <w:rsid w:val="006B40B0"/>
    <w:rsid w:val="006B4398"/>
    <w:rsid w:val="006B4A8C"/>
    <w:rsid w:val="006B4AA0"/>
    <w:rsid w:val="006B5465"/>
    <w:rsid w:val="006B5D19"/>
    <w:rsid w:val="006B6D46"/>
    <w:rsid w:val="006B785E"/>
    <w:rsid w:val="006B7BD2"/>
    <w:rsid w:val="006C2E9E"/>
    <w:rsid w:val="006C3702"/>
    <w:rsid w:val="006C4112"/>
    <w:rsid w:val="006C542F"/>
    <w:rsid w:val="006C5B81"/>
    <w:rsid w:val="006C68C3"/>
    <w:rsid w:val="006D017B"/>
    <w:rsid w:val="006D1700"/>
    <w:rsid w:val="006D1EF9"/>
    <w:rsid w:val="006D26EC"/>
    <w:rsid w:val="006D3349"/>
    <w:rsid w:val="006D3C9F"/>
    <w:rsid w:val="006D41AC"/>
    <w:rsid w:val="006D53B8"/>
    <w:rsid w:val="006D5FDD"/>
    <w:rsid w:val="006E0515"/>
    <w:rsid w:val="006E12D2"/>
    <w:rsid w:val="006E1B58"/>
    <w:rsid w:val="006E1CA6"/>
    <w:rsid w:val="006E22D2"/>
    <w:rsid w:val="006E39AF"/>
    <w:rsid w:val="006E3AD0"/>
    <w:rsid w:val="006E54EB"/>
    <w:rsid w:val="006F0005"/>
    <w:rsid w:val="006F060A"/>
    <w:rsid w:val="006F080F"/>
    <w:rsid w:val="006F08FD"/>
    <w:rsid w:val="006F1286"/>
    <w:rsid w:val="006F373D"/>
    <w:rsid w:val="006F3DF5"/>
    <w:rsid w:val="006F62E9"/>
    <w:rsid w:val="006F7A1D"/>
    <w:rsid w:val="006F7CAD"/>
    <w:rsid w:val="00700EE1"/>
    <w:rsid w:val="00701E54"/>
    <w:rsid w:val="00703BFD"/>
    <w:rsid w:val="00703D86"/>
    <w:rsid w:val="00703F36"/>
    <w:rsid w:val="00704190"/>
    <w:rsid w:val="007044FB"/>
    <w:rsid w:val="00705292"/>
    <w:rsid w:val="00705708"/>
    <w:rsid w:val="00706437"/>
    <w:rsid w:val="00706A65"/>
    <w:rsid w:val="00706B89"/>
    <w:rsid w:val="00706DC7"/>
    <w:rsid w:val="00706EFA"/>
    <w:rsid w:val="0070737F"/>
    <w:rsid w:val="0071069B"/>
    <w:rsid w:val="007127C7"/>
    <w:rsid w:val="007156BE"/>
    <w:rsid w:val="007158CA"/>
    <w:rsid w:val="00717C3D"/>
    <w:rsid w:val="007204D3"/>
    <w:rsid w:val="00720B22"/>
    <w:rsid w:val="00720B4D"/>
    <w:rsid w:val="00720CD6"/>
    <w:rsid w:val="00721297"/>
    <w:rsid w:val="00722302"/>
    <w:rsid w:val="00722E53"/>
    <w:rsid w:val="00723324"/>
    <w:rsid w:val="00724B7B"/>
    <w:rsid w:val="007257B5"/>
    <w:rsid w:val="00726318"/>
    <w:rsid w:val="0072793A"/>
    <w:rsid w:val="00727BDE"/>
    <w:rsid w:val="00730C53"/>
    <w:rsid w:val="007325AC"/>
    <w:rsid w:val="00733B2F"/>
    <w:rsid w:val="00735635"/>
    <w:rsid w:val="007367EB"/>
    <w:rsid w:val="00736A27"/>
    <w:rsid w:val="00740BD2"/>
    <w:rsid w:val="00741CDD"/>
    <w:rsid w:val="007422EA"/>
    <w:rsid w:val="00742362"/>
    <w:rsid w:val="0074259C"/>
    <w:rsid w:val="007425BD"/>
    <w:rsid w:val="00742F74"/>
    <w:rsid w:val="00743347"/>
    <w:rsid w:val="00744516"/>
    <w:rsid w:val="007452EC"/>
    <w:rsid w:val="00745573"/>
    <w:rsid w:val="00747ED9"/>
    <w:rsid w:val="007524DC"/>
    <w:rsid w:val="0075343E"/>
    <w:rsid w:val="00753A7E"/>
    <w:rsid w:val="00756034"/>
    <w:rsid w:val="0075635B"/>
    <w:rsid w:val="00756826"/>
    <w:rsid w:val="00756A6A"/>
    <w:rsid w:val="007577FE"/>
    <w:rsid w:val="007602D5"/>
    <w:rsid w:val="00760C82"/>
    <w:rsid w:val="00764C9E"/>
    <w:rsid w:val="00764DCB"/>
    <w:rsid w:val="00765EDE"/>
    <w:rsid w:val="0076656B"/>
    <w:rsid w:val="007665C1"/>
    <w:rsid w:val="0076734C"/>
    <w:rsid w:val="00770763"/>
    <w:rsid w:val="00771A15"/>
    <w:rsid w:val="007726FC"/>
    <w:rsid w:val="0077281E"/>
    <w:rsid w:val="00773480"/>
    <w:rsid w:val="00774486"/>
    <w:rsid w:val="00774DC9"/>
    <w:rsid w:val="00774F7F"/>
    <w:rsid w:val="00775781"/>
    <w:rsid w:val="007758A2"/>
    <w:rsid w:val="00776021"/>
    <w:rsid w:val="007770D8"/>
    <w:rsid w:val="00777F61"/>
    <w:rsid w:val="0077D868"/>
    <w:rsid w:val="007830E9"/>
    <w:rsid w:val="00783338"/>
    <w:rsid w:val="007867BD"/>
    <w:rsid w:val="00787A73"/>
    <w:rsid w:val="007907DD"/>
    <w:rsid w:val="00791058"/>
    <w:rsid w:val="00791B60"/>
    <w:rsid w:val="00792B50"/>
    <w:rsid w:val="00793190"/>
    <w:rsid w:val="007935B5"/>
    <w:rsid w:val="0079466F"/>
    <w:rsid w:val="00795C5A"/>
    <w:rsid w:val="007A0310"/>
    <w:rsid w:val="007A39F8"/>
    <w:rsid w:val="007A3A0F"/>
    <w:rsid w:val="007A5A63"/>
    <w:rsid w:val="007A79B7"/>
    <w:rsid w:val="007B00F9"/>
    <w:rsid w:val="007B0361"/>
    <w:rsid w:val="007B06DA"/>
    <w:rsid w:val="007B244E"/>
    <w:rsid w:val="007B39E9"/>
    <w:rsid w:val="007B3B11"/>
    <w:rsid w:val="007B46E8"/>
    <w:rsid w:val="007B48BB"/>
    <w:rsid w:val="007B596D"/>
    <w:rsid w:val="007C29A4"/>
    <w:rsid w:val="007C2A10"/>
    <w:rsid w:val="007C303E"/>
    <w:rsid w:val="007C3249"/>
    <w:rsid w:val="007C3A16"/>
    <w:rsid w:val="007C3E5D"/>
    <w:rsid w:val="007C5538"/>
    <w:rsid w:val="007C7373"/>
    <w:rsid w:val="007D0328"/>
    <w:rsid w:val="007D03B6"/>
    <w:rsid w:val="007D194E"/>
    <w:rsid w:val="007D1F0F"/>
    <w:rsid w:val="007D238A"/>
    <w:rsid w:val="007D250B"/>
    <w:rsid w:val="007D2B4F"/>
    <w:rsid w:val="007D2C04"/>
    <w:rsid w:val="007D605F"/>
    <w:rsid w:val="007D6969"/>
    <w:rsid w:val="007D6E67"/>
    <w:rsid w:val="007D6EF3"/>
    <w:rsid w:val="007D7440"/>
    <w:rsid w:val="007E0244"/>
    <w:rsid w:val="007E0FD0"/>
    <w:rsid w:val="007E117D"/>
    <w:rsid w:val="007E1DCB"/>
    <w:rsid w:val="007E2E6A"/>
    <w:rsid w:val="007E37EE"/>
    <w:rsid w:val="007E3864"/>
    <w:rsid w:val="007E606C"/>
    <w:rsid w:val="007E6285"/>
    <w:rsid w:val="007E62E1"/>
    <w:rsid w:val="007E6428"/>
    <w:rsid w:val="007E7450"/>
    <w:rsid w:val="007E7E81"/>
    <w:rsid w:val="007F1321"/>
    <w:rsid w:val="007F17AF"/>
    <w:rsid w:val="007F181F"/>
    <w:rsid w:val="007F184F"/>
    <w:rsid w:val="007F1D3F"/>
    <w:rsid w:val="007F205D"/>
    <w:rsid w:val="007F211A"/>
    <w:rsid w:val="007F31C0"/>
    <w:rsid w:val="007F3A3B"/>
    <w:rsid w:val="007F3FD7"/>
    <w:rsid w:val="007F4721"/>
    <w:rsid w:val="007F50BF"/>
    <w:rsid w:val="007F543E"/>
    <w:rsid w:val="007F709B"/>
    <w:rsid w:val="007FAF38"/>
    <w:rsid w:val="008002D1"/>
    <w:rsid w:val="0080081D"/>
    <w:rsid w:val="00801451"/>
    <w:rsid w:val="00801797"/>
    <w:rsid w:val="00802091"/>
    <w:rsid w:val="0080332C"/>
    <w:rsid w:val="00805BE1"/>
    <w:rsid w:val="00805E98"/>
    <w:rsid w:val="008073B2"/>
    <w:rsid w:val="00810735"/>
    <w:rsid w:val="00811091"/>
    <w:rsid w:val="00811162"/>
    <w:rsid w:val="008115F4"/>
    <w:rsid w:val="0081273A"/>
    <w:rsid w:val="00813271"/>
    <w:rsid w:val="00814C89"/>
    <w:rsid w:val="008177DA"/>
    <w:rsid w:val="008201C3"/>
    <w:rsid w:val="008221B3"/>
    <w:rsid w:val="00822924"/>
    <w:rsid w:val="00822F51"/>
    <w:rsid w:val="00823F3E"/>
    <w:rsid w:val="00824981"/>
    <w:rsid w:val="00827934"/>
    <w:rsid w:val="00827D90"/>
    <w:rsid w:val="00827FDE"/>
    <w:rsid w:val="0083074B"/>
    <w:rsid w:val="0083240F"/>
    <w:rsid w:val="0083331C"/>
    <w:rsid w:val="00833B45"/>
    <w:rsid w:val="00834E94"/>
    <w:rsid w:val="0083530A"/>
    <w:rsid w:val="00835863"/>
    <w:rsid w:val="008368EE"/>
    <w:rsid w:val="0083724E"/>
    <w:rsid w:val="008375C6"/>
    <w:rsid w:val="008404F2"/>
    <w:rsid w:val="00842E7C"/>
    <w:rsid w:val="00843A02"/>
    <w:rsid w:val="00845777"/>
    <w:rsid w:val="00845C82"/>
    <w:rsid w:val="008467F2"/>
    <w:rsid w:val="0084704B"/>
    <w:rsid w:val="00850E7B"/>
    <w:rsid w:val="00852018"/>
    <w:rsid w:val="00852DA7"/>
    <w:rsid w:val="00852DB8"/>
    <w:rsid w:val="008554D2"/>
    <w:rsid w:val="0085577A"/>
    <w:rsid w:val="00860B83"/>
    <w:rsid w:val="00860DA0"/>
    <w:rsid w:val="008615DC"/>
    <w:rsid w:val="00864019"/>
    <w:rsid w:val="0086527B"/>
    <w:rsid w:val="00866054"/>
    <w:rsid w:val="00866671"/>
    <w:rsid w:val="008708E0"/>
    <w:rsid w:val="00870E86"/>
    <w:rsid w:val="008719AE"/>
    <w:rsid w:val="00871CD3"/>
    <w:rsid w:val="008726E2"/>
    <w:rsid w:val="00872961"/>
    <w:rsid w:val="008767AD"/>
    <w:rsid w:val="00877DBF"/>
    <w:rsid w:val="00877E20"/>
    <w:rsid w:val="00880590"/>
    <w:rsid w:val="008826A6"/>
    <w:rsid w:val="00883FE0"/>
    <w:rsid w:val="0088455F"/>
    <w:rsid w:val="0088576D"/>
    <w:rsid w:val="008868A8"/>
    <w:rsid w:val="0088717A"/>
    <w:rsid w:val="00887DC7"/>
    <w:rsid w:val="008905C4"/>
    <w:rsid w:val="00891F41"/>
    <w:rsid w:val="00894437"/>
    <w:rsid w:val="008976AD"/>
    <w:rsid w:val="0089796E"/>
    <w:rsid w:val="008A0287"/>
    <w:rsid w:val="008A0447"/>
    <w:rsid w:val="008A0DDE"/>
    <w:rsid w:val="008A3268"/>
    <w:rsid w:val="008A40FE"/>
    <w:rsid w:val="008A432D"/>
    <w:rsid w:val="008A44C0"/>
    <w:rsid w:val="008A580D"/>
    <w:rsid w:val="008A5B20"/>
    <w:rsid w:val="008A6145"/>
    <w:rsid w:val="008A6B81"/>
    <w:rsid w:val="008A6D0A"/>
    <w:rsid w:val="008A7943"/>
    <w:rsid w:val="008A7BFF"/>
    <w:rsid w:val="008B0971"/>
    <w:rsid w:val="008B1679"/>
    <w:rsid w:val="008B172E"/>
    <w:rsid w:val="008B1C06"/>
    <w:rsid w:val="008B44BE"/>
    <w:rsid w:val="008C041A"/>
    <w:rsid w:val="008C0D46"/>
    <w:rsid w:val="008C2448"/>
    <w:rsid w:val="008C2895"/>
    <w:rsid w:val="008C3DF2"/>
    <w:rsid w:val="008C75B6"/>
    <w:rsid w:val="008D141C"/>
    <w:rsid w:val="008D1885"/>
    <w:rsid w:val="008D22F8"/>
    <w:rsid w:val="008D241A"/>
    <w:rsid w:val="008D3545"/>
    <w:rsid w:val="008D3D4B"/>
    <w:rsid w:val="008D66F0"/>
    <w:rsid w:val="008D723D"/>
    <w:rsid w:val="008E0A0D"/>
    <w:rsid w:val="008E18F4"/>
    <w:rsid w:val="008E1F98"/>
    <w:rsid w:val="008E2284"/>
    <w:rsid w:val="008E2599"/>
    <w:rsid w:val="008E28F3"/>
    <w:rsid w:val="008E3DAB"/>
    <w:rsid w:val="008E44D4"/>
    <w:rsid w:val="008E5050"/>
    <w:rsid w:val="008E6329"/>
    <w:rsid w:val="008E6AC0"/>
    <w:rsid w:val="008E7375"/>
    <w:rsid w:val="008E7F90"/>
    <w:rsid w:val="008F033B"/>
    <w:rsid w:val="008F212F"/>
    <w:rsid w:val="008F227A"/>
    <w:rsid w:val="008F45F3"/>
    <w:rsid w:val="009003E5"/>
    <w:rsid w:val="009017E0"/>
    <w:rsid w:val="00903CB0"/>
    <w:rsid w:val="00904E94"/>
    <w:rsid w:val="00905C1F"/>
    <w:rsid w:val="00905E13"/>
    <w:rsid w:val="00907AAC"/>
    <w:rsid w:val="00907C35"/>
    <w:rsid w:val="00910EC4"/>
    <w:rsid w:val="009120EE"/>
    <w:rsid w:val="00912552"/>
    <w:rsid w:val="00912A73"/>
    <w:rsid w:val="0091327B"/>
    <w:rsid w:val="009137BD"/>
    <w:rsid w:val="00913C8B"/>
    <w:rsid w:val="00915405"/>
    <w:rsid w:val="00916490"/>
    <w:rsid w:val="00916D1C"/>
    <w:rsid w:val="00916D4B"/>
    <w:rsid w:val="009172B5"/>
    <w:rsid w:val="009203C6"/>
    <w:rsid w:val="009208D2"/>
    <w:rsid w:val="0092150C"/>
    <w:rsid w:val="009224DB"/>
    <w:rsid w:val="0092294E"/>
    <w:rsid w:val="00923583"/>
    <w:rsid w:val="00924ACA"/>
    <w:rsid w:val="0092539C"/>
    <w:rsid w:val="00926704"/>
    <w:rsid w:val="00927BA1"/>
    <w:rsid w:val="009302F8"/>
    <w:rsid w:val="009314EC"/>
    <w:rsid w:val="009318C6"/>
    <w:rsid w:val="009337E3"/>
    <w:rsid w:val="00933871"/>
    <w:rsid w:val="0093418C"/>
    <w:rsid w:val="009341D4"/>
    <w:rsid w:val="00934C4A"/>
    <w:rsid w:val="00935506"/>
    <w:rsid w:val="009355F2"/>
    <w:rsid w:val="009357F9"/>
    <w:rsid w:val="009357FF"/>
    <w:rsid w:val="0093738A"/>
    <w:rsid w:val="00940048"/>
    <w:rsid w:val="009410E3"/>
    <w:rsid w:val="0094148E"/>
    <w:rsid w:val="00941631"/>
    <w:rsid w:val="00941A6B"/>
    <w:rsid w:val="00942C73"/>
    <w:rsid w:val="009436A7"/>
    <w:rsid w:val="009437D4"/>
    <w:rsid w:val="00946533"/>
    <w:rsid w:val="00947629"/>
    <w:rsid w:val="009500B6"/>
    <w:rsid w:val="009517A6"/>
    <w:rsid w:val="009527E6"/>
    <w:rsid w:val="00952F0D"/>
    <w:rsid w:val="00953C7B"/>
    <w:rsid w:val="00956AAC"/>
    <w:rsid w:val="009577D2"/>
    <w:rsid w:val="00957EAF"/>
    <w:rsid w:val="00960212"/>
    <w:rsid w:val="00961501"/>
    <w:rsid w:val="00962105"/>
    <w:rsid w:val="009626F3"/>
    <w:rsid w:val="009632CD"/>
    <w:rsid w:val="00963A5E"/>
    <w:rsid w:val="00963D81"/>
    <w:rsid w:val="009647E6"/>
    <w:rsid w:val="00964973"/>
    <w:rsid w:val="00964B32"/>
    <w:rsid w:val="00965FE1"/>
    <w:rsid w:val="009663BB"/>
    <w:rsid w:val="00966776"/>
    <w:rsid w:val="00970287"/>
    <w:rsid w:val="0097122F"/>
    <w:rsid w:val="0097217E"/>
    <w:rsid w:val="00972B87"/>
    <w:rsid w:val="00972D44"/>
    <w:rsid w:val="00973251"/>
    <w:rsid w:val="009739C2"/>
    <w:rsid w:val="00975467"/>
    <w:rsid w:val="009757E7"/>
    <w:rsid w:val="0097638D"/>
    <w:rsid w:val="0097668A"/>
    <w:rsid w:val="00977E45"/>
    <w:rsid w:val="0098043A"/>
    <w:rsid w:val="00982ABF"/>
    <w:rsid w:val="0098367E"/>
    <w:rsid w:val="0098452F"/>
    <w:rsid w:val="009848AC"/>
    <w:rsid w:val="009853AC"/>
    <w:rsid w:val="00986E15"/>
    <w:rsid w:val="00987550"/>
    <w:rsid w:val="0099021F"/>
    <w:rsid w:val="0099042A"/>
    <w:rsid w:val="0099111B"/>
    <w:rsid w:val="00991447"/>
    <w:rsid w:val="00991998"/>
    <w:rsid w:val="00992C9E"/>
    <w:rsid w:val="0099336D"/>
    <w:rsid w:val="009945E7"/>
    <w:rsid w:val="009956F1"/>
    <w:rsid w:val="00995B2A"/>
    <w:rsid w:val="009A0033"/>
    <w:rsid w:val="009A0181"/>
    <w:rsid w:val="009A0A09"/>
    <w:rsid w:val="009A3334"/>
    <w:rsid w:val="009A5789"/>
    <w:rsid w:val="009A6B06"/>
    <w:rsid w:val="009B0A5F"/>
    <w:rsid w:val="009B0F3B"/>
    <w:rsid w:val="009B1ABB"/>
    <w:rsid w:val="009B2986"/>
    <w:rsid w:val="009B5239"/>
    <w:rsid w:val="009B5C26"/>
    <w:rsid w:val="009B5CDA"/>
    <w:rsid w:val="009B6536"/>
    <w:rsid w:val="009B71AE"/>
    <w:rsid w:val="009B75D3"/>
    <w:rsid w:val="009C01BC"/>
    <w:rsid w:val="009C021D"/>
    <w:rsid w:val="009C1F05"/>
    <w:rsid w:val="009C2092"/>
    <w:rsid w:val="009C42F7"/>
    <w:rsid w:val="009C435F"/>
    <w:rsid w:val="009C5B3E"/>
    <w:rsid w:val="009C69C5"/>
    <w:rsid w:val="009C6A10"/>
    <w:rsid w:val="009C749C"/>
    <w:rsid w:val="009C7E35"/>
    <w:rsid w:val="009D01D8"/>
    <w:rsid w:val="009D07EB"/>
    <w:rsid w:val="009D1864"/>
    <w:rsid w:val="009D1CE0"/>
    <w:rsid w:val="009D1CF3"/>
    <w:rsid w:val="009D324A"/>
    <w:rsid w:val="009D40BA"/>
    <w:rsid w:val="009D4883"/>
    <w:rsid w:val="009D6171"/>
    <w:rsid w:val="009D6A9D"/>
    <w:rsid w:val="009D7B1D"/>
    <w:rsid w:val="009E03B9"/>
    <w:rsid w:val="009E043B"/>
    <w:rsid w:val="009E1EDB"/>
    <w:rsid w:val="009E2F6E"/>
    <w:rsid w:val="009E4639"/>
    <w:rsid w:val="009E5693"/>
    <w:rsid w:val="009E58A0"/>
    <w:rsid w:val="009F052A"/>
    <w:rsid w:val="009F07E7"/>
    <w:rsid w:val="009F1617"/>
    <w:rsid w:val="009F1926"/>
    <w:rsid w:val="009F23E1"/>
    <w:rsid w:val="009F2DE9"/>
    <w:rsid w:val="009F2F75"/>
    <w:rsid w:val="009F3FB7"/>
    <w:rsid w:val="009F4D9E"/>
    <w:rsid w:val="009F6C1A"/>
    <w:rsid w:val="00A01D00"/>
    <w:rsid w:val="00A01EF6"/>
    <w:rsid w:val="00A01FFA"/>
    <w:rsid w:val="00A021A5"/>
    <w:rsid w:val="00A02817"/>
    <w:rsid w:val="00A039DC"/>
    <w:rsid w:val="00A05594"/>
    <w:rsid w:val="00A063E4"/>
    <w:rsid w:val="00A07209"/>
    <w:rsid w:val="00A10EA2"/>
    <w:rsid w:val="00A112E1"/>
    <w:rsid w:val="00A113E1"/>
    <w:rsid w:val="00A11A79"/>
    <w:rsid w:val="00A1220F"/>
    <w:rsid w:val="00A12815"/>
    <w:rsid w:val="00A1347D"/>
    <w:rsid w:val="00A13DE7"/>
    <w:rsid w:val="00A175D4"/>
    <w:rsid w:val="00A17F8E"/>
    <w:rsid w:val="00A20605"/>
    <w:rsid w:val="00A214CA"/>
    <w:rsid w:val="00A22EF9"/>
    <w:rsid w:val="00A257A7"/>
    <w:rsid w:val="00A26277"/>
    <w:rsid w:val="00A2636D"/>
    <w:rsid w:val="00A26720"/>
    <w:rsid w:val="00A271DF"/>
    <w:rsid w:val="00A274C9"/>
    <w:rsid w:val="00A27C61"/>
    <w:rsid w:val="00A31EDA"/>
    <w:rsid w:val="00A3294C"/>
    <w:rsid w:val="00A331C6"/>
    <w:rsid w:val="00A33495"/>
    <w:rsid w:val="00A37065"/>
    <w:rsid w:val="00A374FC"/>
    <w:rsid w:val="00A375D3"/>
    <w:rsid w:val="00A4032C"/>
    <w:rsid w:val="00A4136D"/>
    <w:rsid w:val="00A4262D"/>
    <w:rsid w:val="00A42A15"/>
    <w:rsid w:val="00A42CEC"/>
    <w:rsid w:val="00A42FF3"/>
    <w:rsid w:val="00A44C81"/>
    <w:rsid w:val="00A47164"/>
    <w:rsid w:val="00A472A2"/>
    <w:rsid w:val="00A51418"/>
    <w:rsid w:val="00A518BD"/>
    <w:rsid w:val="00A52174"/>
    <w:rsid w:val="00A5247B"/>
    <w:rsid w:val="00A53B7E"/>
    <w:rsid w:val="00A54A3D"/>
    <w:rsid w:val="00A55661"/>
    <w:rsid w:val="00A5662D"/>
    <w:rsid w:val="00A56CBF"/>
    <w:rsid w:val="00A573D9"/>
    <w:rsid w:val="00A57697"/>
    <w:rsid w:val="00A60958"/>
    <w:rsid w:val="00A60C4B"/>
    <w:rsid w:val="00A613D8"/>
    <w:rsid w:val="00A62C2E"/>
    <w:rsid w:val="00A62DF3"/>
    <w:rsid w:val="00A62FFE"/>
    <w:rsid w:val="00A63839"/>
    <w:rsid w:val="00A63B25"/>
    <w:rsid w:val="00A64953"/>
    <w:rsid w:val="00A6515B"/>
    <w:rsid w:val="00A653F9"/>
    <w:rsid w:val="00A66664"/>
    <w:rsid w:val="00A67C77"/>
    <w:rsid w:val="00A70E05"/>
    <w:rsid w:val="00A71830"/>
    <w:rsid w:val="00A72FC7"/>
    <w:rsid w:val="00A73040"/>
    <w:rsid w:val="00A75726"/>
    <w:rsid w:val="00A75735"/>
    <w:rsid w:val="00A7576E"/>
    <w:rsid w:val="00A76F4A"/>
    <w:rsid w:val="00A77264"/>
    <w:rsid w:val="00A776DB"/>
    <w:rsid w:val="00A77F4A"/>
    <w:rsid w:val="00A801E3"/>
    <w:rsid w:val="00A809B9"/>
    <w:rsid w:val="00A80FC1"/>
    <w:rsid w:val="00A8148E"/>
    <w:rsid w:val="00A824BB"/>
    <w:rsid w:val="00A83AAD"/>
    <w:rsid w:val="00A83AFB"/>
    <w:rsid w:val="00A846C5"/>
    <w:rsid w:val="00A84DF8"/>
    <w:rsid w:val="00A86624"/>
    <w:rsid w:val="00A86BAB"/>
    <w:rsid w:val="00A87C5E"/>
    <w:rsid w:val="00A915A4"/>
    <w:rsid w:val="00A91701"/>
    <w:rsid w:val="00A91B8B"/>
    <w:rsid w:val="00A928EB"/>
    <w:rsid w:val="00A945DB"/>
    <w:rsid w:val="00A953C1"/>
    <w:rsid w:val="00A9547A"/>
    <w:rsid w:val="00A95582"/>
    <w:rsid w:val="00A9686E"/>
    <w:rsid w:val="00A97017"/>
    <w:rsid w:val="00A972FB"/>
    <w:rsid w:val="00A9760D"/>
    <w:rsid w:val="00AA1891"/>
    <w:rsid w:val="00AA19FD"/>
    <w:rsid w:val="00AA3426"/>
    <w:rsid w:val="00AA63B6"/>
    <w:rsid w:val="00AA74DB"/>
    <w:rsid w:val="00AA7797"/>
    <w:rsid w:val="00AB0772"/>
    <w:rsid w:val="00AB1388"/>
    <w:rsid w:val="00AB1660"/>
    <w:rsid w:val="00AB2C62"/>
    <w:rsid w:val="00AB3033"/>
    <w:rsid w:val="00AB34AD"/>
    <w:rsid w:val="00AB476B"/>
    <w:rsid w:val="00AB5525"/>
    <w:rsid w:val="00AB5953"/>
    <w:rsid w:val="00AB710D"/>
    <w:rsid w:val="00AB766D"/>
    <w:rsid w:val="00AB7CEB"/>
    <w:rsid w:val="00AC15BB"/>
    <w:rsid w:val="00AC2A90"/>
    <w:rsid w:val="00AC3178"/>
    <w:rsid w:val="00AC3DBE"/>
    <w:rsid w:val="00AC4147"/>
    <w:rsid w:val="00AC42AA"/>
    <w:rsid w:val="00AC50F6"/>
    <w:rsid w:val="00AC53D4"/>
    <w:rsid w:val="00AC5652"/>
    <w:rsid w:val="00AC58F8"/>
    <w:rsid w:val="00AC5950"/>
    <w:rsid w:val="00AC5B57"/>
    <w:rsid w:val="00AD253D"/>
    <w:rsid w:val="00AD3008"/>
    <w:rsid w:val="00AD3107"/>
    <w:rsid w:val="00AD33B7"/>
    <w:rsid w:val="00AD3F4B"/>
    <w:rsid w:val="00AD5638"/>
    <w:rsid w:val="00AD7040"/>
    <w:rsid w:val="00AE04DF"/>
    <w:rsid w:val="00AE0A44"/>
    <w:rsid w:val="00AE1C11"/>
    <w:rsid w:val="00AE2486"/>
    <w:rsid w:val="00AE2510"/>
    <w:rsid w:val="00AE2FC6"/>
    <w:rsid w:val="00AE3A8E"/>
    <w:rsid w:val="00AE7192"/>
    <w:rsid w:val="00AE783F"/>
    <w:rsid w:val="00AF0771"/>
    <w:rsid w:val="00AF18C3"/>
    <w:rsid w:val="00AF196C"/>
    <w:rsid w:val="00AF21C3"/>
    <w:rsid w:val="00AF3175"/>
    <w:rsid w:val="00AF407E"/>
    <w:rsid w:val="00AF4335"/>
    <w:rsid w:val="00AF4FB4"/>
    <w:rsid w:val="00AF610D"/>
    <w:rsid w:val="00AF652D"/>
    <w:rsid w:val="00AF6B92"/>
    <w:rsid w:val="00AF724A"/>
    <w:rsid w:val="00AF7328"/>
    <w:rsid w:val="00AF7462"/>
    <w:rsid w:val="00B01123"/>
    <w:rsid w:val="00B0219B"/>
    <w:rsid w:val="00B02524"/>
    <w:rsid w:val="00B02967"/>
    <w:rsid w:val="00B02978"/>
    <w:rsid w:val="00B02DC8"/>
    <w:rsid w:val="00B03415"/>
    <w:rsid w:val="00B036C7"/>
    <w:rsid w:val="00B04B69"/>
    <w:rsid w:val="00B0582D"/>
    <w:rsid w:val="00B075C9"/>
    <w:rsid w:val="00B13E89"/>
    <w:rsid w:val="00B15528"/>
    <w:rsid w:val="00B15A09"/>
    <w:rsid w:val="00B15EBD"/>
    <w:rsid w:val="00B16550"/>
    <w:rsid w:val="00B16625"/>
    <w:rsid w:val="00B16994"/>
    <w:rsid w:val="00B16EC4"/>
    <w:rsid w:val="00B175FD"/>
    <w:rsid w:val="00B17F63"/>
    <w:rsid w:val="00B1FEB4"/>
    <w:rsid w:val="00B21E6F"/>
    <w:rsid w:val="00B23554"/>
    <w:rsid w:val="00B24180"/>
    <w:rsid w:val="00B245BE"/>
    <w:rsid w:val="00B24B55"/>
    <w:rsid w:val="00B24EE4"/>
    <w:rsid w:val="00B26C67"/>
    <w:rsid w:val="00B271C4"/>
    <w:rsid w:val="00B3175D"/>
    <w:rsid w:val="00B3187E"/>
    <w:rsid w:val="00B3205F"/>
    <w:rsid w:val="00B3270B"/>
    <w:rsid w:val="00B3359A"/>
    <w:rsid w:val="00B3471B"/>
    <w:rsid w:val="00B36C12"/>
    <w:rsid w:val="00B4059E"/>
    <w:rsid w:val="00B42F6D"/>
    <w:rsid w:val="00B4355D"/>
    <w:rsid w:val="00B44796"/>
    <w:rsid w:val="00B46EEC"/>
    <w:rsid w:val="00B503BD"/>
    <w:rsid w:val="00B50D5C"/>
    <w:rsid w:val="00B51486"/>
    <w:rsid w:val="00B5167C"/>
    <w:rsid w:val="00B52FC8"/>
    <w:rsid w:val="00B54564"/>
    <w:rsid w:val="00B54DF2"/>
    <w:rsid w:val="00B54E54"/>
    <w:rsid w:val="00B54FC7"/>
    <w:rsid w:val="00B551FD"/>
    <w:rsid w:val="00B5522B"/>
    <w:rsid w:val="00B55342"/>
    <w:rsid w:val="00B55CE9"/>
    <w:rsid w:val="00B561AC"/>
    <w:rsid w:val="00B57D37"/>
    <w:rsid w:val="00B60022"/>
    <w:rsid w:val="00B608A7"/>
    <w:rsid w:val="00B61395"/>
    <w:rsid w:val="00B62881"/>
    <w:rsid w:val="00B62FC1"/>
    <w:rsid w:val="00B632B2"/>
    <w:rsid w:val="00B6420E"/>
    <w:rsid w:val="00B6421E"/>
    <w:rsid w:val="00B646B2"/>
    <w:rsid w:val="00B6489F"/>
    <w:rsid w:val="00B65347"/>
    <w:rsid w:val="00B6666A"/>
    <w:rsid w:val="00B67195"/>
    <w:rsid w:val="00B678F5"/>
    <w:rsid w:val="00B67F11"/>
    <w:rsid w:val="00B70500"/>
    <w:rsid w:val="00B7183D"/>
    <w:rsid w:val="00B718D5"/>
    <w:rsid w:val="00B71B27"/>
    <w:rsid w:val="00B71C4F"/>
    <w:rsid w:val="00B72A42"/>
    <w:rsid w:val="00B73F13"/>
    <w:rsid w:val="00B74987"/>
    <w:rsid w:val="00B74D0B"/>
    <w:rsid w:val="00B767A8"/>
    <w:rsid w:val="00B768AC"/>
    <w:rsid w:val="00B76D18"/>
    <w:rsid w:val="00B76E4E"/>
    <w:rsid w:val="00B77B78"/>
    <w:rsid w:val="00B802F2"/>
    <w:rsid w:val="00B80E4F"/>
    <w:rsid w:val="00B82DFE"/>
    <w:rsid w:val="00B85BD9"/>
    <w:rsid w:val="00B85FD6"/>
    <w:rsid w:val="00B86082"/>
    <w:rsid w:val="00B86FF7"/>
    <w:rsid w:val="00B87256"/>
    <w:rsid w:val="00B8738E"/>
    <w:rsid w:val="00B90F46"/>
    <w:rsid w:val="00B92462"/>
    <w:rsid w:val="00B936FF"/>
    <w:rsid w:val="00B938D8"/>
    <w:rsid w:val="00B93BE1"/>
    <w:rsid w:val="00B948E0"/>
    <w:rsid w:val="00B956D8"/>
    <w:rsid w:val="00B9685C"/>
    <w:rsid w:val="00B96AA2"/>
    <w:rsid w:val="00B97D29"/>
    <w:rsid w:val="00B97D76"/>
    <w:rsid w:val="00BA102D"/>
    <w:rsid w:val="00BA1505"/>
    <w:rsid w:val="00BA2480"/>
    <w:rsid w:val="00BA2903"/>
    <w:rsid w:val="00BA3275"/>
    <w:rsid w:val="00BA34B0"/>
    <w:rsid w:val="00BA3B0B"/>
    <w:rsid w:val="00BA4282"/>
    <w:rsid w:val="00BA4BBB"/>
    <w:rsid w:val="00BA5623"/>
    <w:rsid w:val="00BA68E5"/>
    <w:rsid w:val="00BA6A38"/>
    <w:rsid w:val="00BA743B"/>
    <w:rsid w:val="00BA7747"/>
    <w:rsid w:val="00BB00CA"/>
    <w:rsid w:val="00BB01FF"/>
    <w:rsid w:val="00BB1FDC"/>
    <w:rsid w:val="00BB22DD"/>
    <w:rsid w:val="00BB2F6B"/>
    <w:rsid w:val="00BB32BB"/>
    <w:rsid w:val="00BB37A3"/>
    <w:rsid w:val="00BB393C"/>
    <w:rsid w:val="00BB4EEB"/>
    <w:rsid w:val="00BB6FB7"/>
    <w:rsid w:val="00BB76DA"/>
    <w:rsid w:val="00BC1CC6"/>
    <w:rsid w:val="00BC2323"/>
    <w:rsid w:val="00BC24B6"/>
    <w:rsid w:val="00BC2BC1"/>
    <w:rsid w:val="00BC51EB"/>
    <w:rsid w:val="00BC5C8D"/>
    <w:rsid w:val="00BC6232"/>
    <w:rsid w:val="00BC6BC5"/>
    <w:rsid w:val="00BC7E0D"/>
    <w:rsid w:val="00BD04BC"/>
    <w:rsid w:val="00BD05DF"/>
    <w:rsid w:val="00BD3A56"/>
    <w:rsid w:val="00BD3C2E"/>
    <w:rsid w:val="00BD48D0"/>
    <w:rsid w:val="00BD52DF"/>
    <w:rsid w:val="00BD5788"/>
    <w:rsid w:val="00BD5E5E"/>
    <w:rsid w:val="00BD67EA"/>
    <w:rsid w:val="00BE1421"/>
    <w:rsid w:val="00BE1765"/>
    <w:rsid w:val="00BE1F44"/>
    <w:rsid w:val="00BE37B3"/>
    <w:rsid w:val="00BE455A"/>
    <w:rsid w:val="00BE53D4"/>
    <w:rsid w:val="00BE562D"/>
    <w:rsid w:val="00BE5F1F"/>
    <w:rsid w:val="00BE6687"/>
    <w:rsid w:val="00BE76E0"/>
    <w:rsid w:val="00BE7986"/>
    <w:rsid w:val="00BF0CD8"/>
    <w:rsid w:val="00BF3F75"/>
    <w:rsid w:val="00BF3FED"/>
    <w:rsid w:val="00BF422A"/>
    <w:rsid w:val="00BF48C0"/>
    <w:rsid w:val="00BF4934"/>
    <w:rsid w:val="00BF4B11"/>
    <w:rsid w:val="00BF4B86"/>
    <w:rsid w:val="00BF5490"/>
    <w:rsid w:val="00BF629F"/>
    <w:rsid w:val="00BF6D84"/>
    <w:rsid w:val="00C00EF3"/>
    <w:rsid w:val="00C03151"/>
    <w:rsid w:val="00C031F5"/>
    <w:rsid w:val="00C038AB"/>
    <w:rsid w:val="00C038DF"/>
    <w:rsid w:val="00C053B3"/>
    <w:rsid w:val="00C05F98"/>
    <w:rsid w:val="00C06110"/>
    <w:rsid w:val="00C06721"/>
    <w:rsid w:val="00C072B9"/>
    <w:rsid w:val="00C07B4D"/>
    <w:rsid w:val="00C07E2D"/>
    <w:rsid w:val="00C100F5"/>
    <w:rsid w:val="00C10ADD"/>
    <w:rsid w:val="00C11AC0"/>
    <w:rsid w:val="00C1214A"/>
    <w:rsid w:val="00C12ABA"/>
    <w:rsid w:val="00C13EEB"/>
    <w:rsid w:val="00C14054"/>
    <w:rsid w:val="00C14F4F"/>
    <w:rsid w:val="00C1500D"/>
    <w:rsid w:val="00C15377"/>
    <w:rsid w:val="00C16D87"/>
    <w:rsid w:val="00C1725F"/>
    <w:rsid w:val="00C20955"/>
    <w:rsid w:val="00C2185C"/>
    <w:rsid w:val="00C21BEF"/>
    <w:rsid w:val="00C21E82"/>
    <w:rsid w:val="00C23F4A"/>
    <w:rsid w:val="00C24B08"/>
    <w:rsid w:val="00C26412"/>
    <w:rsid w:val="00C303E4"/>
    <w:rsid w:val="00C36804"/>
    <w:rsid w:val="00C36A05"/>
    <w:rsid w:val="00C36DDD"/>
    <w:rsid w:val="00C37434"/>
    <w:rsid w:val="00C37486"/>
    <w:rsid w:val="00C37496"/>
    <w:rsid w:val="00C37B8E"/>
    <w:rsid w:val="00C41E5D"/>
    <w:rsid w:val="00C41FE9"/>
    <w:rsid w:val="00C423EA"/>
    <w:rsid w:val="00C43418"/>
    <w:rsid w:val="00C43AEF"/>
    <w:rsid w:val="00C44713"/>
    <w:rsid w:val="00C46646"/>
    <w:rsid w:val="00C47246"/>
    <w:rsid w:val="00C476B0"/>
    <w:rsid w:val="00C476B5"/>
    <w:rsid w:val="00C5057D"/>
    <w:rsid w:val="00C506FC"/>
    <w:rsid w:val="00C50DCC"/>
    <w:rsid w:val="00C511C1"/>
    <w:rsid w:val="00C52001"/>
    <w:rsid w:val="00C52036"/>
    <w:rsid w:val="00C52D4F"/>
    <w:rsid w:val="00C536B1"/>
    <w:rsid w:val="00C53BF5"/>
    <w:rsid w:val="00C53F17"/>
    <w:rsid w:val="00C55A0C"/>
    <w:rsid w:val="00C55FF0"/>
    <w:rsid w:val="00C56DB1"/>
    <w:rsid w:val="00C56E67"/>
    <w:rsid w:val="00C57034"/>
    <w:rsid w:val="00C61796"/>
    <w:rsid w:val="00C629EC"/>
    <w:rsid w:val="00C6391B"/>
    <w:rsid w:val="00C65631"/>
    <w:rsid w:val="00C65BB1"/>
    <w:rsid w:val="00C65C3D"/>
    <w:rsid w:val="00C70C65"/>
    <w:rsid w:val="00C7142B"/>
    <w:rsid w:val="00C7247D"/>
    <w:rsid w:val="00C72877"/>
    <w:rsid w:val="00C72C8C"/>
    <w:rsid w:val="00C755BD"/>
    <w:rsid w:val="00C75ABF"/>
    <w:rsid w:val="00C764CA"/>
    <w:rsid w:val="00C770F2"/>
    <w:rsid w:val="00C77B05"/>
    <w:rsid w:val="00C77E64"/>
    <w:rsid w:val="00C80280"/>
    <w:rsid w:val="00C810DC"/>
    <w:rsid w:val="00C81741"/>
    <w:rsid w:val="00C8273F"/>
    <w:rsid w:val="00C8354D"/>
    <w:rsid w:val="00C83655"/>
    <w:rsid w:val="00C87421"/>
    <w:rsid w:val="00C902C7"/>
    <w:rsid w:val="00C90F90"/>
    <w:rsid w:val="00C91EBD"/>
    <w:rsid w:val="00C91F75"/>
    <w:rsid w:val="00C937C5"/>
    <w:rsid w:val="00C9427A"/>
    <w:rsid w:val="00C97822"/>
    <w:rsid w:val="00CA1533"/>
    <w:rsid w:val="00CA1AA0"/>
    <w:rsid w:val="00CA2155"/>
    <w:rsid w:val="00CA27E3"/>
    <w:rsid w:val="00CA32CD"/>
    <w:rsid w:val="00CA4450"/>
    <w:rsid w:val="00CA51A8"/>
    <w:rsid w:val="00CA51BA"/>
    <w:rsid w:val="00CA521C"/>
    <w:rsid w:val="00CA7327"/>
    <w:rsid w:val="00CB1AB7"/>
    <w:rsid w:val="00CB1CB1"/>
    <w:rsid w:val="00CB2AD1"/>
    <w:rsid w:val="00CB3BEF"/>
    <w:rsid w:val="00CB5CE4"/>
    <w:rsid w:val="00CB71B8"/>
    <w:rsid w:val="00CC0A52"/>
    <w:rsid w:val="00CC0E74"/>
    <w:rsid w:val="00CC1CE9"/>
    <w:rsid w:val="00CC3493"/>
    <w:rsid w:val="00CC34B8"/>
    <w:rsid w:val="00CC3B28"/>
    <w:rsid w:val="00CC3FBF"/>
    <w:rsid w:val="00CC4719"/>
    <w:rsid w:val="00CC4822"/>
    <w:rsid w:val="00CC49AC"/>
    <w:rsid w:val="00CC6136"/>
    <w:rsid w:val="00CC69CF"/>
    <w:rsid w:val="00CC6B4B"/>
    <w:rsid w:val="00CC6F9E"/>
    <w:rsid w:val="00CD0A17"/>
    <w:rsid w:val="00CD2A4C"/>
    <w:rsid w:val="00CD357C"/>
    <w:rsid w:val="00CD4036"/>
    <w:rsid w:val="00CD45BC"/>
    <w:rsid w:val="00CD4E57"/>
    <w:rsid w:val="00CD52EE"/>
    <w:rsid w:val="00CD5499"/>
    <w:rsid w:val="00CE0557"/>
    <w:rsid w:val="00CE08BB"/>
    <w:rsid w:val="00CE10E6"/>
    <w:rsid w:val="00CE1DFA"/>
    <w:rsid w:val="00CE2151"/>
    <w:rsid w:val="00CE21EB"/>
    <w:rsid w:val="00CE3251"/>
    <w:rsid w:val="00CE325C"/>
    <w:rsid w:val="00CE39EB"/>
    <w:rsid w:val="00CE4860"/>
    <w:rsid w:val="00CE7C16"/>
    <w:rsid w:val="00CF157B"/>
    <w:rsid w:val="00CF1647"/>
    <w:rsid w:val="00CF18E1"/>
    <w:rsid w:val="00CF1968"/>
    <w:rsid w:val="00CF1F55"/>
    <w:rsid w:val="00CF2197"/>
    <w:rsid w:val="00CF33AB"/>
    <w:rsid w:val="00CF3626"/>
    <w:rsid w:val="00CF4123"/>
    <w:rsid w:val="00CF46CA"/>
    <w:rsid w:val="00CF61A7"/>
    <w:rsid w:val="00CF6471"/>
    <w:rsid w:val="00CF708B"/>
    <w:rsid w:val="00CF74E8"/>
    <w:rsid w:val="00D01081"/>
    <w:rsid w:val="00D01A37"/>
    <w:rsid w:val="00D01CA8"/>
    <w:rsid w:val="00D02742"/>
    <w:rsid w:val="00D02A60"/>
    <w:rsid w:val="00D04151"/>
    <w:rsid w:val="00D05115"/>
    <w:rsid w:val="00D0657C"/>
    <w:rsid w:val="00D06F4C"/>
    <w:rsid w:val="00D07BAF"/>
    <w:rsid w:val="00D07BBE"/>
    <w:rsid w:val="00D10B58"/>
    <w:rsid w:val="00D11447"/>
    <w:rsid w:val="00D119D1"/>
    <w:rsid w:val="00D13342"/>
    <w:rsid w:val="00D134D1"/>
    <w:rsid w:val="00D16729"/>
    <w:rsid w:val="00D16E82"/>
    <w:rsid w:val="00D171A6"/>
    <w:rsid w:val="00D2055B"/>
    <w:rsid w:val="00D2235A"/>
    <w:rsid w:val="00D23191"/>
    <w:rsid w:val="00D24C21"/>
    <w:rsid w:val="00D24CDD"/>
    <w:rsid w:val="00D24DF6"/>
    <w:rsid w:val="00D2588A"/>
    <w:rsid w:val="00D30F47"/>
    <w:rsid w:val="00D3116D"/>
    <w:rsid w:val="00D31AD9"/>
    <w:rsid w:val="00D31D69"/>
    <w:rsid w:val="00D36145"/>
    <w:rsid w:val="00D36C7A"/>
    <w:rsid w:val="00D36CDB"/>
    <w:rsid w:val="00D36E29"/>
    <w:rsid w:val="00D402B9"/>
    <w:rsid w:val="00D4037C"/>
    <w:rsid w:val="00D4106D"/>
    <w:rsid w:val="00D41162"/>
    <w:rsid w:val="00D41A48"/>
    <w:rsid w:val="00D43DE3"/>
    <w:rsid w:val="00D43E06"/>
    <w:rsid w:val="00D44345"/>
    <w:rsid w:val="00D45AEF"/>
    <w:rsid w:val="00D47BBB"/>
    <w:rsid w:val="00D50664"/>
    <w:rsid w:val="00D50E52"/>
    <w:rsid w:val="00D510CF"/>
    <w:rsid w:val="00D515E8"/>
    <w:rsid w:val="00D52222"/>
    <w:rsid w:val="00D52267"/>
    <w:rsid w:val="00D52D0B"/>
    <w:rsid w:val="00D53227"/>
    <w:rsid w:val="00D53429"/>
    <w:rsid w:val="00D549F6"/>
    <w:rsid w:val="00D54DFF"/>
    <w:rsid w:val="00D5519A"/>
    <w:rsid w:val="00D55430"/>
    <w:rsid w:val="00D565E3"/>
    <w:rsid w:val="00D57161"/>
    <w:rsid w:val="00D57D3B"/>
    <w:rsid w:val="00D60A30"/>
    <w:rsid w:val="00D60B68"/>
    <w:rsid w:val="00D61C5B"/>
    <w:rsid w:val="00D63B8A"/>
    <w:rsid w:val="00D656BB"/>
    <w:rsid w:val="00D6791B"/>
    <w:rsid w:val="00D707C5"/>
    <w:rsid w:val="00D71541"/>
    <w:rsid w:val="00D7275E"/>
    <w:rsid w:val="00D72822"/>
    <w:rsid w:val="00D77142"/>
    <w:rsid w:val="00D772B2"/>
    <w:rsid w:val="00D77EEB"/>
    <w:rsid w:val="00D81886"/>
    <w:rsid w:val="00D82740"/>
    <w:rsid w:val="00D828E0"/>
    <w:rsid w:val="00D82929"/>
    <w:rsid w:val="00D829BC"/>
    <w:rsid w:val="00D84977"/>
    <w:rsid w:val="00D849B1"/>
    <w:rsid w:val="00D8526A"/>
    <w:rsid w:val="00D86602"/>
    <w:rsid w:val="00D8660F"/>
    <w:rsid w:val="00D86D58"/>
    <w:rsid w:val="00D86D74"/>
    <w:rsid w:val="00D87332"/>
    <w:rsid w:val="00D87882"/>
    <w:rsid w:val="00D90AAF"/>
    <w:rsid w:val="00D93140"/>
    <w:rsid w:val="00D93B3E"/>
    <w:rsid w:val="00D94102"/>
    <w:rsid w:val="00D95780"/>
    <w:rsid w:val="00D95997"/>
    <w:rsid w:val="00D95B34"/>
    <w:rsid w:val="00D96159"/>
    <w:rsid w:val="00D96659"/>
    <w:rsid w:val="00D96FC6"/>
    <w:rsid w:val="00D975CE"/>
    <w:rsid w:val="00D97739"/>
    <w:rsid w:val="00D97FD4"/>
    <w:rsid w:val="00DA0548"/>
    <w:rsid w:val="00DA0C23"/>
    <w:rsid w:val="00DA1407"/>
    <w:rsid w:val="00DA2538"/>
    <w:rsid w:val="00DA27C3"/>
    <w:rsid w:val="00DA38F2"/>
    <w:rsid w:val="00DA4C63"/>
    <w:rsid w:val="00DA51EE"/>
    <w:rsid w:val="00DA54B2"/>
    <w:rsid w:val="00DA5757"/>
    <w:rsid w:val="00DA5C51"/>
    <w:rsid w:val="00DA79B2"/>
    <w:rsid w:val="00DB2ABF"/>
    <w:rsid w:val="00DB3DEB"/>
    <w:rsid w:val="00DB4577"/>
    <w:rsid w:val="00DB7972"/>
    <w:rsid w:val="00DC1D07"/>
    <w:rsid w:val="00DC1ED5"/>
    <w:rsid w:val="00DC202E"/>
    <w:rsid w:val="00DC369A"/>
    <w:rsid w:val="00DC387E"/>
    <w:rsid w:val="00DC414F"/>
    <w:rsid w:val="00DC42BE"/>
    <w:rsid w:val="00DC5355"/>
    <w:rsid w:val="00DC591A"/>
    <w:rsid w:val="00DC5BAA"/>
    <w:rsid w:val="00DC7C65"/>
    <w:rsid w:val="00DD17C5"/>
    <w:rsid w:val="00DD3C1C"/>
    <w:rsid w:val="00DD3FC3"/>
    <w:rsid w:val="00DD714C"/>
    <w:rsid w:val="00DD7712"/>
    <w:rsid w:val="00DD7CD4"/>
    <w:rsid w:val="00DE0103"/>
    <w:rsid w:val="00DE0272"/>
    <w:rsid w:val="00DE0550"/>
    <w:rsid w:val="00DE333A"/>
    <w:rsid w:val="00DE3CC2"/>
    <w:rsid w:val="00DE43C8"/>
    <w:rsid w:val="00DE45D1"/>
    <w:rsid w:val="00DE566D"/>
    <w:rsid w:val="00DE5F4D"/>
    <w:rsid w:val="00DE7C53"/>
    <w:rsid w:val="00DF0879"/>
    <w:rsid w:val="00DF0EC8"/>
    <w:rsid w:val="00DF13B0"/>
    <w:rsid w:val="00DF2654"/>
    <w:rsid w:val="00DF29E3"/>
    <w:rsid w:val="00DF61A8"/>
    <w:rsid w:val="00DF6AE2"/>
    <w:rsid w:val="00E0046A"/>
    <w:rsid w:val="00E024EC"/>
    <w:rsid w:val="00E02738"/>
    <w:rsid w:val="00E03276"/>
    <w:rsid w:val="00E03471"/>
    <w:rsid w:val="00E036C6"/>
    <w:rsid w:val="00E03835"/>
    <w:rsid w:val="00E050B9"/>
    <w:rsid w:val="00E06714"/>
    <w:rsid w:val="00E07DC0"/>
    <w:rsid w:val="00E13D08"/>
    <w:rsid w:val="00E1426E"/>
    <w:rsid w:val="00E143DA"/>
    <w:rsid w:val="00E14745"/>
    <w:rsid w:val="00E14843"/>
    <w:rsid w:val="00E159B0"/>
    <w:rsid w:val="00E17863"/>
    <w:rsid w:val="00E21086"/>
    <w:rsid w:val="00E2127D"/>
    <w:rsid w:val="00E213BC"/>
    <w:rsid w:val="00E2471A"/>
    <w:rsid w:val="00E25157"/>
    <w:rsid w:val="00E255A4"/>
    <w:rsid w:val="00E26789"/>
    <w:rsid w:val="00E26EF5"/>
    <w:rsid w:val="00E271F3"/>
    <w:rsid w:val="00E31A2A"/>
    <w:rsid w:val="00E31EEA"/>
    <w:rsid w:val="00E337E6"/>
    <w:rsid w:val="00E34676"/>
    <w:rsid w:val="00E3556E"/>
    <w:rsid w:val="00E35642"/>
    <w:rsid w:val="00E36DAC"/>
    <w:rsid w:val="00E37755"/>
    <w:rsid w:val="00E37B92"/>
    <w:rsid w:val="00E409A2"/>
    <w:rsid w:val="00E418CB"/>
    <w:rsid w:val="00E41DAC"/>
    <w:rsid w:val="00E41FB6"/>
    <w:rsid w:val="00E42816"/>
    <w:rsid w:val="00E42BF6"/>
    <w:rsid w:val="00E42FFD"/>
    <w:rsid w:val="00E431FC"/>
    <w:rsid w:val="00E43EBB"/>
    <w:rsid w:val="00E44AC3"/>
    <w:rsid w:val="00E454A6"/>
    <w:rsid w:val="00E46DD4"/>
    <w:rsid w:val="00E47E22"/>
    <w:rsid w:val="00E50732"/>
    <w:rsid w:val="00E51C67"/>
    <w:rsid w:val="00E531D5"/>
    <w:rsid w:val="00E53C48"/>
    <w:rsid w:val="00E5464E"/>
    <w:rsid w:val="00E54678"/>
    <w:rsid w:val="00E546EB"/>
    <w:rsid w:val="00E54DB1"/>
    <w:rsid w:val="00E561BA"/>
    <w:rsid w:val="00E56321"/>
    <w:rsid w:val="00E56957"/>
    <w:rsid w:val="00E6026F"/>
    <w:rsid w:val="00E6043F"/>
    <w:rsid w:val="00E60AE9"/>
    <w:rsid w:val="00E6141F"/>
    <w:rsid w:val="00E62A77"/>
    <w:rsid w:val="00E630D9"/>
    <w:rsid w:val="00E63110"/>
    <w:rsid w:val="00E6399D"/>
    <w:rsid w:val="00E63C86"/>
    <w:rsid w:val="00E6416A"/>
    <w:rsid w:val="00E6458E"/>
    <w:rsid w:val="00E64856"/>
    <w:rsid w:val="00E64FA6"/>
    <w:rsid w:val="00E650A5"/>
    <w:rsid w:val="00E65DE7"/>
    <w:rsid w:val="00E66C02"/>
    <w:rsid w:val="00E678E4"/>
    <w:rsid w:val="00E67B6F"/>
    <w:rsid w:val="00E67B79"/>
    <w:rsid w:val="00E702D2"/>
    <w:rsid w:val="00E7051A"/>
    <w:rsid w:val="00E7118D"/>
    <w:rsid w:val="00E7161B"/>
    <w:rsid w:val="00E716BE"/>
    <w:rsid w:val="00E7182F"/>
    <w:rsid w:val="00E7189A"/>
    <w:rsid w:val="00E7260D"/>
    <w:rsid w:val="00E745C7"/>
    <w:rsid w:val="00E769EB"/>
    <w:rsid w:val="00E77144"/>
    <w:rsid w:val="00E77299"/>
    <w:rsid w:val="00E774A5"/>
    <w:rsid w:val="00E77B8D"/>
    <w:rsid w:val="00E80EC3"/>
    <w:rsid w:val="00E81E78"/>
    <w:rsid w:val="00E82A5B"/>
    <w:rsid w:val="00E83EDD"/>
    <w:rsid w:val="00E851E8"/>
    <w:rsid w:val="00E85247"/>
    <w:rsid w:val="00E85A25"/>
    <w:rsid w:val="00E86305"/>
    <w:rsid w:val="00E86529"/>
    <w:rsid w:val="00E87C40"/>
    <w:rsid w:val="00E9104E"/>
    <w:rsid w:val="00E91263"/>
    <w:rsid w:val="00E926A6"/>
    <w:rsid w:val="00E943A1"/>
    <w:rsid w:val="00E946CD"/>
    <w:rsid w:val="00E94BC1"/>
    <w:rsid w:val="00EA0889"/>
    <w:rsid w:val="00EA0D2C"/>
    <w:rsid w:val="00EA1034"/>
    <w:rsid w:val="00EA1A2C"/>
    <w:rsid w:val="00EA240B"/>
    <w:rsid w:val="00EA30BB"/>
    <w:rsid w:val="00EA3B0E"/>
    <w:rsid w:val="00EA4676"/>
    <w:rsid w:val="00EA4BD2"/>
    <w:rsid w:val="00EA4F31"/>
    <w:rsid w:val="00EA4F92"/>
    <w:rsid w:val="00EA5470"/>
    <w:rsid w:val="00EA6E41"/>
    <w:rsid w:val="00EA7098"/>
    <w:rsid w:val="00EA774C"/>
    <w:rsid w:val="00EA7C23"/>
    <w:rsid w:val="00EA7E9A"/>
    <w:rsid w:val="00EB00E5"/>
    <w:rsid w:val="00EB0893"/>
    <w:rsid w:val="00EB18F1"/>
    <w:rsid w:val="00EB1D42"/>
    <w:rsid w:val="00EB241B"/>
    <w:rsid w:val="00EB24B0"/>
    <w:rsid w:val="00EB25E8"/>
    <w:rsid w:val="00EB3DDA"/>
    <w:rsid w:val="00EB436B"/>
    <w:rsid w:val="00EB54CE"/>
    <w:rsid w:val="00EB5A2D"/>
    <w:rsid w:val="00EB7627"/>
    <w:rsid w:val="00EC10DE"/>
    <w:rsid w:val="00EC2C14"/>
    <w:rsid w:val="00EC3D8F"/>
    <w:rsid w:val="00EC3F08"/>
    <w:rsid w:val="00EC41E6"/>
    <w:rsid w:val="00EC421E"/>
    <w:rsid w:val="00EC561B"/>
    <w:rsid w:val="00EC59FD"/>
    <w:rsid w:val="00EC6A45"/>
    <w:rsid w:val="00ED0D95"/>
    <w:rsid w:val="00ED23BC"/>
    <w:rsid w:val="00ED4526"/>
    <w:rsid w:val="00ED4C6F"/>
    <w:rsid w:val="00ED4E9A"/>
    <w:rsid w:val="00ED522B"/>
    <w:rsid w:val="00ED7200"/>
    <w:rsid w:val="00ED73FC"/>
    <w:rsid w:val="00ED785A"/>
    <w:rsid w:val="00EE0F38"/>
    <w:rsid w:val="00EE12EB"/>
    <w:rsid w:val="00EE20C5"/>
    <w:rsid w:val="00EE2BAF"/>
    <w:rsid w:val="00EE3BD2"/>
    <w:rsid w:val="00EE3C6A"/>
    <w:rsid w:val="00EE52F9"/>
    <w:rsid w:val="00EE5421"/>
    <w:rsid w:val="00EE6004"/>
    <w:rsid w:val="00EF0943"/>
    <w:rsid w:val="00EF1C39"/>
    <w:rsid w:val="00EF1EC3"/>
    <w:rsid w:val="00EF2361"/>
    <w:rsid w:val="00EF3991"/>
    <w:rsid w:val="00EF3CAA"/>
    <w:rsid w:val="00EF5600"/>
    <w:rsid w:val="00EF5944"/>
    <w:rsid w:val="00EF68DF"/>
    <w:rsid w:val="00F00F98"/>
    <w:rsid w:val="00F012F4"/>
    <w:rsid w:val="00F01A75"/>
    <w:rsid w:val="00F027C0"/>
    <w:rsid w:val="00F057B1"/>
    <w:rsid w:val="00F06580"/>
    <w:rsid w:val="00F07404"/>
    <w:rsid w:val="00F07CE2"/>
    <w:rsid w:val="00F126B6"/>
    <w:rsid w:val="00F13771"/>
    <w:rsid w:val="00F13BD4"/>
    <w:rsid w:val="00F142D4"/>
    <w:rsid w:val="00F14623"/>
    <w:rsid w:val="00F14F44"/>
    <w:rsid w:val="00F14F6F"/>
    <w:rsid w:val="00F16633"/>
    <w:rsid w:val="00F16C13"/>
    <w:rsid w:val="00F16CA9"/>
    <w:rsid w:val="00F177ED"/>
    <w:rsid w:val="00F21476"/>
    <w:rsid w:val="00F2286B"/>
    <w:rsid w:val="00F2379A"/>
    <w:rsid w:val="00F244F7"/>
    <w:rsid w:val="00F27C33"/>
    <w:rsid w:val="00F30920"/>
    <w:rsid w:val="00F30B83"/>
    <w:rsid w:val="00F3153F"/>
    <w:rsid w:val="00F31574"/>
    <w:rsid w:val="00F3235E"/>
    <w:rsid w:val="00F32CF2"/>
    <w:rsid w:val="00F32D10"/>
    <w:rsid w:val="00F34DA3"/>
    <w:rsid w:val="00F362EF"/>
    <w:rsid w:val="00F36F69"/>
    <w:rsid w:val="00F42073"/>
    <w:rsid w:val="00F43C31"/>
    <w:rsid w:val="00F44D90"/>
    <w:rsid w:val="00F464EC"/>
    <w:rsid w:val="00F53288"/>
    <w:rsid w:val="00F5355A"/>
    <w:rsid w:val="00F53F3D"/>
    <w:rsid w:val="00F5432B"/>
    <w:rsid w:val="00F54404"/>
    <w:rsid w:val="00F54F19"/>
    <w:rsid w:val="00F5501E"/>
    <w:rsid w:val="00F55668"/>
    <w:rsid w:val="00F55B77"/>
    <w:rsid w:val="00F5698C"/>
    <w:rsid w:val="00F57D3F"/>
    <w:rsid w:val="00F64378"/>
    <w:rsid w:val="00F647F3"/>
    <w:rsid w:val="00F66821"/>
    <w:rsid w:val="00F6694B"/>
    <w:rsid w:val="00F671F4"/>
    <w:rsid w:val="00F67C50"/>
    <w:rsid w:val="00F67F0B"/>
    <w:rsid w:val="00F71877"/>
    <w:rsid w:val="00F73D07"/>
    <w:rsid w:val="00F73F7D"/>
    <w:rsid w:val="00F755D6"/>
    <w:rsid w:val="00F75C2D"/>
    <w:rsid w:val="00F76C91"/>
    <w:rsid w:val="00F779AC"/>
    <w:rsid w:val="00F806FF"/>
    <w:rsid w:val="00F80E3F"/>
    <w:rsid w:val="00F80FE9"/>
    <w:rsid w:val="00F81117"/>
    <w:rsid w:val="00F81267"/>
    <w:rsid w:val="00F81400"/>
    <w:rsid w:val="00F8167F"/>
    <w:rsid w:val="00F81F12"/>
    <w:rsid w:val="00F8256C"/>
    <w:rsid w:val="00F82AF4"/>
    <w:rsid w:val="00F83696"/>
    <w:rsid w:val="00F855F0"/>
    <w:rsid w:val="00F861A1"/>
    <w:rsid w:val="00F874D8"/>
    <w:rsid w:val="00F902E7"/>
    <w:rsid w:val="00F9032F"/>
    <w:rsid w:val="00F91C95"/>
    <w:rsid w:val="00F91EE7"/>
    <w:rsid w:val="00F925D8"/>
    <w:rsid w:val="00F92C01"/>
    <w:rsid w:val="00F93739"/>
    <w:rsid w:val="00F97BAD"/>
    <w:rsid w:val="00F97C8C"/>
    <w:rsid w:val="00FA1BDD"/>
    <w:rsid w:val="00FA3C41"/>
    <w:rsid w:val="00FA50C6"/>
    <w:rsid w:val="00FA540A"/>
    <w:rsid w:val="00FA6543"/>
    <w:rsid w:val="00FA6A14"/>
    <w:rsid w:val="00FA6E5B"/>
    <w:rsid w:val="00FB0B38"/>
    <w:rsid w:val="00FB0ED8"/>
    <w:rsid w:val="00FB2A4B"/>
    <w:rsid w:val="00FB3C00"/>
    <w:rsid w:val="00FB51D4"/>
    <w:rsid w:val="00FB5256"/>
    <w:rsid w:val="00FB5824"/>
    <w:rsid w:val="00FB7D32"/>
    <w:rsid w:val="00FC4825"/>
    <w:rsid w:val="00FC4A7B"/>
    <w:rsid w:val="00FC4CF9"/>
    <w:rsid w:val="00FC5FAC"/>
    <w:rsid w:val="00FC6B6E"/>
    <w:rsid w:val="00FC6ECE"/>
    <w:rsid w:val="00FC7079"/>
    <w:rsid w:val="00FC7AFF"/>
    <w:rsid w:val="00FD0A80"/>
    <w:rsid w:val="00FD0E33"/>
    <w:rsid w:val="00FD1FE0"/>
    <w:rsid w:val="00FD207D"/>
    <w:rsid w:val="00FD39B4"/>
    <w:rsid w:val="00FD3B6F"/>
    <w:rsid w:val="00FD4A0E"/>
    <w:rsid w:val="00FD4CF3"/>
    <w:rsid w:val="00FD5251"/>
    <w:rsid w:val="00FD5285"/>
    <w:rsid w:val="00FD5A32"/>
    <w:rsid w:val="00FD61DD"/>
    <w:rsid w:val="00FD6740"/>
    <w:rsid w:val="00FD7238"/>
    <w:rsid w:val="00FD759D"/>
    <w:rsid w:val="00FE0011"/>
    <w:rsid w:val="00FE1F2F"/>
    <w:rsid w:val="00FE25F8"/>
    <w:rsid w:val="00FE308A"/>
    <w:rsid w:val="00FE7020"/>
    <w:rsid w:val="00FF0F15"/>
    <w:rsid w:val="00FF13D5"/>
    <w:rsid w:val="00FF1B36"/>
    <w:rsid w:val="00FF2A26"/>
    <w:rsid w:val="00FF2AB9"/>
    <w:rsid w:val="00FF3E41"/>
    <w:rsid w:val="00FF59B8"/>
    <w:rsid w:val="00FF6505"/>
    <w:rsid w:val="00FF655D"/>
    <w:rsid w:val="00FF6894"/>
    <w:rsid w:val="00FF6974"/>
    <w:rsid w:val="015C4A37"/>
    <w:rsid w:val="01C16C39"/>
    <w:rsid w:val="021159BD"/>
    <w:rsid w:val="024CC23B"/>
    <w:rsid w:val="029AC603"/>
    <w:rsid w:val="032D2B0D"/>
    <w:rsid w:val="035F8469"/>
    <w:rsid w:val="039EC311"/>
    <w:rsid w:val="03B15681"/>
    <w:rsid w:val="041740DB"/>
    <w:rsid w:val="04F3F7E8"/>
    <w:rsid w:val="05A41B59"/>
    <w:rsid w:val="05BA3913"/>
    <w:rsid w:val="0683C489"/>
    <w:rsid w:val="0740D515"/>
    <w:rsid w:val="0743F55C"/>
    <w:rsid w:val="07B3E2B4"/>
    <w:rsid w:val="0822873B"/>
    <w:rsid w:val="0828B7A6"/>
    <w:rsid w:val="086699A8"/>
    <w:rsid w:val="08C99307"/>
    <w:rsid w:val="09DE4570"/>
    <w:rsid w:val="09E9FB62"/>
    <w:rsid w:val="0A1BAF18"/>
    <w:rsid w:val="0A5565B8"/>
    <w:rsid w:val="0A9F25A8"/>
    <w:rsid w:val="0AC94FA0"/>
    <w:rsid w:val="0B9891D6"/>
    <w:rsid w:val="0BA41758"/>
    <w:rsid w:val="0BB09B31"/>
    <w:rsid w:val="0BCF4A74"/>
    <w:rsid w:val="0C197D96"/>
    <w:rsid w:val="0C43179B"/>
    <w:rsid w:val="0C6C72A4"/>
    <w:rsid w:val="0C7566D7"/>
    <w:rsid w:val="0C81BDDC"/>
    <w:rsid w:val="0CE0048E"/>
    <w:rsid w:val="0D1C1B03"/>
    <w:rsid w:val="0D52EE23"/>
    <w:rsid w:val="0D821EB5"/>
    <w:rsid w:val="0D851198"/>
    <w:rsid w:val="0D85B403"/>
    <w:rsid w:val="0DFD03AC"/>
    <w:rsid w:val="0E1FD6FF"/>
    <w:rsid w:val="0E2A0BC9"/>
    <w:rsid w:val="0EABED20"/>
    <w:rsid w:val="0F16FE4E"/>
    <w:rsid w:val="0F2A9C67"/>
    <w:rsid w:val="0F74FCF9"/>
    <w:rsid w:val="0FA5FDE8"/>
    <w:rsid w:val="0FAC134C"/>
    <w:rsid w:val="10607A77"/>
    <w:rsid w:val="1094519E"/>
    <w:rsid w:val="10FE2C52"/>
    <w:rsid w:val="1137D33A"/>
    <w:rsid w:val="12025ADB"/>
    <w:rsid w:val="127BBFA3"/>
    <w:rsid w:val="12817822"/>
    <w:rsid w:val="12A9D403"/>
    <w:rsid w:val="12B931D6"/>
    <w:rsid w:val="12DE2B43"/>
    <w:rsid w:val="1355C5E1"/>
    <w:rsid w:val="13980471"/>
    <w:rsid w:val="13F78729"/>
    <w:rsid w:val="13FEC033"/>
    <w:rsid w:val="145D3EBE"/>
    <w:rsid w:val="14FE63B2"/>
    <w:rsid w:val="1570FCCC"/>
    <w:rsid w:val="15F4DF5A"/>
    <w:rsid w:val="174C1FD8"/>
    <w:rsid w:val="177CC451"/>
    <w:rsid w:val="17DA4432"/>
    <w:rsid w:val="185163EA"/>
    <w:rsid w:val="18727AE3"/>
    <w:rsid w:val="1896C320"/>
    <w:rsid w:val="19038B5C"/>
    <w:rsid w:val="19A7A08E"/>
    <w:rsid w:val="19B0098E"/>
    <w:rsid w:val="19BCF017"/>
    <w:rsid w:val="19E4B2D4"/>
    <w:rsid w:val="19FE200B"/>
    <w:rsid w:val="1AC1ED99"/>
    <w:rsid w:val="1AF5D2BF"/>
    <w:rsid w:val="1B6EF466"/>
    <w:rsid w:val="1BA89437"/>
    <w:rsid w:val="1BD201A5"/>
    <w:rsid w:val="1BDE48C3"/>
    <w:rsid w:val="1C0FCE59"/>
    <w:rsid w:val="1C1ABACD"/>
    <w:rsid w:val="1C851474"/>
    <w:rsid w:val="1CF771E7"/>
    <w:rsid w:val="1DD2D19B"/>
    <w:rsid w:val="1E350A24"/>
    <w:rsid w:val="1E3B6D9A"/>
    <w:rsid w:val="1E4D9E8E"/>
    <w:rsid w:val="1E75F41D"/>
    <w:rsid w:val="1EA2393B"/>
    <w:rsid w:val="1EB52FC6"/>
    <w:rsid w:val="1ECB9B83"/>
    <w:rsid w:val="1F469F93"/>
    <w:rsid w:val="1F6D522D"/>
    <w:rsid w:val="1F82E91A"/>
    <w:rsid w:val="205581F0"/>
    <w:rsid w:val="20851E60"/>
    <w:rsid w:val="2093323C"/>
    <w:rsid w:val="20AC7CBA"/>
    <w:rsid w:val="2120B432"/>
    <w:rsid w:val="217D64AA"/>
    <w:rsid w:val="218F0924"/>
    <w:rsid w:val="219CD186"/>
    <w:rsid w:val="220C41A2"/>
    <w:rsid w:val="22CF05D3"/>
    <w:rsid w:val="22D572D5"/>
    <w:rsid w:val="22D851A6"/>
    <w:rsid w:val="23712D70"/>
    <w:rsid w:val="237DDB99"/>
    <w:rsid w:val="23C99739"/>
    <w:rsid w:val="2456E30A"/>
    <w:rsid w:val="247D3302"/>
    <w:rsid w:val="24E609A4"/>
    <w:rsid w:val="2527F948"/>
    <w:rsid w:val="253BA740"/>
    <w:rsid w:val="25672D3F"/>
    <w:rsid w:val="257B198D"/>
    <w:rsid w:val="2604107B"/>
    <w:rsid w:val="266B1613"/>
    <w:rsid w:val="26D32500"/>
    <w:rsid w:val="26DF661C"/>
    <w:rsid w:val="27E9E714"/>
    <w:rsid w:val="286F0259"/>
    <w:rsid w:val="288D3159"/>
    <w:rsid w:val="28B0268B"/>
    <w:rsid w:val="28C0937F"/>
    <w:rsid w:val="296DF480"/>
    <w:rsid w:val="29BBFF07"/>
    <w:rsid w:val="29C112C3"/>
    <w:rsid w:val="29EED86F"/>
    <w:rsid w:val="2A53034B"/>
    <w:rsid w:val="2A718D41"/>
    <w:rsid w:val="2B55F342"/>
    <w:rsid w:val="2BC9AAD0"/>
    <w:rsid w:val="2BEDE0DE"/>
    <w:rsid w:val="2C06A2F7"/>
    <w:rsid w:val="2C0895E7"/>
    <w:rsid w:val="2C6841BE"/>
    <w:rsid w:val="2CC7274B"/>
    <w:rsid w:val="2D0B7D2F"/>
    <w:rsid w:val="2D292D03"/>
    <w:rsid w:val="2D96D266"/>
    <w:rsid w:val="2DAB530C"/>
    <w:rsid w:val="2DF72BB7"/>
    <w:rsid w:val="2DF978F7"/>
    <w:rsid w:val="2E18F594"/>
    <w:rsid w:val="2E1EBBFA"/>
    <w:rsid w:val="2E50DBBB"/>
    <w:rsid w:val="2E5F34DD"/>
    <w:rsid w:val="2EAFFF9D"/>
    <w:rsid w:val="2EF4EEEB"/>
    <w:rsid w:val="2EF783A4"/>
    <w:rsid w:val="2F2DAFD2"/>
    <w:rsid w:val="2F8CF54B"/>
    <w:rsid w:val="2FB712EF"/>
    <w:rsid w:val="2FE2CBDD"/>
    <w:rsid w:val="2FF23B31"/>
    <w:rsid w:val="3043584B"/>
    <w:rsid w:val="308E79D2"/>
    <w:rsid w:val="30BD5556"/>
    <w:rsid w:val="30CCF08A"/>
    <w:rsid w:val="30F7F2B7"/>
    <w:rsid w:val="311C4E92"/>
    <w:rsid w:val="31223E1F"/>
    <w:rsid w:val="3147F4C6"/>
    <w:rsid w:val="3165A1EB"/>
    <w:rsid w:val="31795A3F"/>
    <w:rsid w:val="31822483"/>
    <w:rsid w:val="318C1A8F"/>
    <w:rsid w:val="31D58D10"/>
    <w:rsid w:val="322CE22B"/>
    <w:rsid w:val="324132A8"/>
    <w:rsid w:val="328ECFB5"/>
    <w:rsid w:val="32CBB229"/>
    <w:rsid w:val="33064163"/>
    <w:rsid w:val="339EC0F2"/>
    <w:rsid w:val="3429BA2F"/>
    <w:rsid w:val="34C360D7"/>
    <w:rsid w:val="35DA8075"/>
    <w:rsid w:val="35F86802"/>
    <w:rsid w:val="36312172"/>
    <w:rsid w:val="36657D7B"/>
    <w:rsid w:val="3667D978"/>
    <w:rsid w:val="36D2C10F"/>
    <w:rsid w:val="36FCB8DE"/>
    <w:rsid w:val="376AE01F"/>
    <w:rsid w:val="37BC19A4"/>
    <w:rsid w:val="3866327D"/>
    <w:rsid w:val="389A8871"/>
    <w:rsid w:val="39453213"/>
    <w:rsid w:val="39663FFC"/>
    <w:rsid w:val="3AA7B5FD"/>
    <w:rsid w:val="3AF976E3"/>
    <w:rsid w:val="3B380FA8"/>
    <w:rsid w:val="3BA20825"/>
    <w:rsid w:val="3BE1427F"/>
    <w:rsid w:val="3BEE3507"/>
    <w:rsid w:val="3BEFC8FF"/>
    <w:rsid w:val="3C19F653"/>
    <w:rsid w:val="3C65FA63"/>
    <w:rsid w:val="3C865C33"/>
    <w:rsid w:val="3CA53D4A"/>
    <w:rsid w:val="3D03F62B"/>
    <w:rsid w:val="3D4116C1"/>
    <w:rsid w:val="3D9504C2"/>
    <w:rsid w:val="3DA32AE4"/>
    <w:rsid w:val="3E1DD346"/>
    <w:rsid w:val="3EDD6F5B"/>
    <w:rsid w:val="3F2DF5CF"/>
    <w:rsid w:val="3F5A60F0"/>
    <w:rsid w:val="3FA08ED5"/>
    <w:rsid w:val="4057976C"/>
    <w:rsid w:val="4076D81D"/>
    <w:rsid w:val="40E6DE1A"/>
    <w:rsid w:val="40F9BCEE"/>
    <w:rsid w:val="41032F25"/>
    <w:rsid w:val="41B41E75"/>
    <w:rsid w:val="41D8FAD5"/>
    <w:rsid w:val="420E9ED1"/>
    <w:rsid w:val="421E39CF"/>
    <w:rsid w:val="427AE42E"/>
    <w:rsid w:val="42C60805"/>
    <w:rsid w:val="42C74493"/>
    <w:rsid w:val="44663E35"/>
    <w:rsid w:val="44664D82"/>
    <w:rsid w:val="446FDB7A"/>
    <w:rsid w:val="451BD5A5"/>
    <w:rsid w:val="452BF07B"/>
    <w:rsid w:val="4628518A"/>
    <w:rsid w:val="46442482"/>
    <w:rsid w:val="46783E18"/>
    <w:rsid w:val="46884D2C"/>
    <w:rsid w:val="46F6EC47"/>
    <w:rsid w:val="473FEA22"/>
    <w:rsid w:val="4771FCBD"/>
    <w:rsid w:val="4786F605"/>
    <w:rsid w:val="47F2E45F"/>
    <w:rsid w:val="481AFD68"/>
    <w:rsid w:val="4841FC2B"/>
    <w:rsid w:val="48726ED6"/>
    <w:rsid w:val="487B4EFA"/>
    <w:rsid w:val="48871028"/>
    <w:rsid w:val="48878C84"/>
    <w:rsid w:val="488FA6F9"/>
    <w:rsid w:val="4930ABBC"/>
    <w:rsid w:val="49826465"/>
    <w:rsid w:val="499A208E"/>
    <w:rsid w:val="49DA0BFD"/>
    <w:rsid w:val="4A437BBA"/>
    <w:rsid w:val="4A86961D"/>
    <w:rsid w:val="4AAB0FD1"/>
    <w:rsid w:val="4AD0A361"/>
    <w:rsid w:val="4B49FBD0"/>
    <w:rsid w:val="4BAB3890"/>
    <w:rsid w:val="4BE23851"/>
    <w:rsid w:val="4C1A65AD"/>
    <w:rsid w:val="4C489602"/>
    <w:rsid w:val="4DA8EBC8"/>
    <w:rsid w:val="4DFF3559"/>
    <w:rsid w:val="4E302629"/>
    <w:rsid w:val="4E311C3B"/>
    <w:rsid w:val="4E6E5B02"/>
    <w:rsid w:val="4E856A44"/>
    <w:rsid w:val="4F355D89"/>
    <w:rsid w:val="4F6ADD72"/>
    <w:rsid w:val="50022644"/>
    <w:rsid w:val="500BDEB3"/>
    <w:rsid w:val="5044523C"/>
    <w:rsid w:val="50933E8D"/>
    <w:rsid w:val="5102F6B1"/>
    <w:rsid w:val="513859DC"/>
    <w:rsid w:val="513A1D31"/>
    <w:rsid w:val="51416254"/>
    <w:rsid w:val="51A1B0B2"/>
    <w:rsid w:val="51D4F6DE"/>
    <w:rsid w:val="51E43C4B"/>
    <w:rsid w:val="51F3FA65"/>
    <w:rsid w:val="52365D07"/>
    <w:rsid w:val="5248375A"/>
    <w:rsid w:val="52D0EBA7"/>
    <w:rsid w:val="52FCB718"/>
    <w:rsid w:val="53A93471"/>
    <w:rsid w:val="53C89C49"/>
    <w:rsid w:val="54733262"/>
    <w:rsid w:val="547E07CF"/>
    <w:rsid w:val="55832091"/>
    <w:rsid w:val="55C44F83"/>
    <w:rsid w:val="55FA7FC8"/>
    <w:rsid w:val="560D4FD7"/>
    <w:rsid w:val="562AB382"/>
    <w:rsid w:val="564D7039"/>
    <w:rsid w:val="564E5D36"/>
    <w:rsid w:val="5684BC7E"/>
    <w:rsid w:val="56879CD6"/>
    <w:rsid w:val="56E10768"/>
    <w:rsid w:val="56E300A1"/>
    <w:rsid w:val="57708F90"/>
    <w:rsid w:val="57BDA5AB"/>
    <w:rsid w:val="57F4D05E"/>
    <w:rsid w:val="59214FE1"/>
    <w:rsid w:val="5925F795"/>
    <w:rsid w:val="595C9B98"/>
    <w:rsid w:val="59FA1755"/>
    <w:rsid w:val="5A51EBD0"/>
    <w:rsid w:val="5AD8EBDC"/>
    <w:rsid w:val="5AFA8037"/>
    <w:rsid w:val="5B23A3BE"/>
    <w:rsid w:val="5B55C85D"/>
    <w:rsid w:val="5B5B25F9"/>
    <w:rsid w:val="5B9637BD"/>
    <w:rsid w:val="5BBECAC1"/>
    <w:rsid w:val="5BCF9F9E"/>
    <w:rsid w:val="5C239489"/>
    <w:rsid w:val="5C39E92B"/>
    <w:rsid w:val="5C4E95A2"/>
    <w:rsid w:val="5C54B464"/>
    <w:rsid w:val="5D0190DD"/>
    <w:rsid w:val="5EA19908"/>
    <w:rsid w:val="5EEBE498"/>
    <w:rsid w:val="5F176889"/>
    <w:rsid w:val="5F3D06FB"/>
    <w:rsid w:val="5F8798CF"/>
    <w:rsid w:val="5FA9A6E5"/>
    <w:rsid w:val="5FBA28F4"/>
    <w:rsid w:val="5FDC0C7C"/>
    <w:rsid w:val="602AF8D5"/>
    <w:rsid w:val="6032543C"/>
    <w:rsid w:val="605855A5"/>
    <w:rsid w:val="6061DB8C"/>
    <w:rsid w:val="6077F9BB"/>
    <w:rsid w:val="60CE45F1"/>
    <w:rsid w:val="6109B4B2"/>
    <w:rsid w:val="61264B98"/>
    <w:rsid w:val="614DECC8"/>
    <w:rsid w:val="61806B67"/>
    <w:rsid w:val="619E70F9"/>
    <w:rsid w:val="61B0BCAF"/>
    <w:rsid w:val="6233BC9B"/>
    <w:rsid w:val="62731BE3"/>
    <w:rsid w:val="6341A9D5"/>
    <w:rsid w:val="63862142"/>
    <w:rsid w:val="63ABE797"/>
    <w:rsid w:val="63B1FCCC"/>
    <w:rsid w:val="64136B24"/>
    <w:rsid w:val="645CE1D5"/>
    <w:rsid w:val="64635672"/>
    <w:rsid w:val="646E5785"/>
    <w:rsid w:val="64E33204"/>
    <w:rsid w:val="65289B74"/>
    <w:rsid w:val="659307ED"/>
    <w:rsid w:val="659AE5EA"/>
    <w:rsid w:val="661B1155"/>
    <w:rsid w:val="6643E63E"/>
    <w:rsid w:val="667F332B"/>
    <w:rsid w:val="66885830"/>
    <w:rsid w:val="668EC264"/>
    <w:rsid w:val="671A06E9"/>
    <w:rsid w:val="6735F6CA"/>
    <w:rsid w:val="678A1775"/>
    <w:rsid w:val="67AEFF7B"/>
    <w:rsid w:val="67BD6947"/>
    <w:rsid w:val="67EB5541"/>
    <w:rsid w:val="680C390D"/>
    <w:rsid w:val="681F51ED"/>
    <w:rsid w:val="68272932"/>
    <w:rsid w:val="686EA96A"/>
    <w:rsid w:val="694BDD7B"/>
    <w:rsid w:val="6984EFA9"/>
    <w:rsid w:val="69A8CFE8"/>
    <w:rsid w:val="6A761706"/>
    <w:rsid w:val="6AB7AB69"/>
    <w:rsid w:val="6B2A458F"/>
    <w:rsid w:val="6B7228E9"/>
    <w:rsid w:val="6BCC89D8"/>
    <w:rsid w:val="6C2510A4"/>
    <w:rsid w:val="6C6416B4"/>
    <w:rsid w:val="6CF25242"/>
    <w:rsid w:val="6D600998"/>
    <w:rsid w:val="6D64548D"/>
    <w:rsid w:val="6D6D1778"/>
    <w:rsid w:val="6D79E747"/>
    <w:rsid w:val="6DC5D4BC"/>
    <w:rsid w:val="6DEE2582"/>
    <w:rsid w:val="6E1C6F2A"/>
    <w:rsid w:val="6E382AB3"/>
    <w:rsid w:val="6E5833D5"/>
    <w:rsid w:val="6E6BFFD6"/>
    <w:rsid w:val="6EE369C2"/>
    <w:rsid w:val="6F57D0B9"/>
    <w:rsid w:val="6F91996C"/>
    <w:rsid w:val="6F92FCDC"/>
    <w:rsid w:val="6FF36ED0"/>
    <w:rsid w:val="702F6802"/>
    <w:rsid w:val="7074EEFB"/>
    <w:rsid w:val="70B2997E"/>
    <w:rsid w:val="711975FD"/>
    <w:rsid w:val="712BE698"/>
    <w:rsid w:val="71524554"/>
    <w:rsid w:val="71B1C707"/>
    <w:rsid w:val="71BD550F"/>
    <w:rsid w:val="726615BF"/>
    <w:rsid w:val="728B1985"/>
    <w:rsid w:val="728B5950"/>
    <w:rsid w:val="73A55C26"/>
    <w:rsid w:val="740B5CC6"/>
    <w:rsid w:val="742B80F6"/>
    <w:rsid w:val="74584244"/>
    <w:rsid w:val="749191B7"/>
    <w:rsid w:val="74DD727B"/>
    <w:rsid w:val="7517C43F"/>
    <w:rsid w:val="754807E4"/>
    <w:rsid w:val="75B94B03"/>
    <w:rsid w:val="7615FDCE"/>
    <w:rsid w:val="7641D05E"/>
    <w:rsid w:val="764E0CF2"/>
    <w:rsid w:val="7654A475"/>
    <w:rsid w:val="766E6E3C"/>
    <w:rsid w:val="76949868"/>
    <w:rsid w:val="76C17113"/>
    <w:rsid w:val="76E10B74"/>
    <w:rsid w:val="7748CB8B"/>
    <w:rsid w:val="7761B6C3"/>
    <w:rsid w:val="7885120F"/>
    <w:rsid w:val="78B2F4D4"/>
    <w:rsid w:val="78CEAC2C"/>
    <w:rsid w:val="78E4F2C4"/>
    <w:rsid w:val="7905E4DE"/>
    <w:rsid w:val="7A2775F8"/>
    <w:rsid w:val="7A870804"/>
    <w:rsid w:val="7A8FFC2A"/>
    <w:rsid w:val="7AE2BAC6"/>
    <w:rsid w:val="7B726869"/>
    <w:rsid w:val="7B7E98EB"/>
    <w:rsid w:val="7C468E8E"/>
    <w:rsid w:val="7C5D6854"/>
    <w:rsid w:val="7C8CC5D9"/>
    <w:rsid w:val="7CDBDB51"/>
    <w:rsid w:val="7CECDDA0"/>
    <w:rsid w:val="7CED9F2F"/>
    <w:rsid w:val="7CF24346"/>
    <w:rsid w:val="7D6FC47B"/>
    <w:rsid w:val="7D77B4E6"/>
    <w:rsid w:val="7DEAC150"/>
    <w:rsid w:val="7DED8A0C"/>
    <w:rsid w:val="7DF56F63"/>
    <w:rsid w:val="7DFA6529"/>
    <w:rsid w:val="7E1BA48E"/>
    <w:rsid w:val="7E30A85E"/>
    <w:rsid w:val="7E85C19C"/>
    <w:rsid w:val="7E9645BD"/>
    <w:rsid w:val="7EA86147"/>
    <w:rsid w:val="7EE3ACF2"/>
    <w:rsid w:val="7F891A88"/>
    <w:rsid w:val="7FDC8D36"/>
    <w:rsid w:val="7FEFB570"/>
    <w:rsid w:val="7FFDDC7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73DEF"/>
  <w15:chartTrackingRefBased/>
  <w15:docId w15:val="{201F622F-37D7-4AD2-A7B0-945B5DFF4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uckeye Serif 2" w:eastAsia="Times New Roman" w:hAnsi="Buckeye Serif 2"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BodyText"/>
    <w:qFormat/>
    <w:rsid w:val="00FA2ABF"/>
    <w:pPr>
      <w:spacing w:line="280" w:lineRule="exact"/>
    </w:pPr>
    <w:rPr>
      <w:color w:val="061217" w:themeColor="text2"/>
    </w:rPr>
  </w:style>
  <w:style w:type="paragraph" w:styleId="Heading1">
    <w:name w:val="heading 1"/>
    <w:next w:val="Normal"/>
    <w:link w:val="Heading1Char"/>
    <w:uiPriority w:val="9"/>
    <w:qFormat/>
    <w:rsid w:val="003E4FBE"/>
    <w:pPr>
      <w:keepNext/>
      <w:keepLines/>
      <w:spacing w:before="300" w:after="480" w:line="240" w:lineRule="auto"/>
      <w:contextualSpacing/>
      <w:outlineLvl w:val="0"/>
    </w:pPr>
    <w:rPr>
      <w:rFonts w:ascii="Buckeye Serif 2 Black" w:hAnsi="Buckeye Serif 2 Black"/>
      <w:b/>
      <w:color w:val="061217" w:themeColor="text2"/>
      <w:spacing w:val="6"/>
      <w:sz w:val="44"/>
      <w:szCs w:val="32"/>
    </w:rPr>
  </w:style>
  <w:style w:type="paragraph" w:styleId="Heading2">
    <w:name w:val="heading 2"/>
    <w:next w:val="Normal"/>
    <w:link w:val="Heading2Char"/>
    <w:uiPriority w:val="9"/>
    <w:unhideWhenUsed/>
    <w:qFormat/>
    <w:rsid w:val="0001797B"/>
    <w:pPr>
      <w:keepNext/>
      <w:keepLines/>
      <w:spacing w:before="240" w:after="120" w:line="320" w:lineRule="exact"/>
      <w:outlineLvl w:val="1"/>
    </w:pPr>
    <w:rPr>
      <w:rFonts w:ascii="Buckeye Sans 2" w:hAnsi="Buckeye Sans 2"/>
      <w:color w:val="061217" w:themeColor="text2"/>
      <w:sz w:val="30"/>
      <w:szCs w:val="26"/>
    </w:rPr>
  </w:style>
  <w:style w:type="paragraph" w:styleId="Heading3">
    <w:name w:val="heading 3"/>
    <w:basedOn w:val="Normal"/>
    <w:next w:val="Normal"/>
    <w:link w:val="Heading3Char"/>
    <w:uiPriority w:val="9"/>
    <w:unhideWhenUsed/>
    <w:qFormat/>
    <w:rsid w:val="0071038B"/>
    <w:pPr>
      <w:keepNext/>
      <w:keepLines/>
      <w:spacing w:before="240" w:after="120"/>
      <w:outlineLvl w:val="2"/>
    </w:pPr>
    <w:rPr>
      <w:rFonts w:ascii="Buckeye Sans 2" w:hAnsi="Buckeye Sans 2"/>
      <w:sz w:val="26"/>
      <w:szCs w:val="24"/>
    </w:rPr>
  </w:style>
  <w:style w:type="paragraph" w:styleId="Heading4">
    <w:name w:val="heading 4"/>
    <w:next w:val="Normal"/>
    <w:link w:val="Heading4Char"/>
    <w:uiPriority w:val="9"/>
    <w:unhideWhenUsed/>
    <w:qFormat/>
    <w:rsid w:val="0071038B"/>
    <w:pPr>
      <w:spacing w:before="240" w:after="120" w:line="280" w:lineRule="exact"/>
      <w:outlineLvl w:val="3"/>
    </w:pPr>
    <w:rPr>
      <w:rFonts w:ascii="Buckeye Sans 2" w:hAnsi="Buckeye Sans 2"/>
      <w:b/>
      <w:caps/>
      <w:color w:val="061217" w:themeColor="text2"/>
      <w:sz w:val="20"/>
    </w:rPr>
  </w:style>
  <w:style w:type="paragraph" w:styleId="Heading5">
    <w:name w:val="heading 5"/>
    <w:basedOn w:val="Normal"/>
    <w:next w:val="Normal"/>
    <w:link w:val="Heading5Char"/>
    <w:uiPriority w:val="9"/>
    <w:unhideWhenUsed/>
    <w:qFormat/>
    <w:rsid w:val="0071038B"/>
    <w:pPr>
      <w:keepNext/>
      <w:keepLines/>
      <w:spacing w:before="240" w:after="120"/>
      <w:outlineLvl w:val="4"/>
    </w:pPr>
    <w:rPr>
      <w:rFonts w:ascii="Buckeye Sans 2" w:hAnsi="Buckeye Sans 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pPr>
      <w:spacing w:after="0" w:line="240" w:lineRule="auto"/>
    </w:pPr>
    <w:rPr>
      <w:sz w:val="20"/>
      <w:szCs w:val="20"/>
    </w:rPr>
  </w:style>
  <w:style w:type="character" w:customStyle="1" w:styleId="FootnoteTextChar">
    <w:name w:val="Footnote Text Char"/>
    <w:basedOn w:val="DefaultParagraphFont"/>
    <w:link w:val="FootnoteText"/>
    <w:semiHidden/>
    <w:rPr>
      <w:sz w:val="20"/>
      <w:szCs w:val="20"/>
    </w:rPr>
  </w:style>
  <w:style w:type="character" w:styleId="FootnoteReference">
    <w:name w:val="footnote reference"/>
    <w:semiHidden/>
    <w:rPr>
      <w:vertAlign w:val="superscript"/>
    </w:rPr>
  </w:style>
  <w:style w:type="paragraph" w:styleId="Header">
    <w:name w:val="header"/>
    <w:basedOn w:val="Normal"/>
    <w:link w:val="HeaderChar"/>
    <w:uiPriority w:val="99"/>
    <w:unhideWhenUsed/>
    <w:pPr>
      <w:tabs>
        <w:tab w:val="center" w:pos="4680"/>
        <w:tab w:val="right" w:pos="9360"/>
      </w:tabs>
      <w:spacing w:after="0" w:line="240" w:lineRule="auto"/>
    </w:pPr>
    <w:rPr>
      <w:rFonts w:ascii="Buckeye Sans 2" w:hAnsi="Buckeye Sans 2"/>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rPr>
      <w:rFonts w:ascii="Buckeye Sans 2" w:hAnsi="Buckeye Sans 2"/>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 w:type="character" w:customStyle="1" w:styleId="Heading1Char">
    <w:name w:val="Heading 1 Char"/>
    <w:basedOn w:val="DefaultParagraphFont"/>
    <w:link w:val="Heading1"/>
    <w:uiPriority w:val="9"/>
    <w:rsid w:val="003E4FBE"/>
    <w:rPr>
      <w:b/>
      <w:color w:val="061217" w:themeColor="text2"/>
      <w:spacing w:val="6"/>
      <w:sz w:val="44"/>
      <w:szCs w:val="32"/>
    </w:rPr>
  </w:style>
  <w:style w:type="character" w:customStyle="1" w:styleId="Heading2Char">
    <w:name w:val="Heading 2 Char"/>
    <w:basedOn w:val="DefaultParagraphFont"/>
    <w:link w:val="Heading2"/>
    <w:uiPriority w:val="9"/>
    <w:rsid w:val="0001797B"/>
    <w:rPr>
      <w:color w:val="061217" w:themeColor="text2"/>
      <w:sz w:val="30"/>
      <w:szCs w:val="26"/>
    </w:rPr>
  </w:style>
  <w:style w:type="character" w:customStyle="1" w:styleId="Heading3Char">
    <w:name w:val="Heading 3 Char"/>
    <w:basedOn w:val="DefaultParagraphFont"/>
    <w:link w:val="Heading3"/>
    <w:uiPriority w:val="9"/>
    <w:rsid w:val="0071038B"/>
    <w:rPr>
      <w:color w:val="061217" w:themeColor="text2"/>
      <w:sz w:val="26"/>
      <w:szCs w:val="24"/>
    </w:rPr>
  </w:style>
  <w:style w:type="paragraph" w:styleId="BodyText">
    <w:name w:val="Body Text"/>
    <w:basedOn w:val="Normal"/>
    <w:link w:val="BodyTextChar"/>
    <w:uiPriority w:val="99"/>
    <w:unhideWhenUsed/>
    <w:rsid w:val="00FA2ABF"/>
    <w:pPr>
      <w:spacing w:after="120"/>
    </w:pPr>
  </w:style>
  <w:style w:type="character" w:customStyle="1" w:styleId="BodyTextChar">
    <w:name w:val="Body Text Char"/>
    <w:basedOn w:val="DefaultParagraphFont"/>
    <w:link w:val="BodyText"/>
    <w:uiPriority w:val="99"/>
    <w:rsid w:val="003B59C7"/>
    <w:rPr>
      <w:color w:val="061217" w:themeColor="text2"/>
    </w:rPr>
  </w:style>
  <w:style w:type="paragraph" w:styleId="ListBullet2">
    <w:name w:val="List Bullet 2"/>
    <w:basedOn w:val="Normal"/>
    <w:pPr>
      <w:numPr>
        <w:numId w:val="1"/>
      </w:numPr>
      <w:spacing w:after="0" w:line="240" w:lineRule="auto"/>
    </w:pPr>
    <w:rPr>
      <w:sz w:val="24"/>
      <w:szCs w:val="24"/>
    </w:rPr>
  </w:style>
  <w:style w:type="paragraph" w:styleId="ListBullet3">
    <w:name w:val="List Bullet 3"/>
    <w:basedOn w:val="Normal"/>
    <w:pPr>
      <w:numPr>
        <w:numId w:val="2"/>
      </w:numPr>
      <w:spacing w:after="0" w:line="240" w:lineRule="auto"/>
    </w:pPr>
    <w:rPr>
      <w:sz w:val="24"/>
      <w:szCs w:val="24"/>
    </w:rPr>
  </w:style>
  <w:style w:type="paragraph" w:styleId="BlockText">
    <w:name w:val="Block Text"/>
    <w:basedOn w:val="Normal"/>
    <w:link w:val="BlockTextChar"/>
    <w:pPr>
      <w:spacing w:before="120" w:after="120" w:line="240" w:lineRule="auto"/>
      <w:ind w:left="360" w:right="360"/>
    </w:pPr>
    <w:rPr>
      <w:sz w:val="24"/>
      <w:szCs w:val="24"/>
    </w:rPr>
  </w:style>
  <w:style w:type="paragraph" w:styleId="BodyText2">
    <w:name w:val="Body Text 2"/>
    <w:basedOn w:val="Normal"/>
    <w:link w:val="BodyText2Char"/>
    <w:pPr>
      <w:spacing w:after="120" w:line="480" w:lineRule="auto"/>
    </w:pPr>
    <w:rPr>
      <w:sz w:val="24"/>
      <w:szCs w:val="24"/>
    </w:rPr>
  </w:style>
  <w:style w:type="character" w:customStyle="1" w:styleId="BodyText2Char">
    <w:name w:val="Body Text 2 Char"/>
    <w:basedOn w:val="DefaultParagraphFont"/>
    <w:link w:val="BodyText2"/>
    <w:rPr>
      <w:sz w:val="24"/>
      <w:szCs w:val="24"/>
    </w:rPr>
  </w:style>
  <w:style w:type="character" w:customStyle="1" w:styleId="BlockTextChar">
    <w:name w:val="Block Text Char"/>
    <w:link w:val="BlockText"/>
    <w:rPr>
      <w:sz w:val="24"/>
      <w:szCs w:val="24"/>
    </w:rPr>
  </w:style>
  <w:style w:type="character" w:styleId="PageNumber">
    <w:name w:val="page number"/>
    <w:basedOn w:val="DefaultParagraphFont"/>
  </w:style>
  <w:style w:type="paragraph" w:styleId="ListBullet4">
    <w:name w:val="List Bullet 4"/>
    <w:basedOn w:val="Normal"/>
    <w:pPr>
      <w:numPr>
        <w:numId w:val="3"/>
      </w:numPr>
      <w:spacing w:before="60" w:after="60" w:line="240" w:lineRule="auto"/>
    </w:pPr>
    <w:rPr>
      <w:sz w:val="24"/>
      <w:szCs w:val="24"/>
    </w:rPr>
  </w:style>
  <w:style w:type="paragraph" w:customStyle="1" w:styleId="Default">
    <w:name w:val="Default"/>
    <w:pPr>
      <w:autoSpaceDE w:val="0"/>
      <w:autoSpaceDN w:val="0"/>
      <w:adjustRightInd w:val="0"/>
      <w:spacing w:after="0" w:line="240" w:lineRule="auto"/>
    </w:pPr>
    <w:rPr>
      <w:color w:val="000000"/>
      <w:sz w:val="24"/>
      <w:szCs w:val="24"/>
    </w:rPr>
  </w:style>
  <w:style w:type="paragraph" w:styleId="List2">
    <w:name w:val="List 2"/>
    <w:basedOn w:val="Normal"/>
    <w:pPr>
      <w:spacing w:after="0" w:line="240" w:lineRule="auto"/>
      <w:ind w:left="720" w:hanging="360"/>
    </w:pPr>
    <w:rPr>
      <w:sz w:val="24"/>
      <w:szCs w:val="24"/>
    </w:rPr>
  </w:style>
  <w:style w:type="character" w:styleId="CommentReference">
    <w:name w:val="annotation reference"/>
    <w:semiHidden/>
    <w:rPr>
      <w:sz w:val="16"/>
      <w:szCs w:val="16"/>
    </w:rPr>
  </w:style>
  <w:style w:type="paragraph" w:styleId="CommentText">
    <w:name w:val="annotation text"/>
    <w:basedOn w:val="Normal"/>
    <w:link w:val="CommentTextChar"/>
    <w:pPr>
      <w:spacing w:after="0" w:line="240" w:lineRule="auto"/>
    </w:pPr>
    <w:rPr>
      <w:sz w:val="20"/>
      <w:szCs w:val="20"/>
    </w:rPr>
  </w:style>
  <w:style w:type="character" w:customStyle="1" w:styleId="CommentTextChar">
    <w:name w:val="Comment Text Char"/>
    <w:basedOn w:val="DefaultParagraphFont"/>
    <w:link w:val="CommentText"/>
    <w:rPr>
      <w:sz w:val="20"/>
      <w:szCs w:val="20"/>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basedOn w:val="CommentTextChar"/>
    <w:link w:val="CommentSubject"/>
    <w:semiHidden/>
    <w:rPr>
      <w:b/>
      <w:bCs/>
      <w:sz w:val="20"/>
      <w:szCs w:val="20"/>
    </w:rPr>
  </w:style>
  <w:style w:type="paragraph" w:styleId="BalloonText">
    <w:name w:val="Balloon Text"/>
    <w:basedOn w:val="Normal"/>
    <w:link w:val="BalloonTextChar"/>
    <w:semiHidden/>
    <w:pPr>
      <w:spacing w:after="0" w:line="240" w:lineRule="auto"/>
    </w:pPr>
    <w:rPr>
      <w:sz w:val="16"/>
      <w:szCs w:val="16"/>
    </w:rPr>
  </w:style>
  <w:style w:type="character" w:customStyle="1" w:styleId="BalloonTextChar">
    <w:name w:val="Balloon Text Char"/>
    <w:basedOn w:val="DefaultParagraphFont"/>
    <w:link w:val="BalloonText"/>
    <w:semiHidden/>
    <w:rPr>
      <w:sz w:val="16"/>
      <w:szCs w:val="16"/>
    </w:rPr>
  </w:style>
  <w:style w:type="paragraph" w:styleId="TOC2">
    <w:name w:val="toc 2"/>
    <w:basedOn w:val="Normal"/>
    <w:next w:val="Normal"/>
    <w:autoRedefine/>
    <w:uiPriority w:val="39"/>
    <w:qFormat/>
    <w:rsid w:val="003217DC"/>
    <w:pPr>
      <w:tabs>
        <w:tab w:val="right" w:leader="dot" w:pos="9350"/>
      </w:tabs>
      <w:spacing w:after="0" w:line="240" w:lineRule="auto"/>
      <w:ind w:left="720"/>
    </w:pPr>
    <w:rPr>
      <w:noProof/>
    </w:rPr>
  </w:style>
  <w:style w:type="character" w:customStyle="1" w:styleId="CharChar1">
    <w:name w:val="Char Char1"/>
    <w:rPr>
      <w:sz w:val="24"/>
      <w:szCs w:val="24"/>
      <w:lang w:val="en-US" w:eastAsia="en-US" w:bidi="ar-SA"/>
    </w:rPr>
  </w:style>
  <w:style w:type="paragraph" w:styleId="TOC1">
    <w:name w:val="toc 1"/>
    <w:basedOn w:val="Normal"/>
    <w:next w:val="Normal"/>
    <w:autoRedefine/>
    <w:uiPriority w:val="39"/>
    <w:qFormat/>
    <w:rsid w:val="000D00DC"/>
    <w:pPr>
      <w:tabs>
        <w:tab w:val="right" w:leader="dot" w:pos="9350"/>
      </w:tabs>
      <w:spacing w:after="0" w:line="240" w:lineRule="auto"/>
    </w:pPr>
    <w:rPr>
      <w:b/>
      <w:noProof/>
      <w:sz w:val="24"/>
      <w:szCs w:val="24"/>
    </w:rPr>
  </w:style>
  <w:style w:type="paragraph" w:styleId="TOC3">
    <w:name w:val="toc 3"/>
    <w:basedOn w:val="Normal"/>
    <w:next w:val="Normal"/>
    <w:autoRedefine/>
    <w:uiPriority w:val="39"/>
    <w:qFormat/>
    <w:rsid w:val="009B71AE"/>
    <w:pPr>
      <w:tabs>
        <w:tab w:val="right" w:leader="dot" w:pos="9350"/>
      </w:tabs>
      <w:spacing w:after="0" w:line="240" w:lineRule="auto"/>
      <w:ind w:left="720"/>
    </w:pPr>
    <w:rPr>
      <w:noProof/>
    </w:rPr>
  </w:style>
  <w:style w:type="paragraph" w:customStyle="1" w:styleId="SOPFooter">
    <w:name w:val="SOP Footer"/>
    <w:basedOn w:val="Normal"/>
    <w:pPr>
      <w:spacing w:after="0" w:line="240" w:lineRule="auto"/>
      <w:jc w:val="center"/>
    </w:pPr>
    <w:rPr>
      <w:sz w:val="16"/>
      <w:szCs w:val="20"/>
    </w:rPr>
  </w:style>
  <w:style w:type="paragraph" w:customStyle="1" w:styleId="Heading2AppendixA">
    <w:name w:val="Heading 2 Appendix A"/>
    <w:basedOn w:val="Heading2"/>
    <w:next w:val="Heading3"/>
    <w:qFormat/>
    <w:pPr>
      <w:pageBreakBefore/>
      <w:numPr>
        <w:numId w:val="14"/>
      </w:numPr>
      <w:ind w:left="2160" w:hanging="2160"/>
    </w:pPr>
  </w:style>
  <w:style w:type="character" w:styleId="FollowedHyperlink">
    <w:name w:val="FollowedHyperlink"/>
    <w:rPr>
      <w:color w:val="800080"/>
      <w:u w:val="single"/>
    </w:rPr>
  </w:style>
  <w:style w:type="paragraph" w:styleId="ListParagraph">
    <w:name w:val="List Paragraph"/>
    <w:basedOn w:val="Normal"/>
    <w:uiPriority w:val="34"/>
    <w:qFormat/>
    <w:pPr>
      <w:spacing w:line="276" w:lineRule="auto"/>
      <w:ind w:left="720"/>
      <w:contextualSpacing/>
    </w:pPr>
  </w:style>
  <w:style w:type="paragraph" w:styleId="TOCHeading">
    <w:name w:val="TOC Heading"/>
    <w:basedOn w:val="Heading1"/>
    <w:next w:val="Normal"/>
    <w:uiPriority w:val="39"/>
    <w:qFormat/>
    <w:pPr>
      <w:spacing w:before="480" w:after="0" w:line="276" w:lineRule="auto"/>
      <w:outlineLvl w:val="9"/>
    </w:pPr>
    <w:rPr>
      <w:color w:val="365F91"/>
      <w:sz w:val="28"/>
      <w:szCs w:val="28"/>
    </w:rPr>
  </w:style>
  <w:style w:type="character" w:customStyle="1" w:styleId="SOPLeader">
    <w:name w:val="SOP Leader"/>
    <w:rPr>
      <w:b/>
      <w:sz w:val="24"/>
    </w:rPr>
  </w:style>
  <w:style w:type="paragraph" w:customStyle="1" w:styleId="SOPName">
    <w:name w:val="SOP Name"/>
    <w:basedOn w:val="Normal"/>
    <w:pPr>
      <w:spacing w:after="0" w:line="240" w:lineRule="auto"/>
    </w:pPr>
    <w:rPr>
      <w:sz w:val="24"/>
      <w:szCs w:val="20"/>
    </w:rPr>
  </w:style>
  <w:style w:type="paragraph" w:customStyle="1" w:styleId="SOPTableHeader">
    <w:name w:val="SOP Table Header"/>
    <w:basedOn w:val="Normal"/>
    <w:pPr>
      <w:spacing w:after="0" w:line="240" w:lineRule="auto"/>
      <w:jc w:val="center"/>
    </w:pPr>
    <w:rPr>
      <w:sz w:val="20"/>
      <w:szCs w:val="20"/>
    </w:rPr>
  </w:style>
  <w:style w:type="paragraph" w:customStyle="1" w:styleId="SOPTableEntry">
    <w:name w:val="SOP Table Entry"/>
    <w:basedOn w:val="SOPTableHeader"/>
    <w:rPr>
      <w:sz w:val="18"/>
    </w:rPr>
  </w:style>
  <w:style w:type="paragraph" w:styleId="Revision">
    <w:name w:val="Revision"/>
    <w:hidden/>
    <w:uiPriority w:val="99"/>
    <w:semiHidden/>
    <w:pPr>
      <w:spacing w:after="0" w:line="240" w:lineRule="auto"/>
    </w:pPr>
    <w:rPr>
      <w:sz w:val="24"/>
      <w:szCs w:val="24"/>
    </w:rPr>
  </w:style>
  <w:style w:type="paragraph" w:styleId="EndnoteText">
    <w:name w:val="endnote text"/>
    <w:basedOn w:val="Normal"/>
    <w:link w:val="EndnoteTextChar"/>
    <w:uiPriority w:val="99"/>
    <w:unhideWhenUsed/>
    <w:pPr>
      <w:spacing w:after="0" w:line="240" w:lineRule="auto"/>
    </w:pPr>
    <w:rPr>
      <w:sz w:val="20"/>
      <w:szCs w:val="20"/>
    </w:rPr>
  </w:style>
  <w:style w:type="character" w:customStyle="1" w:styleId="EndnoteTextChar">
    <w:name w:val="Endnote Text Char"/>
    <w:basedOn w:val="DefaultParagraphFont"/>
    <w:link w:val="EndnoteText"/>
    <w:uiPriority w:val="99"/>
    <w:rPr>
      <w:sz w:val="20"/>
      <w:szCs w:val="20"/>
    </w:rPr>
  </w:style>
  <w:style w:type="character" w:styleId="EndnoteReference">
    <w:name w:val="endnote reference"/>
    <w:basedOn w:val="DefaultParagraphFont"/>
    <w:uiPriority w:val="99"/>
    <w:semiHidden/>
    <w:unhideWhenUsed/>
    <w:rPr>
      <w:vertAlign w:val="superscript"/>
    </w:rPr>
  </w:style>
  <w:style w:type="paragraph" w:customStyle="1" w:styleId="HotDocsvariable">
    <w:name w:val="HotDocs variable"/>
    <w:basedOn w:val="Normal"/>
    <w:qFormat/>
    <w:pPr>
      <w:spacing w:line="276" w:lineRule="auto"/>
      <w:contextualSpacing/>
    </w:pPr>
    <w:rPr>
      <w:color w:val="00B050"/>
    </w:rPr>
  </w:style>
  <w:style w:type="paragraph" w:styleId="NormalWeb">
    <w:name w:val="Normal (Web)"/>
    <w:basedOn w:val="Normal"/>
    <w:unhideWhenUsed/>
    <w:pPr>
      <w:spacing w:before="100" w:beforeAutospacing="1" w:after="100" w:afterAutospacing="1" w:line="240" w:lineRule="auto"/>
    </w:pPr>
    <w:rPr>
      <w:sz w:val="24"/>
      <w:szCs w:val="24"/>
    </w:rPr>
  </w:style>
  <w:style w:type="character" w:styleId="Strong">
    <w:name w:val="Strong"/>
    <w:qFormat/>
    <w:rsid w:val="001E6B51"/>
    <w:rPr>
      <w:b/>
    </w:rPr>
  </w:style>
  <w:style w:type="paragraph" w:customStyle="1" w:styleId="MediumGrid1-Accent21">
    <w:name w:val="Medium Grid 1 - Accent 21"/>
    <w:basedOn w:val="Normal"/>
    <w:qFormat/>
    <w:rsid w:val="001E6B51"/>
    <w:pPr>
      <w:spacing w:after="0" w:line="240" w:lineRule="auto"/>
      <w:ind w:left="720"/>
    </w:pPr>
    <w:rPr>
      <w:sz w:val="24"/>
      <w:szCs w:val="20"/>
    </w:rPr>
  </w:style>
  <w:style w:type="character" w:customStyle="1" w:styleId="body">
    <w:name w:val="body"/>
    <w:basedOn w:val="DefaultParagraphFont"/>
    <w:rsid w:val="001E6B51"/>
  </w:style>
  <w:style w:type="paragraph" w:styleId="BodyTextIndent">
    <w:name w:val="Body Text Indent"/>
    <w:basedOn w:val="Normal"/>
    <w:link w:val="BodyTextIndentChar"/>
    <w:uiPriority w:val="99"/>
    <w:unhideWhenUsed/>
    <w:rsid w:val="000D1721"/>
    <w:pPr>
      <w:spacing w:after="120"/>
      <w:ind w:left="360"/>
    </w:pPr>
  </w:style>
  <w:style w:type="character" w:customStyle="1" w:styleId="BodyTextIndentChar">
    <w:name w:val="Body Text Indent Char"/>
    <w:basedOn w:val="DefaultParagraphFont"/>
    <w:link w:val="BodyTextIndent"/>
    <w:uiPriority w:val="99"/>
    <w:rsid w:val="000D1721"/>
  </w:style>
  <w:style w:type="table" w:styleId="TableGrid">
    <w:name w:val="Table Grid"/>
    <w:basedOn w:val="TableNormal"/>
    <w:uiPriority w:val="59"/>
    <w:rsid w:val="00FB4123"/>
    <w:pPr>
      <w:spacing w:after="0" w:line="240" w:lineRule="auto"/>
    </w:pPr>
    <w:tblPr>
      <w:tblBorders>
        <w:top w:val="single" w:sz="4" w:space="0" w:color="404443" w:themeColor="text1"/>
        <w:left w:val="single" w:sz="4" w:space="0" w:color="404443" w:themeColor="text1"/>
        <w:bottom w:val="single" w:sz="4" w:space="0" w:color="404443" w:themeColor="text1"/>
        <w:right w:val="single" w:sz="4" w:space="0" w:color="404443" w:themeColor="text1"/>
        <w:insideH w:val="single" w:sz="4" w:space="0" w:color="404443" w:themeColor="text1"/>
        <w:insideV w:val="single" w:sz="4" w:space="0" w:color="404443" w:themeColor="text1"/>
      </w:tblBorders>
    </w:tblPr>
  </w:style>
  <w:style w:type="paragraph" w:styleId="Title">
    <w:name w:val="Title"/>
    <w:basedOn w:val="Normal"/>
    <w:next w:val="Normal"/>
    <w:link w:val="TitleChar"/>
    <w:uiPriority w:val="10"/>
    <w:qFormat/>
    <w:rsid w:val="00560525"/>
    <w:pPr>
      <w:spacing w:before="300" w:after="480" w:line="240" w:lineRule="auto"/>
      <w:contextualSpacing/>
    </w:pPr>
    <w:rPr>
      <w:rFonts w:ascii="Buckeye Serif 2 Black" w:hAnsi="Buckeye Serif 2 Black"/>
      <w:b/>
      <w:spacing w:val="6"/>
      <w:kern w:val="28"/>
      <w:sz w:val="44"/>
      <w:szCs w:val="56"/>
    </w:rPr>
  </w:style>
  <w:style w:type="paragraph" w:styleId="TOC4">
    <w:name w:val="toc 4"/>
    <w:basedOn w:val="Normal"/>
    <w:next w:val="Normal"/>
    <w:autoRedefine/>
    <w:uiPriority w:val="39"/>
    <w:unhideWhenUsed/>
    <w:rsid w:val="0075635B"/>
    <w:pPr>
      <w:spacing w:after="100" w:line="278" w:lineRule="auto"/>
      <w:ind w:left="720"/>
    </w:pPr>
    <w:rPr>
      <w:kern w:val="2"/>
      <w:sz w:val="24"/>
      <w:szCs w:val="24"/>
      <w14:ligatures w14:val="standardContextual"/>
    </w:rPr>
  </w:style>
  <w:style w:type="paragraph" w:styleId="TOC5">
    <w:name w:val="toc 5"/>
    <w:basedOn w:val="Normal"/>
    <w:next w:val="Normal"/>
    <w:autoRedefine/>
    <w:uiPriority w:val="39"/>
    <w:unhideWhenUsed/>
    <w:rsid w:val="0075635B"/>
    <w:pPr>
      <w:spacing w:after="100" w:line="278" w:lineRule="auto"/>
      <w:ind w:left="960"/>
    </w:pPr>
    <w:rPr>
      <w:kern w:val="2"/>
      <w:sz w:val="24"/>
      <w:szCs w:val="24"/>
      <w14:ligatures w14:val="standardContextual"/>
    </w:rPr>
  </w:style>
  <w:style w:type="paragraph" w:styleId="TOC6">
    <w:name w:val="toc 6"/>
    <w:basedOn w:val="Normal"/>
    <w:next w:val="Normal"/>
    <w:autoRedefine/>
    <w:uiPriority w:val="39"/>
    <w:unhideWhenUsed/>
    <w:rsid w:val="0075635B"/>
    <w:pPr>
      <w:spacing w:after="100" w:line="278" w:lineRule="auto"/>
      <w:ind w:left="1200"/>
    </w:pPr>
    <w:rPr>
      <w:kern w:val="2"/>
      <w:sz w:val="24"/>
      <w:szCs w:val="24"/>
      <w14:ligatures w14:val="standardContextual"/>
    </w:rPr>
  </w:style>
  <w:style w:type="paragraph" w:styleId="TOC7">
    <w:name w:val="toc 7"/>
    <w:basedOn w:val="Normal"/>
    <w:next w:val="Normal"/>
    <w:autoRedefine/>
    <w:uiPriority w:val="39"/>
    <w:unhideWhenUsed/>
    <w:rsid w:val="0075635B"/>
    <w:pPr>
      <w:spacing w:after="100" w:line="278" w:lineRule="auto"/>
      <w:ind w:left="1440"/>
    </w:pPr>
    <w:rPr>
      <w:kern w:val="2"/>
      <w:sz w:val="24"/>
      <w:szCs w:val="24"/>
      <w14:ligatures w14:val="standardContextual"/>
    </w:rPr>
  </w:style>
  <w:style w:type="paragraph" w:styleId="TOC8">
    <w:name w:val="toc 8"/>
    <w:basedOn w:val="Normal"/>
    <w:next w:val="Normal"/>
    <w:autoRedefine/>
    <w:uiPriority w:val="39"/>
    <w:unhideWhenUsed/>
    <w:rsid w:val="0075635B"/>
    <w:pPr>
      <w:spacing w:after="100" w:line="278" w:lineRule="auto"/>
      <w:ind w:left="1680"/>
    </w:pPr>
    <w:rPr>
      <w:kern w:val="2"/>
      <w:sz w:val="24"/>
      <w:szCs w:val="24"/>
      <w14:ligatures w14:val="standardContextual"/>
    </w:rPr>
  </w:style>
  <w:style w:type="paragraph" w:styleId="TOC9">
    <w:name w:val="toc 9"/>
    <w:basedOn w:val="Normal"/>
    <w:next w:val="Normal"/>
    <w:autoRedefine/>
    <w:uiPriority w:val="39"/>
    <w:unhideWhenUsed/>
    <w:rsid w:val="0075635B"/>
    <w:pPr>
      <w:spacing w:after="100" w:line="278" w:lineRule="auto"/>
      <w:ind w:left="1920"/>
    </w:pPr>
    <w:rPr>
      <w:kern w:val="2"/>
      <w:sz w:val="24"/>
      <w:szCs w:val="24"/>
      <w14:ligatures w14:val="standardContextual"/>
    </w:rPr>
  </w:style>
  <w:style w:type="character" w:customStyle="1" w:styleId="Heading4Char">
    <w:name w:val="Heading 4 Char"/>
    <w:basedOn w:val="DefaultParagraphFont"/>
    <w:link w:val="Heading4"/>
    <w:uiPriority w:val="9"/>
    <w:rsid w:val="0071038B"/>
    <w:rPr>
      <w:b/>
      <w:caps/>
      <w:color w:val="061217" w:themeColor="text2"/>
      <w:sz w:val="20"/>
    </w:rPr>
  </w:style>
  <w:style w:type="paragraph" w:customStyle="1" w:styleId="ColorfulShading-Accent31">
    <w:name w:val="Colorful Shading - Accent 31"/>
    <w:basedOn w:val="Normal"/>
    <w:qFormat/>
    <w:rsid w:val="00606C12"/>
    <w:pPr>
      <w:spacing w:after="0" w:line="240" w:lineRule="auto"/>
      <w:ind w:left="720"/>
    </w:pPr>
    <w:rPr>
      <w:sz w:val="24"/>
      <w:szCs w:val="20"/>
    </w:rPr>
  </w:style>
  <w:style w:type="character" w:styleId="Emphasis">
    <w:name w:val="Emphasis"/>
    <w:qFormat/>
    <w:rsid w:val="0067674D"/>
    <w:rPr>
      <w:i/>
      <w:iCs/>
    </w:rPr>
  </w:style>
  <w:style w:type="paragraph" w:customStyle="1" w:styleId="PrimarySectionText-HCG">
    <w:name w:val="Primary Section Text - HCG"/>
    <w:basedOn w:val="Normal"/>
    <w:rsid w:val="00692221"/>
    <w:pPr>
      <w:spacing w:after="120" w:line="324" w:lineRule="auto"/>
      <w:ind w:left="288" w:hanging="288"/>
    </w:pPr>
    <w:rPr>
      <w:sz w:val="24"/>
    </w:rPr>
  </w:style>
  <w:style w:type="numbering" w:customStyle="1" w:styleId="CurrentList1">
    <w:name w:val="Current List1"/>
    <w:uiPriority w:val="99"/>
    <w:rsid w:val="000700B0"/>
    <w:pPr>
      <w:numPr>
        <w:numId w:val="432"/>
      </w:numPr>
    </w:pPr>
  </w:style>
  <w:style w:type="character" w:customStyle="1" w:styleId="Heading5Char">
    <w:name w:val="Heading 5 Char"/>
    <w:basedOn w:val="DefaultParagraphFont"/>
    <w:link w:val="Heading5"/>
    <w:uiPriority w:val="9"/>
    <w:rsid w:val="0071038B"/>
    <w:rPr>
      <w:color w:val="061217" w:themeColor="text2"/>
    </w:rPr>
  </w:style>
  <w:style w:type="character" w:customStyle="1" w:styleId="TitleChar">
    <w:name w:val="Title Char"/>
    <w:basedOn w:val="DefaultParagraphFont"/>
    <w:link w:val="Title"/>
    <w:uiPriority w:val="10"/>
    <w:rsid w:val="00560525"/>
    <w:rPr>
      <w:b/>
      <w:color w:val="061217" w:themeColor="text2"/>
      <w:spacing w:val="6"/>
      <w:kern w:val="28"/>
      <w:sz w:val="44"/>
      <w:szCs w:val="56"/>
    </w:rPr>
  </w:style>
  <w:style w:type="paragraph" w:customStyle="1" w:styleId="KickerLabel">
    <w:name w:val="Kicker/Label"/>
    <w:qFormat/>
    <w:rsid w:val="00FD7278"/>
    <w:pPr>
      <w:contextualSpacing/>
    </w:pPr>
    <w:rPr>
      <w:rFonts w:ascii="Buckeye Sans 2" w:hAnsi="Buckeye Sans 2"/>
      <w:b/>
      <w:caps/>
      <w:color w:val="BA0C2F" w:themeColor="accent1"/>
      <w:spacing w:val="20"/>
      <w:sz w:val="20"/>
    </w:rPr>
  </w:style>
  <w:style w:type="paragraph" w:customStyle="1" w:styleId="LetterheadContactInfo">
    <w:name w:val="Letterhead Contact Info"/>
    <w:basedOn w:val="BodyText2"/>
    <w:qFormat/>
    <w:rsid w:val="0034280D"/>
    <w:pPr>
      <w:widowControl w:val="0"/>
      <w:autoSpaceDE w:val="0"/>
      <w:autoSpaceDN w:val="0"/>
      <w:spacing w:after="0" w:line="240" w:lineRule="auto"/>
      <w:ind w:right="115"/>
      <w:jc w:val="right"/>
    </w:pPr>
    <w:rPr>
      <w:color w:val="666666"/>
      <w:w w:val="105"/>
      <w:kern w:val="2"/>
      <w:sz w:val="18"/>
      <w14:ligatures w14:val="standardContextual"/>
    </w:rPr>
  </w:style>
  <w:style w:type="character" w:styleId="SubtleEmphasis">
    <w:name w:val="Subtle Emphasis"/>
    <w:basedOn w:val="DefaultParagraphFont"/>
    <w:uiPriority w:val="19"/>
    <w:qFormat/>
    <w:rsid w:val="007E62E1"/>
    <w:rPr>
      <w:i/>
      <w:iCs/>
      <w:color w:val="6E7472"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34991">
      <w:bodyDiv w:val="1"/>
      <w:marLeft w:val="0"/>
      <w:marRight w:val="0"/>
      <w:marTop w:val="0"/>
      <w:marBottom w:val="0"/>
      <w:divBdr>
        <w:top w:val="none" w:sz="0" w:space="0" w:color="auto"/>
        <w:left w:val="none" w:sz="0" w:space="0" w:color="auto"/>
        <w:bottom w:val="none" w:sz="0" w:space="0" w:color="auto"/>
        <w:right w:val="none" w:sz="0" w:space="0" w:color="auto"/>
      </w:divBdr>
      <w:divsChild>
        <w:div w:id="245916712">
          <w:marLeft w:val="0"/>
          <w:marRight w:val="0"/>
          <w:marTop w:val="0"/>
          <w:marBottom w:val="0"/>
          <w:divBdr>
            <w:top w:val="none" w:sz="0" w:space="0" w:color="auto"/>
            <w:left w:val="none" w:sz="0" w:space="0" w:color="auto"/>
            <w:bottom w:val="none" w:sz="0" w:space="0" w:color="auto"/>
            <w:right w:val="none" w:sz="0" w:space="0" w:color="auto"/>
          </w:divBdr>
        </w:div>
        <w:div w:id="376323503">
          <w:marLeft w:val="0"/>
          <w:marRight w:val="0"/>
          <w:marTop w:val="0"/>
          <w:marBottom w:val="0"/>
          <w:divBdr>
            <w:top w:val="none" w:sz="0" w:space="0" w:color="auto"/>
            <w:left w:val="none" w:sz="0" w:space="0" w:color="auto"/>
            <w:bottom w:val="none" w:sz="0" w:space="0" w:color="auto"/>
            <w:right w:val="none" w:sz="0" w:space="0" w:color="auto"/>
          </w:divBdr>
        </w:div>
        <w:div w:id="1923491146">
          <w:marLeft w:val="0"/>
          <w:marRight w:val="0"/>
          <w:marTop w:val="0"/>
          <w:marBottom w:val="0"/>
          <w:divBdr>
            <w:top w:val="none" w:sz="0" w:space="0" w:color="auto"/>
            <w:left w:val="none" w:sz="0" w:space="0" w:color="auto"/>
            <w:bottom w:val="none" w:sz="0" w:space="0" w:color="auto"/>
            <w:right w:val="none" w:sz="0" w:space="0" w:color="auto"/>
          </w:divBdr>
        </w:div>
      </w:divsChild>
    </w:div>
    <w:div w:id="19164513">
      <w:bodyDiv w:val="1"/>
      <w:marLeft w:val="0"/>
      <w:marRight w:val="0"/>
      <w:marTop w:val="0"/>
      <w:marBottom w:val="0"/>
      <w:divBdr>
        <w:top w:val="none" w:sz="0" w:space="0" w:color="auto"/>
        <w:left w:val="none" w:sz="0" w:space="0" w:color="auto"/>
        <w:bottom w:val="none" w:sz="0" w:space="0" w:color="auto"/>
        <w:right w:val="none" w:sz="0" w:space="0" w:color="auto"/>
      </w:divBdr>
    </w:div>
    <w:div w:id="132796917">
      <w:bodyDiv w:val="1"/>
      <w:marLeft w:val="0"/>
      <w:marRight w:val="0"/>
      <w:marTop w:val="0"/>
      <w:marBottom w:val="0"/>
      <w:divBdr>
        <w:top w:val="none" w:sz="0" w:space="0" w:color="auto"/>
        <w:left w:val="none" w:sz="0" w:space="0" w:color="auto"/>
        <w:bottom w:val="none" w:sz="0" w:space="0" w:color="auto"/>
        <w:right w:val="none" w:sz="0" w:space="0" w:color="auto"/>
      </w:divBdr>
    </w:div>
    <w:div w:id="246884255">
      <w:bodyDiv w:val="1"/>
      <w:marLeft w:val="0"/>
      <w:marRight w:val="0"/>
      <w:marTop w:val="0"/>
      <w:marBottom w:val="0"/>
      <w:divBdr>
        <w:top w:val="none" w:sz="0" w:space="0" w:color="auto"/>
        <w:left w:val="none" w:sz="0" w:space="0" w:color="auto"/>
        <w:bottom w:val="none" w:sz="0" w:space="0" w:color="auto"/>
        <w:right w:val="none" w:sz="0" w:space="0" w:color="auto"/>
      </w:divBdr>
    </w:div>
    <w:div w:id="262804495">
      <w:bodyDiv w:val="1"/>
      <w:marLeft w:val="0"/>
      <w:marRight w:val="0"/>
      <w:marTop w:val="0"/>
      <w:marBottom w:val="0"/>
      <w:divBdr>
        <w:top w:val="none" w:sz="0" w:space="0" w:color="auto"/>
        <w:left w:val="none" w:sz="0" w:space="0" w:color="auto"/>
        <w:bottom w:val="none" w:sz="0" w:space="0" w:color="auto"/>
        <w:right w:val="none" w:sz="0" w:space="0" w:color="auto"/>
      </w:divBdr>
    </w:div>
    <w:div w:id="384454346">
      <w:bodyDiv w:val="1"/>
      <w:marLeft w:val="0"/>
      <w:marRight w:val="0"/>
      <w:marTop w:val="0"/>
      <w:marBottom w:val="0"/>
      <w:divBdr>
        <w:top w:val="none" w:sz="0" w:space="0" w:color="auto"/>
        <w:left w:val="none" w:sz="0" w:space="0" w:color="auto"/>
        <w:bottom w:val="none" w:sz="0" w:space="0" w:color="auto"/>
        <w:right w:val="none" w:sz="0" w:space="0" w:color="auto"/>
      </w:divBdr>
    </w:div>
    <w:div w:id="420417839">
      <w:bodyDiv w:val="1"/>
      <w:marLeft w:val="0"/>
      <w:marRight w:val="0"/>
      <w:marTop w:val="0"/>
      <w:marBottom w:val="0"/>
      <w:divBdr>
        <w:top w:val="none" w:sz="0" w:space="0" w:color="auto"/>
        <w:left w:val="none" w:sz="0" w:space="0" w:color="auto"/>
        <w:bottom w:val="none" w:sz="0" w:space="0" w:color="auto"/>
        <w:right w:val="none" w:sz="0" w:space="0" w:color="auto"/>
      </w:divBdr>
    </w:div>
    <w:div w:id="544222057">
      <w:bodyDiv w:val="1"/>
      <w:marLeft w:val="0"/>
      <w:marRight w:val="0"/>
      <w:marTop w:val="0"/>
      <w:marBottom w:val="0"/>
      <w:divBdr>
        <w:top w:val="none" w:sz="0" w:space="0" w:color="auto"/>
        <w:left w:val="none" w:sz="0" w:space="0" w:color="auto"/>
        <w:bottom w:val="none" w:sz="0" w:space="0" w:color="auto"/>
        <w:right w:val="none" w:sz="0" w:space="0" w:color="auto"/>
      </w:divBdr>
    </w:div>
    <w:div w:id="615912597">
      <w:bodyDiv w:val="1"/>
      <w:marLeft w:val="0"/>
      <w:marRight w:val="0"/>
      <w:marTop w:val="0"/>
      <w:marBottom w:val="0"/>
      <w:divBdr>
        <w:top w:val="none" w:sz="0" w:space="0" w:color="auto"/>
        <w:left w:val="none" w:sz="0" w:space="0" w:color="auto"/>
        <w:bottom w:val="none" w:sz="0" w:space="0" w:color="auto"/>
        <w:right w:val="none" w:sz="0" w:space="0" w:color="auto"/>
      </w:divBdr>
      <w:divsChild>
        <w:div w:id="1237670025">
          <w:marLeft w:val="0"/>
          <w:marRight w:val="0"/>
          <w:marTop w:val="0"/>
          <w:marBottom w:val="0"/>
          <w:divBdr>
            <w:top w:val="none" w:sz="0" w:space="0" w:color="auto"/>
            <w:left w:val="none" w:sz="0" w:space="0" w:color="auto"/>
            <w:bottom w:val="none" w:sz="0" w:space="0" w:color="auto"/>
            <w:right w:val="none" w:sz="0" w:space="0" w:color="auto"/>
          </w:divBdr>
          <w:divsChild>
            <w:div w:id="95479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28519">
      <w:bodyDiv w:val="1"/>
      <w:marLeft w:val="0"/>
      <w:marRight w:val="0"/>
      <w:marTop w:val="0"/>
      <w:marBottom w:val="0"/>
      <w:divBdr>
        <w:top w:val="none" w:sz="0" w:space="0" w:color="auto"/>
        <w:left w:val="none" w:sz="0" w:space="0" w:color="auto"/>
        <w:bottom w:val="none" w:sz="0" w:space="0" w:color="auto"/>
        <w:right w:val="none" w:sz="0" w:space="0" w:color="auto"/>
      </w:divBdr>
    </w:div>
    <w:div w:id="683899416">
      <w:bodyDiv w:val="1"/>
      <w:marLeft w:val="0"/>
      <w:marRight w:val="0"/>
      <w:marTop w:val="0"/>
      <w:marBottom w:val="0"/>
      <w:divBdr>
        <w:top w:val="none" w:sz="0" w:space="0" w:color="auto"/>
        <w:left w:val="none" w:sz="0" w:space="0" w:color="auto"/>
        <w:bottom w:val="none" w:sz="0" w:space="0" w:color="auto"/>
        <w:right w:val="none" w:sz="0" w:space="0" w:color="auto"/>
      </w:divBdr>
    </w:div>
    <w:div w:id="965697603">
      <w:bodyDiv w:val="1"/>
      <w:marLeft w:val="0"/>
      <w:marRight w:val="0"/>
      <w:marTop w:val="0"/>
      <w:marBottom w:val="0"/>
      <w:divBdr>
        <w:top w:val="none" w:sz="0" w:space="0" w:color="auto"/>
        <w:left w:val="none" w:sz="0" w:space="0" w:color="auto"/>
        <w:bottom w:val="none" w:sz="0" w:space="0" w:color="auto"/>
        <w:right w:val="none" w:sz="0" w:space="0" w:color="auto"/>
      </w:divBdr>
    </w:div>
    <w:div w:id="1074933530">
      <w:bodyDiv w:val="1"/>
      <w:marLeft w:val="0"/>
      <w:marRight w:val="0"/>
      <w:marTop w:val="0"/>
      <w:marBottom w:val="0"/>
      <w:divBdr>
        <w:top w:val="none" w:sz="0" w:space="0" w:color="auto"/>
        <w:left w:val="none" w:sz="0" w:space="0" w:color="auto"/>
        <w:bottom w:val="none" w:sz="0" w:space="0" w:color="auto"/>
        <w:right w:val="none" w:sz="0" w:space="0" w:color="auto"/>
      </w:divBdr>
    </w:div>
    <w:div w:id="1122459050">
      <w:bodyDiv w:val="1"/>
      <w:marLeft w:val="0"/>
      <w:marRight w:val="0"/>
      <w:marTop w:val="0"/>
      <w:marBottom w:val="0"/>
      <w:divBdr>
        <w:top w:val="none" w:sz="0" w:space="0" w:color="auto"/>
        <w:left w:val="none" w:sz="0" w:space="0" w:color="auto"/>
        <w:bottom w:val="none" w:sz="0" w:space="0" w:color="auto"/>
        <w:right w:val="none" w:sz="0" w:space="0" w:color="auto"/>
      </w:divBdr>
    </w:div>
    <w:div w:id="1153180370">
      <w:bodyDiv w:val="1"/>
      <w:marLeft w:val="0"/>
      <w:marRight w:val="0"/>
      <w:marTop w:val="0"/>
      <w:marBottom w:val="0"/>
      <w:divBdr>
        <w:top w:val="none" w:sz="0" w:space="0" w:color="auto"/>
        <w:left w:val="none" w:sz="0" w:space="0" w:color="auto"/>
        <w:bottom w:val="none" w:sz="0" w:space="0" w:color="auto"/>
        <w:right w:val="none" w:sz="0" w:space="0" w:color="auto"/>
      </w:divBdr>
    </w:div>
    <w:div w:id="1324815691">
      <w:bodyDiv w:val="1"/>
      <w:marLeft w:val="0"/>
      <w:marRight w:val="0"/>
      <w:marTop w:val="0"/>
      <w:marBottom w:val="0"/>
      <w:divBdr>
        <w:top w:val="none" w:sz="0" w:space="0" w:color="auto"/>
        <w:left w:val="none" w:sz="0" w:space="0" w:color="auto"/>
        <w:bottom w:val="none" w:sz="0" w:space="0" w:color="auto"/>
        <w:right w:val="none" w:sz="0" w:space="0" w:color="auto"/>
      </w:divBdr>
    </w:div>
    <w:div w:id="1377899109">
      <w:bodyDiv w:val="1"/>
      <w:marLeft w:val="0"/>
      <w:marRight w:val="0"/>
      <w:marTop w:val="0"/>
      <w:marBottom w:val="0"/>
      <w:divBdr>
        <w:top w:val="none" w:sz="0" w:space="0" w:color="auto"/>
        <w:left w:val="none" w:sz="0" w:space="0" w:color="auto"/>
        <w:bottom w:val="none" w:sz="0" w:space="0" w:color="auto"/>
        <w:right w:val="none" w:sz="0" w:space="0" w:color="auto"/>
      </w:divBdr>
    </w:div>
    <w:div w:id="1749305628">
      <w:bodyDiv w:val="1"/>
      <w:marLeft w:val="0"/>
      <w:marRight w:val="0"/>
      <w:marTop w:val="0"/>
      <w:marBottom w:val="0"/>
      <w:divBdr>
        <w:top w:val="none" w:sz="0" w:space="0" w:color="auto"/>
        <w:left w:val="none" w:sz="0" w:space="0" w:color="auto"/>
        <w:bottom w:val="none" w:sz="0" w:space="0" w:color="auto"/>
        <w:right w:val="none" w:sz="0" w:space="0" w:color="auto"/>
      </w:divBdr>
    </w:div>
    <w:div w:id="1758210418">
      <w:bodyDiv w:val="1"/>
      <w:marLeft w:val="0"/>
      <w:marRight w:val="0"/>
      <w:marTop w:val="0"/>
      <w:marBottom w:val="0"/>
      <w:divBdr>
        <w:top w:val="none" w:sz="0" w:space="0" w:color="auto"/>
        <w:left w:val="none" w:sz="0" w:space="0" w:color="auto"/>
        <w:bottom w:val="none" w:sz="0" w:space="0" w:color="auto"/>
        <w:right w:val="none" w:sz="0" w:space="0" w:color="auto"/>
      </w:divBdr>
    </w:div>
    <w:div w:id="1805075969">
      <w:bodyDiv w:val="1"/>
      <w:marLeft w:val="0"/>
      <w:marRight w:val="0"/>
      <w:marTop w:val="0"/>
      <w:marBottom w:val="0"/>
      <w:divBdr>
        <w:top w:val="none" w:sz="0" w:space="0" w:color="auto"/>
        <w:left w:val="none" w:sz="0" w:space="0" w:color="auto"/>
        <w:bottom w:val="none" w:sz="0" w:space="0" w:color="auto"/>
        <w:right w:val="none" w:sz="0" w:space="0" w:color="auto"/>
      </w:divBdr>
    </w:div>
    <w:div w:id="1818916382">
      <w:bodyDiv w:val="1"/>
      <w:marLeft w:val="0"/>
      <w:marRight w:val="0"/>
      <w:marTop w:val="0"/>
      <w:marBottom w:val="0"/>
      <w:divBdr>
        <w:top w:val="none" w:sz="0" w:space="0" w:color="auto"/>
        <w:left w:val="none" w:sz="0" w:space="0" w:color="auto"/>
        <w:bottom w:val="none" w:sz="0" w:space="0" w:color="auto"/>
        <w:right w:val="none" w:sz="0" w:space="0" w:color="auto"/>
      </w:divBdr>
      <w:divsChild>
        <w:div w:id="539244578">
          <w:marLeft w:val="0"/>
          <w:marRight w:val="0"/>
          <w:marTop w:val="0"/>
          <w:marBottom w:val="0"/>
          <w:divBdr>
            <w:top w:val="none" w:sz="0" w:space="0" w:color="auto"/>
            <w:left w:val="none" w:sz="0" w:space="0" w:color="auto"/>
            <w:bottom w:val="none" w:sz="0" w:space="0" w:color="auto"/>
            <w:right w:val="none" w:sz="0" w:space="0" w:color="auto"/>
          </w:divBdr>
        </w:div>
        <w:div w:id="1047485917">
          <w:marLeft w:val="0"/>
          <w:marRight w:val="0"/>
          <w:marTop w:val="0"/>
          <w:marBottom w:val="0"/>
          <w:divBdr>
            <w:top w:val="none" w:sz="0" w:space="0" w:color="auto"/>
            <w:left w:val="none" w:sz="0" w:space="0" w:color="auto"/>
            <w:bottom w:val="none" w:sz="0" w:space="0" w:color="auto"/>
            <w:right w:val="none" w:sz="0" w:space="0" w:color="auto"/>
          </w:divBdr>
        </w:div>
        <w:div w:id="1846549583">
          <w:marLeft w:val="0"/>
          <w:marRight w:val="0"/>
          <w:marTop w:val="0"/>
          <w:marBottom w:val="0"/>
          <w:divBdr>
            <w:top w:val="none" w:sz="0" w:space="0" w:color="auto"/>
            <w:left w:val="none" w:sz="0" w:space="0" w:color="auto"/>
            <w:bottom w:val="none" w:sz="0" w:space="0" w:color="auto"/>
            <w:right w:val="none" w:sz="0" w:space="0" w:color="auto"/>
          </w:divBdr>
        </w:div>
        <w:div w:id="1960257401">
          <w:marLeft w:val="0"/>
          <w:marRight w:val="0"/>
          <w:marTop w:val="0"/>
          <w:marBottom w:val="0"/>
          <w:divBdr>
            <w:top w:val="none" w:sz="0" w:space="0" w:color="auto"/>
            <w:left w:val="none" w:sz="0" w:space="0" w:color="auto"/>
            <w:bottom w:val="none" w:sz="0" w:space="0" w:color="auto"/>
            <w:right w:val="none" w:sz="0" w:space="0" w:color="auto"/>
          </w:divBdr>
        </w:div>
      </w:divsChild>
    </w:div>
    <w:div w:id="1819805932">
      <w:bodyDiv w:val="1"/>
      <w:marLeft w:val="0"/>
      <w:marRight w:val="0"/>
      <w:marTop w:val="0"/>
      <w:marBottom w:val="0"/>
      <w:divBdr>
        <w:top w:val="none" w:sz="0" w:space="0" w:color="auto"/>
        <w:left w:val="none" w:sz="0" w:space="0" w:color="auto"/>
        <w:bottom w:val="none" w:sz="0" w:space="0" w:color="auto"/>
        <w:right w:val="none" w:sz="0" w:space="0" w:color="auto"/>
      </w:divBdr>
    </w:div>
    <w:div w:id="1870945117">
      <w:bodyDiv w:val="1"/>
      <w:marLeft w:val="0"/>
      <w:marRight w:val="0"/>
      <w:marTop w:val="0"/>
      <w:marBottom w:val="0"/>
      <w:divBdr>
        <w:top w:val="none" w:sz="0" w:space="0" w:color="auto"/>
        <w:left w:val="none" w:sz="0" w:space="0" w:color="auto"/>
        <w:bottom w:val="none" w:sz="0" w:space="0" w:color="auto"/>
        <w:right w:val="none" w:sz="0" w:space="0" w:color="auto"/>
      </w:divBdr>
    </w:div>
    <w:div w:id="1891376599">
      <w:bodyDiv w:val="1"/>
      <w:marLeft w:val="0"/>
      <w:marRight w:val="0"/>
      <w:marTop w:val="0"/>
      <w:marBottom w:val="0"/>
      <w:divBdr>
        <w:top w:val="none" w:sz="0" w:space="0" w:color="auto"/>
        <w:left w:val="none" w:sz="0" w:space="0" w:color="auto"/>
        <w:bottom w:val="none" w:sz="0" w:space="0" w:color="auto"/>
        <w:right w:val="none" w:sz="0" w:space="0" w:color="auto"/>
      </w:divBdr>
    </w:div>
    <w:div w:id="2036496358">
      <w:bodyDiv w:val="1"/>
      <w:marLeft w:val="0"/>
      <w:marRight w:val="0"/>
      <w:marTop w:val="0"/>
      <w:marBottom w:val="0"/>
      <w:divBdr>
        <w:top w:val="none" w:sz="0" w:space="0" w:color="auto"/>
        <w:left w:val="none" w:sz="0" w:space="0" w:color="auto"/>
        <w:bottom w:val="none" w:sz="0" w:space="0" w:color="auto"/>
        <w:right w:val="none" w:sz="0" w:space="0" w:color="auto"/>
      </w:divBdr>
    </w:div>
    <w:div w:id="20685304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orc.osu.edu/files/ResearchDataPolicy.pdf" TargetMode="External"/><Relationship Id="rId21" Type="http://schemas.openxmlformats.org/officeDocument/2006/relationships/hyperlink" Target="http://go.osu.edu/citi" TargetMode="External"/><Relationship Id="rId324" Type="http://schemas.openxmlformats.org/officeDocument/2006/relationships/hyperlink" Target="https://www.fda.gov/vaccines-blood-biologics/development-approval-process-cber/investigational-device-exemptions-ides-cber-regulated-products" TargetMode="External"/><Relationship Id="rId531" Type="http://schemas.openxmlformats.org/officeDocument/2006/relationships/hyperlink" Target="https://osuirb.huronresearchsuite.com/IRB/sd/Doc/0/28JJS3NRHC8UUCKFCTLOULIG00/HRP-506%20Cover%20Letter%20Legacy%20Studies.docx" TargetMode="External"/><Relationship Id="rId170" Type="http://schemas.openxmlformats.org/officeDocument/2006/relationships/hyperlink" Target="https://go.osu.edu/HRPPpolicy37" TargetMode="External"/><Relationship Id="rId268" Type="http://schemas.openxmlformats.org/officeDocument/2006/relationships/hyperlink" Target="https://go.osu.edu/ORRPMFW" TargetMode="External"/><Relationship Id="rId475" Type="http://schemas.openxmlformats.org/officeDocument/2006/relationships/hyperlink" Target="https://go.osu.edu/hrp620" TargetMode="External"/><Relationship Id="rId32" Type="http://schemas.openxmlformats.org/officeDocument/2006/relationships/hyperlink" Target="https://go.osu.edu/hrp504" TargetMode="External"/><Relationship Id="rId128" Type="http://schemas.openxmlformats.org/officeDocument/2006/relationships/hyperlink" Target="https://go.osu.edu/HRPPpolicy40" TargetMode="External"/><Relationship Id="rId335" Type="http://schemas.openxmlformats.org/officeDocument/2006/relationships/hyperlink" Target="https://www.fda.gov/medical-devices/investigational-device-exemption-ide/ide-approval-process" TargetMode="External"/><Relationship Id="rId542" Type="http://schemas.openxmlformats.org/officeDocument/2006/relationships/hyperlink" Target="https://osuirb.huronresearchsuite.com/IRB/sd/Doc/0/M3J67CFRHO8UUCKFCTLOULIG00/HRP-510%20Appendix%20K%20-%20Nonviable%20Neonates.docx" TargetMode="External"/><Relationship Id="rId181" Type="http://schemas.openxmlformats.org/officeDocument/2006/relationships/hyperlink" Target="https://go.osu.edu/HRPPpolicy10" TargetMode="External"/><Relationship Id="rId402" Type="http://schemas.openxmlformats.org/officeDocument/2006/relationships/hyperlink" Target="http://www.accessdata.fda.gov/scripts/cdrh/cfdocs/cfcfr/CFRsearch.cfm?CFRPart=312" TargetMode="External"/><Relationship Id="rId279" Type="http://schemas.openxmlformats.org/officeDocument/2006/relationships/hyperlink" Target="https://go.osu.edu/HRPPpolicy21" TargetMode="External"/><Relationship Id="rId486" Type="http://schemas.openxmlformats.org/officeDocument/2006/relationships/hyperlink" Target="https://go.osu.edu/hrp631" TargetMode="External"/><Relationship Id="rId43" Type="http://schemas.openxmlformats.org/officeDocument/2006/relationships/hyperlink" Target="https://ohiostateresearch.knowledgebase.co/article/huron-irb-change-study-documents-87.html" TargetMode="External"/><Relationship Id="rId139" Type="http://schemas.openxmlformats.org/officeDocument/2006/relationships/hyperlink" Target="https://go.osu.edu/HRPPpolicy20" TargetMode="External"/><Relationship Id="rId346" Type="http://schemas.openxmlformats.org/officeDocument/2006/relationships/hyperlink" Target="https://www.fda.gov/medical-devices/investigational-device-exemption-ide/ide-approval-process" TargetMode="External"/><Relationship Id="rId553" Type="http://schemas.openxmlformats.org/officeDocument/2006/relationships/hyperlink" Target="https://osuirb.huronresearchsuite.com/IRB/sd/Doc/0/OG0HM2G8N48V0D4FCTLOULIG00/HRP-510%20Appendix%20V%20-%20Devices.docx" TargetMode="External"/><Relationship Id="rId192" Type="http://schemas.openxmlformats.org/officeDocument/2006/relationships/hyperlink" Target="https://go.osu.edu/HRPPpolicy04" TargetMode="External"/><Relationship Id="rId206" Type="http://schemas.openxmlformats.org/officeDocument/2006/relationships/hyperlink" Target="http://orc.osu.edu/files/ResearchDataPolicy.pdf" TargetMode="External"/><Relationship Id="rId413" Type="http://schemas.openxmlformats.org/officeDocument/2006/relationships/hyperlink" Target="https://go.osu.edu/HRPPpolicy14" TargetMode="External"/><Relationship Id="rId497" Type="http://schemas.openxmlformats.org/officeDocument/2006/relationships/header" Target="header5.xml"/><Relationship Id="rId357" Type="http://schemas.openxmlformats.org/officeDocument/2006/relationships/hyperlink" Target="http://www.accessdata.fda.gov/scripts/cdrh/cfdocs/cfCFR/CFRSearch.cfm?CFRPart=814" TargetMode="External"/><Relationship Id="rId54" Type="http://schemas.openxmlformats.org/officeDocument/2006/relationships/hyperlink" Target="mailto:security@osu.edu" TargetMode="External"/><Relationship Id="rId217" Type="http://schemas.openxmlformats.org/officeDocument/2006/relationships/hyperlink" Target="https://go.osu.edu/hrpppolicy28" TargetMode="External"/><Relationship Id="rId564" Type="http://schemas.openxmlformats.org/officeDocument/2006/relationships/hyperlink" Target="https://osuirb.huronresearchsuite.com/IRB/sd/Doc/0/VI1FV77RHO8UUCKFCTLOULIG00/HRP-540%20Parental-Permission%20Template_BSS.doc" TargetMode="External"/><Relationship Id="rId424" Type="http://schemas.openxmlformats.org/officeDocument/2006/relationships/hyperlink" Target="https://pubs.rsna.org/doi/abs/10.1148/radiol.2481071451?journalCode=radiology" TargetMode="External"/><Relationship Id="rId270" Type="http://schemas.openxmlformats.org/officeDocument/2006/relationships/hyperlink" Target="https://go.osu.edu/HRPPpolicy36" TargetMode="External"/><Relationship Id="rId65" Type="http://schemas.openxmlformats.org/officeDocument/2006/relationships/hyperlink" Target="https://go.osu.edu/ORCCOI" TargetMode="External"/><Relationship Id="rId130" Type="http://schemas.openxmlformats.org/officeDocument/2006/relationships/hyperlink" Target="https://go.osu.edu/HRPPpolicy12" TargetMode="External"/><Relationship Id="rId368" Type="http://schemas.openxmlformats.org/officeDocument/2006/relationships/hyperlink" Target="https://go.osu.edu/HRPPpolicy35" TargetMode="External"/><Relationship Id="rId575" Type="http://schemas.openxmlformats.org/officeDocument/2006/relationships/hyperlink" Target="https://osuirb.huronresearchsuite.com/IRB/sd/Doc/0/3STB8FNRI88UUCKFCTLOULIG00/HRP-544g%20ShortFormConsentTemplate_English%20%20FINAL-Korean.rtf" TargetMode="External"/><Relationship Id="rId228" Type="http://schemas.openxmlformats.org/officeDocument/2006/relationships/hyperlink" Target="http://www.fda.gov/downloads/drugs/guidancecomplianceregulatoryinformation/guidances/ucm436811.pdf" TargetMode="External"/><Relationship Id="rId435" Type="http://schemas.openxmlformats.org/officeDocument/2006/relationships/hyperlink" Target="https://osuirb.huronresearchsuite.com/IRB/sd/Rooms/DisplayPages/LayoutInitial?container=com.webridge.entity.Entity%5BOID%5BCACD41AF7CFE11EF328F32B38F565000%5D%5D&amp;tab2=294B1E5FDD6A8142A2AF57F5F7F197BF" TargetMode="External"/><Relationship Id="rId281" Type="http://schemas.openxmlformats.org/officeDocument/2006/relationships/hyperlink" Target="https://go.osu.edu/HRPPpolicy39" TargetMode="External"/><Relationship Id="rId502" Type="http://schemas.openxmlformats.org/officeDocument/2006/relationships/hyperlink" Target="https://osuirb.huronresearchsuite.com/IRB/sd/Doc/0/A4T4E17RGG8UUCKFCTLOULIG00/HRP-302%20-%20WORKSHEET%20-%20Approval%20Intervals.docx" TargetMode="External"/><Relationship Id="rId76" Type="http://schemas.openxmlformats.org/officeDocument/2006/relationships/hyperlink" Target="mailto:IRBinfo@osu.edu" TargetMode="External"/><Relationship Id="rId141" Type="http://schemas.openxmlformats.org/officeDocument/2006/relationships/hyperlink" Target="https://go.osu.edu/HRPPpolicy29" TargetMode="External"/><Relationship Id="rId379" Type="http://schemas.openxmlformats.org/officeDocument/2006/relationships/hyperlink" Target="http://registrar.osu.edu/policies/privacy_release_student_records.pdf" TargetMode="External"/><Relationship Id="rId586" Type="http://schemas.openxmlformats.org/officeDocument/2006/relationships/hyperlink" Target="https://osuirb.huronresearchsuite.com/IRB/sd/Doc/0/MEDLSK7RHS8UUCKFCTLOULIG00/HRP-546%20HIPAA%20Auth%20Instructions.doc" TargetMode="External"/><Relationship Id="rId7" Type="http://schemas.openxmlformats.org/officeDocument/2006/relationships/styles" Target="styles.xml"/><Relationship Id="rId239" Type="http://schemas.openxmlformats.org/officeDocument/2006/relationships/hyperlink" Target="https://go.osu.edu/hrpppolicy27" TargetMode="External"/><Relationship Id="rId446" Type="http://schemas.openxmlformats.org/officeDocument/2006/relationships/hyperlink" Target="https://go.osu.edu/hrp061" TargetMode="External"/><Relationship Id="rId292" Type="http://schemas.openxmlformats.org/officeDocument/2006/relationships/hyperlink" Target="https://go.osu.edu/HRPPpolicy27" TargetMode="External"/><Relationship Id="rId306" Type="http://schemas.openxmlformats.org/officeDocument/2006/relationships/hyperlink" Target="https://go.osu.edu/HRPPpolicy35" TargetMode="External"/><Relationship Id="rId87" Type="http://schemas.openxmlformats.org/officeDocument/2006/relationships/hyperlink" Target="https://it.osu.edu/privacy/gdpr-statement" TargetMode="External"/><Relationship Id="rId513" Type="http://schemas.openxmlformats.org/officeDocument/2006/relationships/hyperlink" Target="https://osuirb.huronresearchsuite.com/IRB/sd/Doc/0/IL7UCE7RGK8UUCKFCTLOULIG00/HRP-412%20-%20CHECKLIST%20-%20Pregnant%20Women.docx" TargetMode="External"/><Relationship Id="rId597" Type="http://schemas.openxmlformats.org/officeDocument/2006/relationships/hyperlink" Target="https://osuirb.huronresearchsuite.com/IRB/sd/Doc/0/NS4SJS94S08V0DKFCTLOULIG00/HRP-834%20-%20NCI%20CIRB%20Consent%20Guidance%20-%20OSU%20Boilerplate-language_English%207.20.2023.docx" TargetMode="External"/><Relationship Id="rId152" Type="http://schemas.openxmlformats.org/officeDocument/2006/relationships/hyperlink" Target="https://go.osu.edu/HRPPpolicy24" TargetMode="External"/><Relationship Id="rId457" Type="http://schemas.openxmlformats.org/officeDocument/2006/relationships/hyperlink" Target="https://go.osu.edu/hrp084" TargetMode="External"/><Relationship Id="rId14" Type="http://schemas.openxmlformats.org/officeDocument/2006/relationships/header" Target="header2.xml"/><Relationship Id="rId56" Type="http://schemas.openxmlformats.org/officeDocument/2006/relationships/hyperlink" Target="https://go.osu.edu/hrp215" TargetMode="External"/><Relationship Id="rId317" Type="http://schemas.openxmlformats.org/officeDocument/2006/relationships/hyperlink" Target="http://www.accessdata.fda.gov/scripts/cdrh/cfdocs/cfcfr/CFRSearch.cfm?CFRPart=211" TargetMode="External"/><Relationship Id="rId359" Type="http://schemas.openxmlformats.org/officeDocument/2006/relationships/hyperlink" Target="http://www.accessdata.fda.gov/scripts/cdrh/cfdocs/cfcfr/CFRsearch.cfm?CFRPart=860" TargetMode="External"/><Relationship Id="rId524" Type="http://schemas.openxmlformats.org/officeDocument/2006/relationships/hyperlink" Target="https://osuirb.huronresearchsuite.com/IRB/sd/Doc/0/7LGP52NUD48UUCKFCTLOULIG00/HRP-217%20-%20FORM%20-%20Supplemental%20Review%20Form.docx" TargetMode="External"/><Relationship Id="rId566" Type="http://schemas.openxmlformats.org/officeDocument/2006/relationships/hyperlink" Target="https://osuirb.huronresearchsuite.com/IRB/sd/Doc/0/9A7RED7RHS8UUCKFCTLOULIG00/HRP-542%20Assent%20Template_BSS.doc" TargetMode="External"/><Relationship Id="rId98" Type="http://schemas.openxmlformats.org/officeDocument/2006/relationships/hyperlink" Target="https://go.osu.edu/HRPPpolicy12" TargetMode="External"/><Relationship Id="rId121" Type="http://schemas.openxmlformats.org/officeDocument/2006/relationships/hyperlink" Target="https://go.osu.edu/HRPPpolicies" TargetMode="External"/><Relationship Id="rId163" Type="http://schemas.openxmlformats.org/officeDocument/2006/relationships/hyperlink" Target="https://go.osu.edu/hrpppolicy14" TargetMode="External"/><Relationship Id="rId219" Type="http://schemas.openxmlformats.org/officeDocument/2006/relationships/hyperlink" Target="https://go.osu.edu/hrpppolicy21" TargetMode="External"/><Relationship Id="rId370" Type="http://schemas.openxmlformats.org/officeDocument/2006/relationships/hyperlink" Target="https://go.osu.edu/HRPPpolicy29" TargetMode="External"/><Relationship Id="rId426" Type="http://schemas.openxmlformats.org/officeDocument/2006/relationships/hyperlink" Target="http://go.osu.edu/HRPPpolicy12" TargetMode="External"/><Relationship Id="rId230" Type="http://schemas.openxmlformats.org/officeDocument/2006/relationships/hyperlink" Target="https://go.osu.edu/hrpppolicy14" TargetMode="External"/><Relationship Id="rId468" Type="http://schemas.openxmlformats.org/officeDocument/2006/relationships/hyperlink" Target="https://go.osu.edu/hrp612" TargetMode="External"/><Relationship Id="rId25" Type="http://schemas.openxmlformats.org/officeDocument/2006/relationships/hyperlink" Target="https://policies.osu.edu/sites/default/files/documents/2024/09/outside-activities-policy.pdf" TargetMode="External"/><Relationship Id="rId67" Type="http://schemas.openxmlformats.org/officeDocument/2006/relationships/hyperlink" Target="https://go.osu.edu/hrp103p" TargetMode="External"/><Relationship Id="rId272" Type="http://schemas.openxmlformats.org/officeDocument/2006/relationships/hyperlink" Target="https://go.osu.edu/HRPPpolicy12" TargetMode="External"/><Relationship Id="rId328" Type="http://schemas.openxmlformats.org/officeDocument/2006/relationships/hyperlink" Target="https://www.fda.gov/medical-devices/investigational-device-exemption-ide/ide-approval-process" TargetMode="External"/><Relationship Id="rId535" Type="http://schemas.openxmlformats.org/officeDocument/2006/relationships/hyperlink" Target="https://osuirb.huronresearchsuite.com/IRB/sd/Doc/0/VO5UNCNRHK8UUCKFCTLOULIG00/HRP-510%20Appendix%20D%20-%20Deception.docx" TargetMode="External"/><Relationship Id="rId577" Type="http://schemas.openxmlformats.org/officeDocument/2006/relationships/hyperlink" Target="https://osuirb.huronresearchsuite.com/IRB/sd/Doc/0/E5MKGVFRI88UUCKFCTLOULIG00/HRP-544i%20ShortFormConsentTemplate_English%20FINAL-Nepali.rtf" TargetMode="External"/><Relationship Id="rId132" Type="http://schemas.openxmlformats.org/officeDocument/2006/relationships/hyperlink" Target="https://go.osu.edu/HRPPpolicy37" TargetMode="External"/><Relationship Id="rId174" Type="http://schemas.openxmlformats.org/officeDocument/2006/relationships/hyperlink" Target="https://go.osu.edu/HRPPpolicy04" TargetMode="External"/><Relationship Id="rId381" Type="http://schemas.openxmlformats.org/officeDocument/2006/relationships/hyperlink" Target="https://go.osu.edu/HRPPpolicy18" TargetMode="External"/><Relationship Id="rId602" Type="http://schemas.openxmlformats.org/officeDocument/2006/relationships/theme" Target="theme/theme1.xml"/><Relationship Id="rId241" Type="http://schemas.openxmlformats.org/officeDocument/2006/relationships/hyperlink" Target="http://www.ed.gov/policy/gen/guid/fpco/ferpa/index.html" TargetMode="External"/><Relationship Id="rId437" Type="http://schemas.openxmlformats.org/officeDocument/2006/relationships/hyperlink" Target="https://go.osu.edu/hrp027" TargetMode="External"/><Relationship Id="rId479" Type="http://schemas.openxmlformats.org/officeDocument/2006/relationships/hyperlink" Target="https://go.osu.edu/hrp624" TargetMode="External"/><Relationship Id="rId36" Type="http://schemas.openxmlformats.org/officeDocument/2006/relationships/hyperlink" Target="https://go.osu.edu/hrp510n" TargetMode="External"/><Relationship Id="rId283" Type="http://schemas.openxmlformats.org/officeDocument/2006/relationships/hyperlink" Target="http://grants.nih.gov/grants/guide/notice-files/not98-024.html" TargetMode="External"/><Relationship Id="rId339" Type="http://schemas.openxmlformats.org/officeDocument/2006/relationships/hyperlink" Target="https://www.fda.gov/medical-devices/investigational-device-exemption-ide/expanded-access-medical-devices" TargetMode="External"/><Relationship Id="rId490" Type="http://schemas.openxmlformats.org/officeDocument/2006/relationships/hyperlink" Target="https://go.osu.edu/hrp801" TargetMode="External"/><Relationship Id="rId504" Type="http://schemas.openxmlformats.org/officeDocument/2006/relationships/hyperlink" Target="https://osuirb.huronresearchsuite.com/IRB/sd/Doc/0/O8RAUHNRGC8UUCKFCTLOULIG00/HRP-311%20-%20WORKSHEET%20-%20Engagement%20Determination.docx" TargetMode="External"/><Relationship Id="rId546" Type="http://schemas.openxmlformats.org/officeDocument/2006/relationships/hyperlink" Target="https://osuirb.huronresearchsuite.com/IRB/sd/Doc/0/1DT5KPNRHS8UUCKFCTLOULIG00/HRP-510%20Appendix%20O%20-%20Radiation.docx" TargetMode="External"/><Relationship Id="rId78" Type="http://schemas.openxmlformats.org/officeDocument/2006/relationships/hyperlink" Target="mailto:BiomedicalIRBInfo@osu.edu" TargetMode="External"/><Relationship Id="rId101" Type="http://schemas.openxmlformats.org/officeDocument/2006/relationships/hyperlink" Target="https://go.osu.edu/IRBtraining" TargetMode="External"/><Relationship Id="rId143" Type="http://schemas.openxmlformats.org/officeDocument/2006/relationships/hyperlink" Target="https://go.osu.edu/HRPPpolicy10" TargetMode="External"/><Relationship Id="rId185" Type="http://schemas.openxmlformats.org/officeDocument/2006/relationships/footer" Target="footer3.xml"/><Relationship Id="rId350" Type="http://schemas.openxmlformats.org/officeDocument/2006/relationships/hyperlink" Target="https://www.fda.gov/medical-devices/investigational-device-exemption-ide/ide-responsibilities" TargetMode="External"/><Relationship Id="rId406" Type="http://schemas.openxmlformats.org/officeDocument/2006/relationships/hyperlink" Target="https://go.osu.edu/HRPPpolicy37" TargetMode="External"/><Relationship Id="rId588" Type="http://schemas.openxmlformats.org/officeDocument/2006/relationships/hyperlink" Target="https://osuirb.huronresearchsuite.com/IRB/sd/Doc/0/3824NCVRI08UUCKFCTLOULIG00/HRP-551%20Guidance%20for%20Consent%20Templates%20BC.pdf" TargetMode="External"/><Relationship Id="rId9" Type="http://schemas.openxmlformats.org/officeDocument/2006/relationships/webSettings" Target="webSettings.xml"/><Relationship Id="rId210" Type="http://schemas.openxmlformats.org/officeDocument/2006/relationships/hyperlink" Target="https://grants.nih.gov/grants/guide/notice-files/NOT-OD-17-109.html" TargetMode="External"/><Relationship Id="rId392" Type="http://schemas.openxmlformats.org/officeDocument/2006/relationships/hyperlink" Target="https://go.osu.edu/HRPPpolicy02" TargetMode="External"/><Relationship Id="rId448" Type="http://schemas.openxmlformats.org/officeDocument/2006/relationships/hyperlink" Target="https://go.osu.edu/hrp063" TargetMode="External"/><Relationship Id="rId252" Type="http://schemas.openxmlformats.org/officeDocument/2006/relationships/hyperlink" Target="https://go.osu.edu/HRPPpolicy14" TargetMode="External"/><Relationship Id="rId294" Type="http://schemas.openxmlformats.org/officeDocument/2006/relationships/hyperlink" Target="https://go.osu.edu/HRPPpolicy36" TargetMode="External"/><Relationship Id="rId308" Type="http://schemas.openxmlformats.org/officeDocument/2006/relationships/hyperlink" Target="https://go.osu.edu/HRPPpolicy10" TargetMode="External"/><Relationship Id="rId515" Type="http://schemas.openxmlformats.org/officeDocument/2006/relationships/hyperlink" Target="https://osuirb.huronresearchsuite.com/IRB/sd/Doc/0/Q572DFVRGK8UUCKFCTLOULIG00/HRP-414%20-%20CHECKLIST%20-%20Neonates%20of%20Uncertain%20Viability.docx" TargetMode="External"/><Relationship Id="rId47" Type="http://schemas.openxmlformats.org/officeDocument/2006/relationships/hyperlink" Target="https://go.osu.edu/hrp314" TargetMode="External"/><Relationship Id="rId89" Type="http://schemas.openxmlformats.org/officeDocument/2006/relationships/hyperlink" Target="https://research.osu.edu/sites/default/files/2021-05/Qualifications-and-Procedures-for-principal-investigator-status.pdf" TargetMode="External"/><Relationship Id="rId112" Type="http://schemas.openxmlformats.org/officeDocument/2006/relationships/hyperlink" Target="https://go.osu.edu/HRPPpolicy18" TargetMode="External"/><Relationship Id="rId154" Type="http://schemas.openxmlformats.org/officeDocument/2006/relationships/hyperlink" Target="https://go.osu.edu/HRPPpolicy39" TargetMode="External"/><Relationship Id="rId361" Type="http://schemas.openxmlformats.org/officeDocument/2006/relationships/hyperlink" Target="https://www.fda.gov/medical-devices/investigational-device-exemption-ide/ide-responsibilities" TargetMode="External"/><Relationship Id="rId557" Type="http://schemas.openxmlformats.org/officeDocument/2006/relationships/hyperlink" Target="https://osuirb.huronresearchsuite.com/IRB/sd/Doc/0/CUG3O0FRHK8UUCKFCTLOULIG00/HRP-533%20ICF%20-%20Verbal%20Script%20Template.docx" TargetMode="External"/><Relationship Id="rId599" Type="http://schemas.openxmlformats.org/officeDocument/2006/relationships/header" Target="header6.xml"/><Relationship Id="rId196" Type="http://schemas.openxmlformats.org/officeDocument/2006/relationships/hyperlink" Target="http://www.ed.gov/policy/gen/guid/fpco/ferpa/index.html" TargetMode="External"/><Relationship Id="rId417" Type="http://schemas.openxmlformats.org/officeDocument/2006/relationships/hyperlink" Target="http://compliance.osu.edu/PublicRecordsPolicy.pdf" TargetMode="External"/><Relationship Id="rId459" Type="http://schemas.openxmlformats.org/officeDocument/2006/relationships/hyperlink" Target="https://go.osu.edu/hrp602" TargetMode="External"/><Relationship Id="rId16" Type="http://schemas.openxmlformats.org/officeDocument/2006/relationships/hyperlink" Target="https://go.osu.edu/hrpppolicy01" TargetMode="External"/><Relationship Id="rId221" Type="http://schemas.openxmlformats.org/officeDocument/2006/relationships/hyperlink" Target="http://www.aaanet.org/stmts/irb.htm" TargetMode="External"/><Relationship Id="rId263" Type="http://schemas.openxmlformats.org/officeDocument/2006/relationships/hyperlink" Target="https://go.osu.edu/HRPPpolicy20" TargetMode="External"/><Relationship Id="rId319" Type="http://schemas.openxmlformats.org/officeDocument/2006/relationships/hyperlink" Target="http://www.accessdata.fda.gov/scripts/cdrh/cfdocs/cfcfr/CFRsearch.cfm?CFRPart=320" TargetMode="External"/><Relationship Id="rId470" Type="http://schemas.openxmlformats.org/officeDocument/2006/relationships/hyperlink" Target="https://go.osu.edu/hrp615" TargetMode="External"/><Relationship Id="rId526" Type="http://schemas.openxmlformats.org/officeDocument/2006/relationships/hyperlink" Target="https://osuirb.huronresearchsuite.com/IRB/sd/Doc/0/J4NLL7O8SC8V0D4FCTLOULIG00/HRP-503a%20Protocol%20-%20Behavioral%20and%20Social%20Science%20Research%203.24.25%20V3.docx" TargetMode="External"/><Relationship Id="rId58" Type="http://schemas.openxmlformats.org/officeDocument/2006/relationships/hyperlink" Target="http://orc.osu.edu/files/ResearchDataPolicy.pdf" TargetMode="External"/><Relationship Id="rId123" Type="http://schemas.openxmlformats.org/officeDocument/2006/relationships/hyperlink" Target="https://www.fda.gov/media/75414/download" TargetMode="External"/><Relationship Id="rId330" Type="http://schemas.openxmlformats.org/officeDocument/2006/relationships/hyperlink" Target="https://www.fda.gov/medical-devices/investigational-device-exemption-ide/ide-responsibilities" TargetMode="External"/><Relationship Id="rId568" Type="http://schemas.openxmlformats.org/officeDocument/2006/relationships/hyperlink" Target="https://osuirb.huronresearchsuite.com/IRB/sd/Doc/0/NR7SCD7RI08UUCKFCTLOULIG00/HRP-544%20ShortFormConsentTemplate_English.rtf" TargetMode="External"/><Relationship Id="rId165" Type="http://schemas.openxmlformats.org/officeDocument/2006/relationships/hyperlink" Target="https://go.osu.edu/HRPPpolicy09" TargetMode="External"/><Relationship Id="rId372" Type="http://schemas.openxmlformats.org/officeDocument/2006/relationships/hyperlink" Target="https://pathology.osu.edu/services/autopsyservices.html" TargetMode="External"/><Relationship Id="rId428" Type="http://schemas.openxmlformats.org/officeDocument/2006/relationships/hyperlink" Target="https://codes.ohio.gov/ohio-administrative-code/chapter-3701:1-58" TargetMode="External"/><Relationship Id="rId232" Type="http://schemas.openxmlformats.org/officeDocument/2006/relationships/hyperlink" Target="https://go.osu.edu/hrpppolicy19" TargetMode="External"/><Relationship Id="rId274" Type="http://schemas.openxmlformats.org/officeDocument/2006/relationships/hyperlink" Target="https://go.osu.edu/HRPPpolicy09" TargetMode="External"/><Relationship Id="rId481" Type="http://schemas.openxmlformats.org/officeDocument/2006/relationships/hyperlink" Target="https://go.osu.edu/hrp626" TargetMode="External"/><Relationship Id="rId27" Type="http://schemas.openxmlformats.org/officeDocument/2006/relationships/hyperlink" Target="https://orapps.osu.edu/coi/" TargetMode="External"/><Relationship Id="rId69" Type="http://schemas.openxmlformats.org/officeDocument/2006/relationships/hyperlink" Target="https://go.osu.edu/hrp811" TargetMode="External"/><Relationship Id="rId134" Type="http://schemas.openxmlformats.org/officeDocument/2006/relationships/hyperlink" Target="https://go.osu.edu/HRPPpolicy12" TargetMode="External"/><Relationship Id="rId537" Type="http://schemas.openxmlformats.org/officeDocument/2006/relationships/hyperlink" Target="https://osuirb.huronresearchsuite.com/IRB/sd/Doc/0/71BTBSFRHO8UUCKFCTLOULIG00/HRP-510%20Appendix%20F%20-%20Full%20Waiver%20of%20HIPAA%20Research%20Authorization.docx" TargetMode="External"/><Relationship Id="rId579" Type="http://schemas.openxmlformats.org/officeDocument/2006/relationships/hyperlink" Target="https://osuirb.huronresearchsuite.com/IRB/sd/Doc/0/T58V93NRI88UUCKFCTLOULIG00/HRP-544l%20ShortFormConsentTemplate_English%20%20FINAL-Som.rtf" TargetMode="External"/><Relationship Id="rId80" Type="http://schemas.openxmlformats.org/officeDocument/2006/relationships/hyperlink" Target="mailto:exemptinfo@osu.edu" TargetMode="External"/><Relationship Id="rId176" Type="http://schemas.openxmlformats.org/officeDocument/2006/relationships/hyperlink" Target="https://go.osu.edu/HRPPpolicy12" TargetMode="External"/><Relationship Id="rId341" Type="http://schemas.openxmlformats.org/officeDocument/2006/relationships/hyperlink" Target="https://go.osu.edu/HRPPpolicy34" TargetMode="External"/><Relationship Id="rId383" Type="http://schemas.openxmlformats.org/officeDocument/2006/relationships/hyperlink" Target="https://ocio.osu.edu/policy/policies/policy-on-institutional-data/" TargetMode="External"/><Relationship Id="rId439" Type="http://schemas.openxmlformats.org/officeDocument/2006/relationships/hyperlink" Target="https://go.osu.edu/hrp040" TargetMode="External"/><Relationship Id="rId590" Type="http://schemas.openxmlformats.org/officeDocument/2006/relationships/hyperlink" Target="https://osuirb.huronresearchsuite.com/IRB/sd/Doc/0/EGC8JSFRI08UUCKFCTLOULIG00/HRP-553%20GuidanceforConsentTemplates_Exempt.pdf" TargetMode="External"/><Relationship Id="rId201" Type="http://schemas.openxmlformats.org/officeDocument/2006/relationships/hyperlink" Target="http://osp.osu.edu/administration/compliance/payments-to-human-subjects/" TargetMode="External"/><Relationship Id="rId243" Type="http://schemas.openxmlformats.org/officeDocument/2006/relationships/hyperlink" Target="https://go.osu.edu/hrpppolicy34" TargetMode="External"/><Relationship Id="rId285" Type="http://schemas.openxmlformats.org/officeDocument/2006/relationships/hyperlink" Target="http://www.hhs.gov/ohrp/policy/populations/guidance_407process.html" TargetMode="External"/><Relationship Id="rId450" Type="http://schemas.openxmlformats.org/officeDocument/2006/relationships/hyperlink" Target="https://go.osu.edu/hrp065" TargetMode="External"/><Relationship Id="rId506" Type="http://schemas.openxmlformats.org/officeDocument/2006/relationships/hyperlink" Target="https://osuirb.huronresearchsuite.com/IRB/sd/Doc/0/60F1KL7RGG8UUCKFCTLOULIG00/HRP-325%20-%20WORKSHEET%20-%20Device%20Compassionate%20Use.docx" TargetMode="External"/><Relationship Id="rId38" Type="http://schemas.openxmlformats.org/officeDocument/2006/relationships/hyperlink" Target="https://go.osu.edu/ORRPconsentlanguage" TargetMode="External"/><Relationship Id="rId103" Type="http://schemas.openxmlformats.org/officeDocument/2006/relationships/hyperlink" Target="https://go.osu.edu/HRPPpolicy02" TargetMode="External"/><Relationship Id="rId310" Type="http://schemas.openxmlformats.org/officeDocument/2006/relationships/hyperlink" Target="https://go.osu.edu/HRPPpolicy12" TargetMode="External"/><Relationship Id="rId492" Type="http://schemas.openxmlformats.org/officeDocument/2006/relationships/hyperlink" Target="https://go.osu.edu/hrp804" TargetMode="External"/><Relationship Id="rId548" Type="http://schemas.openxmlformats.org/officeDocument/2006/relationships/hyperlink" Target="https://osuirb.huronresearchsuite.com/IRB/sd/Doc/0/7BR5CM7RHS8UUCKFCTLOULIG00/HRP-510%20Appendix%20Q%20-%20Waiver%20of%20Consent%20%26%20Parental%20Permission%20Documentation.docx" TargetMode="External"/><Relationship Id="rId91" Type="http://schemas.openxmlformats.org/officeDocument/2006/relationships/hyperlink" Target="https://go.osu.edu/HRPPpolicy40" TargetMode="External"/><Relationship Id="rId145" Type="http://schemas.openxmlformats.org/officeDocument/2006/relationships/hyperlink" Target="https://go.osu.edu/HRPPpolicy37" TargetMode="External"/><Relationship Id="rId187" Type="http://schemas.openxmlformats.org/officeDocument/2006/relationships/hyperlink" Target="https://go.osu.edu/HRPPpolicy24" TargetMode="External"/><Relationship Id="rId352" Type="http://schemas.openxmlformats.org/officeDocument/2006/relationships/hyperlink" Target="http://www.accessdata.fda.gov/scripts/cdrh/cfdocs/cfcfr/CFRSearch.cfm?CFRPart=11" TargetMode="External"/><Relationship Id="rId394" Type="http://schemas.openxmlformats.org/officeDocument/2006/relationships/hyperlink" Target="https://go.osu.edu/HRPPpolicy19" TargetMode="External"/><Relationship Id="rId408" Type="http://schemas.openxmlformats.org/officeDocument/2006/relationships/hyperlink" Target="https://go.osu.edu/HRPPpolicy37" TargetMode="External"/><Relationship Id="rId212" Type="http://schemas.openxmlformats.org/officeDocument/2006/relationships/hyperlink" Target="https://go.osu.edu/hrpppolicy25" TargetMode="External"/><Relationship Id="rId254" Type="http://schemas.openxmlformats.org/officeDocument/2006/relationships/hyperlink" Target="https://go.osu.edu/hrpppolicy38" TargetMode="External"/><Relationship Id="rId49" Type="http://schemas.openxmlformats.org/officeDocument/2006/relationships/hyperlink" Target="https://ohiostateresearch.knowledgebase.co/article/huron-irb-create-and-submit-a-modification-97.html" TargetMode="External"/><Relationship Id="rId114" Type="http://schemas.openxmlformats.org/officeDocument/2006/relationships/hyperlink" Target="https://go.osu.edu/HRPPpolicy24" TargetMode="External"/><Relationship Id="rId296" Type="http://schemas.openxmlformats.org/officeDocument/2006/relationships/hyperlink" Target="https://go.osu.edu/HRPPpolicy35" TargetMode="External"/><Relationship Id="rId461" Type="http://schemas.openxmlformats.org/officeDocument/2006/relationships/hyperlink" Target="https://go.osu.edu/hrp604" TargetMode="External"/><Relationship Id="rId517" Type="http://schemas.openxmlformats.org/officeDocument/2006/relationships/hyperlink" Target="https://osuirb.huronresearchsuite.com/IRB/sd/Doc/0/MCS0TM7RGS8UUCKFCTLOULIG00/HRP-416%20-%20CHECKLIST%20-%20Children.docx" TargetMode="External"/><Relationship Id="rId559" Type="http://schemas.openxmlformats.org/officeDocument/2006/relationships/hyperlink" Target="https://osuirb.huronresearchsuite.com/IRB/sd/Doc/0/KEAPIHVRHK8UUCKFCTLOULIG00/HRP-535%20Consent-Template_Exempt.doc" TargetMode="External"/><Relationship Id="rId60" Type="http://schemas.openxmlformats.org/officeDocument/2006/relationships/hyperlink" Target="https://go.osu.edu/hrp832" TargetMode="External"/><Relationship Id="rId156" Type="http://schemas.openxmlformats.org/officeDocument/2006/relationships/hyperlink" Target="https://go.osu.edu/HRPPpolicy13" TargetMode="External"/><Relationship Id="rId198" Type="http://schemas.openxmlformats.org/officeDocument/2006/relationships/hyperlink" Target="https://ocio.osu.edu/sites/default/files/assets/Policies/InstitutionalData.pdf" TargetMode="External"/><Relationship Id="rId321" Type="http://schemas.openxmlformats.org/officeDocument/2006/relationships/hyperlink" Target="http://www.accessdata.fda.gov/scripts/cdrh/cfdocs/cfcfr/CFRsearch.cfm?CFRPart=601" TargetMode="External"/><Relationship Id="rId363" Type="http://schemas.openxmlformats.org/officeDocument/2006/relationships/hyperlink" Target="https://go.osu.edu/HRPPpolicy43" TargetMode="External"/><Relationship Id="rId419" Type="http://schemas.openxmlformats.org/officeDocument/2006/relationships/hyperlink" Target="http://www.fda.gov/downloads/RegulatoryInformation/Guidances/ucm125125.pdf" TargetMode="External"/><Relationship Id="rId570" Type="http://schemas.openxmlformats.org/officeDocument/2006/relationships/hyperlink" Target="https://osuirb.huronresearchsuite.com/IRB/sd/Doc/0/7H6F80NRI48UUCKFCTLOULIG00/HRP-544b%20ShortFormConsentTemplate_English%20FINAL-Cebuano.rtf" TargetMode="External"/><Relationship Id="rId223" Type="http://schemas.openxmlformats.org/officeDocument/2006/relationships/hyperlink" Target="https://go.osu.edu/hrpppolicy19" TargetMode="External"/><Relationship Id="rId430" Type="http://schemas.openxmlformats.org/officeDocument/2006/relationships/hyperlink" Target="https://codes.ohio.gov/ohio-administrative-code/chapter-3701:1-52" TargetMode="External"/><Relationship Id="rId18" Type="http://schemas.openxmlformats.org/officeDocument/2006/relationships/hyperlink" Target="https://go.osu.edu/huronirblibrary" TargetMode="External"/><Relationship Id="rId265" Type="http://schemas.openxmlformats.org/officeDocument/2006/relationships/hyperlink" Target="https://go.osu.edu/HRPPpolicy20" TargetMode="External"/><Relationship Id="rId472" Type="http://schemas.openxmlformats.org/officeDocument/2006/relationships/hyperlink" Target="https://go.osu.edu/hrp617" TargetMode="External"/><Relationship Id="rId528" Type="http://schemas.openxmlformats.org/officeDocument/2006/relationships/hyperlink" Target="https://osuirb.huronresearchsuite.com/IRB/sd/Doc/0/OJCR9608SC8V0D4FCTLOULIG00/HRP-503c%20Protocol%20-%20Exempt%20Research%203.24.25%20V3.docx" TargetMode="External"/><Relationship Id="rId125" Type="http://schemas.openxmlformats.org/officeDocument/2006/relationships/hyperlink" Target="https://go.osu.edu/HRPPpolicy10" TargetMode="External"/><Relationship Id="rId167" Type="http://schemas.openxmlformats.org/officeDocument/2006/relationships/hyperlink" Target="https://go.osu.edu/HRPPpolicy09" TargetMode="External"/><Relationship Id="rId332" Type="http://schemas.openxmlformats.org/officeDocument/2006/relationships/hyperlink" Target="https://www.google.com/url?sa=t&amp;rct=j&amp;q=&amp;esrc=s&amp;source=web&amp;cd=&amp;ved=2ahUKEwjQicTvjLbzAhVzk2oFHTXqBdYQFnoECBQQAQ&amp;url=https%3A%2F%2Fwww.fda.gov%2Fmedia%2F72421%2Fdownload&amp;usg=AOvVaw0u115YOO2fJzfuFncVdaf7" TargetMode="External"/><Relationship Id="rId374" Type="http://schemas.openxmlformats.org/officeDocument/2006/relationships/hyperlink" Target="https://oied.osu.edu/cdas-mtas-and-duas" TargetMode="External"/><Relationship Id="rId581" Type="http://schemas.openxmlformats.org/officeDocument/2006/relationships/hyperlink" Target="https://osuirb.huronresearchsuite.com/IRB/sd/Doc/0/554RCOFRIC8UUCKFCTLOULIG00/HRP-544n%20ShortFormConsentTemplate_English%20FINAL-Swa.rtf" TargetMode="External"/><Relationship Id="rId71" Type="http://schemas.openxmlformats.org/officeDocument/2006/relationships/hyperlink" Target="https://go.osu.edu/hrp813" TargetMode="External"/><Relationship Id="rId234" Type="http://schemas.openxmlformats.org/officeDocument/2006/relationships/hyperlink" Target="https://go.osu.edu/hrpppolicy28" TargetMode="External"/><Relationship Id="rId2" Type="http://schemas.openxmlformats.org/officeDocument/2006/relationships/customXml" Target="../customXml/item2.xml"/><Relationship Id="rId29" Type="http://schemas.openxmlformats.org/officeDocument/2006/relationships/hyperlink" Target="https://go.osu.edu/hrp503" TargetMode="External"/><Relationship Id="rId276" Type="http://schemas.openxmlformats.org/officeDocument/2006/relationships/hyperlink" Target="https://go.osu.edu/HRPPpolicy25" TargetMode="External"/><Relationship Id="rId441" Type="http://schemas.openxmlformats.org/officeDocument/2006/relationships/hyperlink" Target="https://go.osu.edu/hrp043" TargetMode="External"/><Relationship Id="rId483" Type="http://schemas.openxmlformats.org/officeDocument/2006/relationships/hyperlink" Target="https://go.osu.edu/hrp628" TargetMode="External"/><Relationship Id="rId539" Type="http://schemas.openxmlformats.org/officeDocument/2006/relationships/hyperlink" Target="https://osuirb.huronresearchsuite.com/IRB/sd/Doc/0/D5CPV9VRHO8UUCKFCTLOULIG00/HRP-510%20Appendix%20H%20-%20Multi-site%20Research.docx" TargetMode="External"/><Relationship Id="rId40" Type="http://schemas.openxmlformats.org/officeDocument/2006/relationships/hyperlink" Target="https://ohiostateresearch.knowledgebase.co/article/huron-irb-checklist-of-information-to-attach-93.html" TargetMode="External"/><Relationship Id="rId136" Type="http://schemas.openxmlformats.org/officeDocument/2006/relationships/hyperlink" Target="https://go.osu.edu/HRPPpolicy14" TargetMode="External"/><Relationship Id="rId178" Type="http://schemas.openxmlformats.org/officeDocument/2006/relationships/hyperlink" Target="https://go.osu.edu/HRPPpolicy13" TargetMode="External"/><Relationship Id="rId301" Type="http://schemas.openxmlformats.org/officeDocument/2006/relationships/hyperlink" Target="https://www.fda.gov/drugs/investigational-new-drug-ind-application/ind-application-procedures-exemptions-ind-requirements" TargetMode="External"/><Relationship Id="rId343" Type="http://schemas.openxmlformats.org/officeDocument/2006/relationships/hyperlink" Target="https://www.fda.gov/regulatory-information/search-fda-guidance-documents/label-and-investigational-use-marketed-drugs-biologics-and-medical-devices" TargetMode="External"/><Relationship Id="rId550" Type="http://schemas.openxmlformats.org/officeDocument/2006/relationships/hyperlink" Target="https://osuirb.huronresearchsuite.com/IRB/sd/Doc/0/1NIJL1GB2S8V0D4FCTLOULIG00/HRP-510%20Appendix%20S%20-%20Waiver%20or%20Alteration%20of%20Informed%20Consent%20Process%203.27.2025.docx" TargetMode="External"/><Relationship Id="rId82" Type="http://schemas.openxmlformats.org/officeDocument/2006/relationships/hyperlink" Target="mailto:ORRPDeterminations@osu.edu" TargetMode="External"/><Relationship Id="rId203" Type="http://schemas.openxmlformats.org/officeDocument/2006/relationships/hyperlink" Target="https://go.osu.edu/phihipaapolicy" TargetMode="External"/><Relationship Id="rId385" Type="http://schemas.openxmlformats.org/officeDocument/2006/relationships/hyperlink" Target="https://busfin.osu.edu/sites/default/files/516_identitytheftredflags.pdf" TargetMode="External"/><Relationship Id="rId592" Type="http://schemas.openxmlformats.org/officeDocument/2006/relationships/hyperlink" Target="https://osuirb.huronresearchsuite.com/IRB/sd/Doc/0/THC14TH4RS8V0DKFCTLOULIG00/HRP-812%20-%20FORM%20-%20Site%20Continuing%20Review%204.28.2025.docx" TargetMode="External"/><Relationship Id="rId245" Type="http://schemas.openxmlformats.org/officeDocument/2006/relationships/hyperlink" Target="http://grants.nih.gov/grants/guide/notice-files/NOT-OD-00-038.html" TargetMode="External"/><Relationship Id="rId287" Type="http://schemas.openxmlformats.org/officeDocument/2006/relationships/hyperlink" Target="http://www.ed.gov/policy/gen/guid/fpco/ferpa/index.html" TargetMode="External"/><Relationship Id="rId410" Type="http://schemas.openxmlformats.org/officeDocument/2006/relationships/hyperlink" Target="https://go.osu.edu/coi-policy" TargetMode="External"/><Relationship Id="rId452" Type="http://schemas.openxmlformats.org/officeDocument/2006/relationships/hyperlink" Target="https://go.osu.edu/hrp071" TargetMode="External"/><Relationship Id="rId494" Type="http://schemas.openxmlformats.org/officeDocument/2006/relationships/hyperlink" Target="https://go.osu.edu/hrp806" TargetMode="External"/><Relationship Id="rId508" Type="http://schemas.openxmlformats.org/officeDocument/2006/relationships/hyperlink" Target="https://osuirb.huronresearchsuite.com/IRB/sd/Doc/0/Q9KKC6FRH88UUCKFCTLOULIG00/HRP-832%20-%20WORKSHEET%20-%20Considerations%20for%20Relying%20on%20an%20External%20IRB.docx" TargetMode="External"/><Relationship Id="rId105" Type="http://schemas.openxmlformats.org/officeDocument/2006/relationships/hyperlink" Target="https://go.osu.edu/HRPPpolicy09" TargetMode="External"/><Relationship Id="rId147" Type="http://schemas.openxmlformats.org/officeDocument/2006/relationships/hyperlink" Target="https://go.osu.edu/HRPPpolicy37" TargetMode="External"/><Relationship Id="rId312" Type="http://schemas.openxmlformats.org/officeDocument/2006/relationships/hyperlink" Target="http://www.fda.gov/downloads/drugs/guidancecomplianceregulatoryinformation/guidances/ucm351261.pdf" TargetMode="External"/><Relationship Id="rId354" Type="http://schemas.openxmlformats.org/officeDocument/2006/relationships/hyperlink" Target="http://www.accessdata.fda.gov/scripts/cdrh/cfdocs/cfcfr/CFRsearch.cfm?CFRPart=803" TargetMode="External"/><Relationship Id="rId51" Type="http://schemas.openxmlformats.org/officeDocument/2006/relationships/hyperlink" Target="https://ohiostateresearch.knowledgebase.co/article/huron-irb-create-and-submit-a-continuing-review-89.html" TargetMode="External"/><Relationship Id="rId93" Type="http://schemas.openxmlformats.org/officeDocument/2006/relationships/hyperlink" Target="https://policytech.osumc.edu/docview/?docid=67783" TargetMode="External"/><Relationship Id="rId189" Type="http://schemas.openxmlformats.org/officeDocument/2006/relationships/hyperlink" Target="https://go.osu.edu/HRPPpolicy24" TargetMode="External"/><Relationship Id="rId396" Type="http://schemas.openxmlformats.org/officeDocument/2006/relationships/hyperlink" Target="https://go.osu.edu/HRPPpolicy02" TargetMode="External"/><Relationship Id="rId561" Type="http://schemas.openxmlformats.org/officeDocument/2006/relationships/hyperlink" Target="https://osuirb.huronresearchsuite.com/IRB/sd/Doc/0/412JAC7RHO8UUCKFCTLOULIG00/HRP-537%20Example-Online-Consent-Script.doc" TargetMode="External"/><Relationship Id="rId214" Type="http://schemas.openxmlformats.org/officeDocument/2006/relationships/hyperlink" Target="https://go.osu.edu/hrpppolicy27" TargetMode="External"/><Relationship Id="rId256" Type="http://schemas.openxmlformats.org/officeDocument/2006/relationships/hyperlink" Target="https://www.hhs.gov/ohrp/regulations-and-policy/guidance/guidance-on-continuing-review-2010/index.html" TargetMode="External"/><Relationship Id="rId298" Type="http://schemas.openxmlformats.org/officeDocument/2006/relationships/hyperlink" Target="https://go.osu.edu/HRPPpolicy19" TargetMode="External"/><Relationship Id="rId421" Type="http://schemas.openxmlformats.org/officeDocument/2006/relationships/hyperlink" Target="http://go.osu.edu/HRPPpolicy20" TargetMode="External"/><Relationship Id="rId463" Type="http://schemas.openxmlformats.org/officeDocument/2006/relationships/hyperlink" Target="https://go.osu.edu/hrp606" TargetMode="External"/><Relationship Id="rId519" Type="http://schemas.openxmlformats.org/officeDocument/2006/relationships/hyperlink" Target="https://osuirb.huronresearchsuite.com/IRB/sd/Doc/0/RUVP9PVRGS8UUCKFCTLOULIG00/HRP-418%20-%20CHECKLIST%20-%20Non-Significant%20Risk%20Device.docx" TargetMode="External"/><Relationship Id="rId116" Type="http://schemas.openxmlformats.org/officeDocument/2006/relationships/hyperlink" Target="https://go.osu.edu/FDA-inspections" TargetMode="External"/><Relationship Id="rId158" Type="http://schemas.openxmlformats.org/officeDocument/2006/relationships/hyperlink" Target="https://go.osu.edu/HRPPpolicy13" TargetMode="External"/><Relationship Id="rId323" Type="http://schemas.openxmlformats.org/officeDocument/2006/relationships/hyperlink" Target="https://go.osu.edu/HRPPpolicy43" TargetMode="External"/><Relationship Id="rId530" Type="http://schemas.openxmlformats.org/officeDocument/2006/relationships/hyperlink" Target="https://osuirb.huronresearchsuite.com/IRB/sd/Doc/0/TD4REL08SC8V0D4FCTLOULIG00/HRP-505-Protocol%20%20Ohio%20State%20IRB%20Site%20Supplement%203.24.25%20V3.docx" TargetMode="External"/><Relationship Id="rId20" Type="http://schemas.openxmlformats.org/officeDocument/2006/relationships/hyperlink" Target="https://osuirb.huronresearchsuite.com/IRB/sd/Rooms/DisplayPages/LayoutInitial?container=com.webridge.entity.Entity%5BOID%5BCACD41AF7CFE11EF328F32B38F565000%5D%5D&amp;tab2=D559C39660E8D04BBB33D4A425C053BC" TargetMode="External"/><Relationship Id="rId62" Type="http://schemas.openxmlformats.org/officeDocument/2006/relationships/hyperlink" Target="mailto:IRBAgreements@osu.edu" TargetMode="External"/><Relationship Id="rId365" Type="http://schemas.openxmlformats.org/officeDocument/2006/relationships/hyperlink" Target="https://go.osu.edu/HRPPpolicy12" TargetMode="External"/><Relationship Id="rId572" Type="http://schemas.openxmlformats.org/officeDocument/2006/relationships/hyperlink" Target="https://osuirb.huronresearchsuite.com/IRB/sd/Doc/0/M05TL2NRI48UUCKFCTLOULIG00/HRP-544d%20ShortFormConsentTemplate_English%20FINAL-Ger.rtf" TargetMode="External"/><Relationship Id="rId225" Type="http://schemas.openxmlformats.org/officeDocument/2006/relationships/hyperlink" Target="https://go.osu.edu/hrpppolicy19" TargetMode="External"/><Relationship Id="rId267" Type="http://schemas.openxmlformats.org/officeDocument/2006/relationships/hyperlink" Target="https://go.osu.edu/HRPPpolicy20" TargetMode="External"/><Relationship Id="rId432" Type="http://schemas.openxmlformats.org/officeDocument/2006/relationships/hyperlink" Target="https://osuirb.huronresearchsuite.com/IRB/sd/Rooms/DisplayPages/LayoutInitial?container=com.webridge.entity.Entity%5BOID%5BCACD41AF7CFE11EF328F32B38F565000%5D%5D&amp;tab2=147773F5B21DBD429EC0FB75662BD9BC" TargetMode="External"/><Relationship Id="rId474" Type="http://schemas.openxmlformats.org/officeDocument/2006/relationships/hyperlink" Target="https://go.osu.edu/hrp619" TargetMode="External"/><Relationship Id="rId127" Type="http://schemas.openxmlformats.org/officeDocument/2006/relationships/hyperlink" Target="https://go.osu.edu/HRPPpolicy39" TargetMode="External"/><Relationship Id="rId31" Type="http://schemas.openxmlformats.org/officeDocument/2006/relationships/hyperlink" Target="https://go.osu.edu/hrp503c" TargetMode="External"/><Relationship Id="rId73" Type="http://schemas.openxmlformats.org/officeDocument/2006/relationships/hyperlink" Target="https://ohiostateresearch.knowledgebase.co/article/huron-irb-create-site-modifications-for-single-site-or-multi-site-external-study-98.html" TargetMode="External"/><Relationship Id="rId169" Type="http://schemas.openxmlformats.org/officeDocument/2006/relationships/hyperlink" Target="https://go.osu.edu/HRPPpolicy10" TargetMode="External"/><Relationship Id="rId334" Type="http://schemas.openxmlformats.org/officeDocument/2006/relationships/hyperlink" Target="http://www.fda.gov/MedicalDevices/DeviceRegulationandGuidance/HowtoMarketYourDevice/InvestigationalDeviceExemptionIDE/ucm046706.htm" TargetMode="External"/><Relationship Id="rId376" Type="http://schemas.openxmlformats.org/officeDocument/2006/relationships/hyperlink" Target="https://policies.osu.edu/assets/docs/policy_pdfs/Protected-Health-Information-HIPAA.pdf" TargetMode="External"/><Relationship Id="rId541" Type="http://schemas.openxmlformats.org/officeDocument/2006/relationships/hyperlink" Target="https://osuirb.huronresearchsuite.com/IRB/sd/Doc/0/JF5FGBNRHO8UUCKFCTLOULIG00/HRP-510%20Appendix%20J%20-%20Non-English%20Speaking%20Individuals.docx" TargetMode="External"/><Relationship Id="rId583" Type="http://schemas.openxmlformats.org/officeDocument/2006/relationships/hyperlink" Target="https://osuirb.huronresearchsuite.com/IRB/sd/Doc/0/N1C0HB7RIC8UUCKFCTLOULIG00/HRP-544p%20ShortFormConsentTemplate_English%20FINAL-Vietnamese.rtf" TargetMode="External"/><Relationship Id="rId4" Type="http://schemas.openxmlformats.org/officeDocument/2006/relationships/customXml" Target="../customXml/item4.xml"/><Relationship Id="rId180" Type="http://schemas.openxmlformats.org/officeDocument/2006/relationships/hyperlink" Target="https://go.osu.edu/HRPPpolicy09" TargetMode="External"/><Relationship Id="rId236" Type="http://schemas.openxmlformats.org/officeDocument/2006/relationships/hyperlink" Target="https://go.osu.edu/hrpppolicy19" TargetMode="External"/><Relationship Id="rId278" Type="http://schemas.openxmlformats.org/officeDocument/2006/relationships/hyperlink" Target="https://go.osu.edu/HRPPpolicy21" TargetMode="External"/><Relationship Id="rId401" Type="http://schemas.openxmlformats.org/officeDocument/2006/relationships/hyperlink" Target="https://go.osu.edu/HRPPpolicy38" TargetMode="External"/><Relationship Id="rId443" Type="http://schemas.openxmlformats.org/officeDocument/2006/relationships/hyperlink" Target="https://go.osu.edu/hrp052" TargetMode="External"/><Relationship Id="rId303" Type="http://schemas.openxmlformats.org/officeDocument/2006/relationships/hyperlink" Target="http://www.accessdata.fda.gov/scripts/cdrh/cfdocs/cfcfr/CFRSearch.cfm?CFRPart=312&amp;showFR=1&amp;subpartNode=21:5.0.1.1.3.2" TargetMode="External"/><Relationship Id="rId485" Type="http://schemas.openxmlformats.org/officeDocument/2006/relationships/hyperlink" Target="https://go.osu.edu/hrp630" TargetMode="External"/><Relationship Id="rId42" Type="http://schemas.openxmlformats.org/officeDocument/2006/relationships/hyperlink" Target="https://ohiostateresearch.knowledgebase.co/article/huron-irb-respond-to-a-clarification-request-88.html" TargetMode="External"/><Relationship Id="rId84" Type="http://schemas.openxmlformats.org/officeDocument/2006/relationships/hyperlink" Target="mailto:patricia.1@osu.edu" TargetMode="External"/><Relationship Id="rId138" Type="http://schemas.openxmlformats.org/officeDocument/2006/relationships/hyperlink" Target="https://go.osu.edu/HRPPpolicy19" TargetMode="External"/><Relationship Id="rId345" Type="http://schemas.openxmlformats.org/officeDocument/2006/relationships/hyperlink" Target="https://go.osu.edu/HRPPpolicy14" TargetMode="External"/><Relationship Id="rId387" Type="http://schemas.openxmlformats.org/officeDocument/2006/relationships/hyperlink" Target="https://go.osu.edu/HRPPpolicy20" TargetMode="External"/><Relationship Id="rId510" Type="http://schemas.openxmlformats.org/officeDocument/2006/relationships/hyperlink" Target="https://osuirb.huronresearchsuite.com/IRB/sd/Doc/0/KPA6PHFRGG8UUCKFCTLOULIG00/HRP-402%20-%20CHECKLIST%20-%20Non-Committee%20Review.docx" TargetMode="External"/><Relationship Id="rId552" Type="http://schemas.openxmlformats.org/officeDocument/2006/relationships/hyperlink" Target="https://osuirb.huronresearchsuite.com/IRB/sd/Doc/0/ISPQSCO8N48V0D4FCTLOULIG00/HRP-510%20Appendix%20U%20-%20Drugs.docx" TargetMode="External"/><Relationship Id="rId594" Type="http://schemas.openxmlformats.org/officeDocument/2006/relationships/hyperlink" Target="https://osuirb.huronresearchsuite.com/IRB/sd/Doc/0/2NMPOB94S08V0DKFCTLOULIG00/HRP-814%20-%20FORM%20-%20Site%20Reportable%20New%20Information%204.28.2025.docx" TargetMode="External"/><Relationship Id="rId191" Type="http://schemas.openxmlformats.org/officeDocument/2006/relationships/hyperlink" Target="https://go.osu.edu/HRPPpolicy14" TargetMode="External"/><Relationship Id="rId205" Type="http://schemas.openxmlformats.org/officeDocument/2006/relationships/hyperlink" Target="https://ocio.osu.edu/sites/default/files/assets/Policies/InstitutionalData.pdf" TargetMode="External"/><Relationship Id="rId247" Type="http://schemas.openxmlformats.org/officeDocument/2006/relationships/hyperlink" Target="http://www.fda.gov/downloads/RegulatoryInformation/Guidances/ucm127073.pdf" TargetMode="External"/><Relationship Id="rId412" Type="http://schemas.openxmlformats.org/officeDocument/2006/relationships/hyperlink" Target="https://go.osu.edu/HRPPpolicy14" TargetMode="External"/><Relationship Id="rId107" Type="http://schemas.openxmlformats.org/officeDocument/2006/relationships/hyperlink" Target="https://go.osu.edu/HRPPpolicy29" TargetMode="External"/><Relationship Id="rId289" Type="http://schemas.openxmlformats.org/officeDocument/2006/relationships/hyperlink" Target="https://go.osu.edu/HRPPpolicy17" TargetMode="External"/><Relationship Id="rId454" Type="http://schemas.openxmlformats.org/officeDocument/2006/relationships/hyperlink" Target="https://go.osu.edu/hrp081" TargetMode="External"/><Relationship Id="rId496" Type="http://schemas.openxmlformats.org/officeDocument/2006/relationships/footer" Target="footer4.xml"/><Relationship Id="rId11" Type="http://schemas.openxmlformats.org/officeDocument/2006/relationships/endnotes" Target="endnotes.xml"/><Relationship Id="rId53" Type="http://schemas.openxmlformats.org/officeDocument/2006/relationships/hyperlink" Target="https://go.osu.edu/privacyofficers" TargetMode="External"/><Relationship Id="rId149" Type="http://schemas.openxmlformats.org/officeDocument/2006/relationships/hyperlink" Target="https://go.osu.edu/HRPPpolicy14" TargetMode="External"/><Relationship Id="rId314" Type="http://schemas.openxmlformats.org/officeDocument/2006/relationships/hyperlink" Target="http://www.accessdata.fda.gov/scripts/cdrh/cfdocs/cfcfr/CFRSearch.cfm?CFRPart=11" TargetMode="External"/><Relationship Id="rId356" Type="http://schemas.openxmlformats.org/officeDocument/2006/relationships/hyperlink" Target="http://www.accessdata.fda.gov/scripts/cdrh/cfdocs/cfcfr/CFRSearch.cfm?CFRPart=809" TargetMode="External"/><Relationship Id="rId398" Type="http://schemas.openxmlformats.org/officeDocument/2006/relationships/hyperlink" Target="https://go.osu.edu/hrpppolicy30" TargetMode="External"/><Relationship Id="rId521" Type="http://schemas.openxmlformats.org/officeDocument/2006/relationships/hyperlink" Target="https://osuirb.huronresearchsuite.com/IRB/sd/Doc/0/403TAQFRH08UUCKFCTLOULIG00/HRP-441%20-%20CHECKLIST%20-%20HIPAA%20Waiver%20of%20Authorization.docx" TargetMode="External"/><Relationship Id="rId563" Type="http://schemas.openxmlformats.org/officeDocument/2006/relationships/hyperlink" Target="https://osuirb.huronresearchsuite.com/IRB/sd/Doc/0/PAK48OVRHO8UUCKFCTLOULIG00/HRP-539%20Parental%20Permission%20Template_BC.doc" TargetMode="External"/><Relationship Id="rId95" Type="http://schemas.openxmlformats.org/officeDocument/2006/relationships/hyperlink" Target="http://osp.osu.edu/" TargetMode="External"/><Relationship Id="rId160" Type="http://schemas.openxmlformats.org/officeDocument/2006/relationships/hyperlink" Target="https://go.osu.edu/hrpppolicy14" TargetMode="External"/><Relationship Id="rId216" Type="http://schemas.openxmlformats.org/officeDocument/2006/relationships/hyperlink" Target="https://go.osu.edu/hrpppolicy28" TargetMode="External"/><Relationship Id="rId423" Type="http://schemas.openxmlformats.org/officeDocument/2006/relationships/hyperlink" Target="https://web.archive.org/web/20250622040344/https:/www.doseinfo-radar.com/RADARDoseRiskCalc.html" TargetMode="External"/><Relationship Id="rId258" Type="http://schemas.openxmlformats.org/officeDocument/2006/relationships/hyperlink" Target="https://go.osu.edu/HRPPpolicy27" TargetMode="External"/><Relationship Id="rId465" Type="http://schemas.openxmlformats.org/officeDocument/2006/relationships/hyperlink" Target="https://go.osu.edu/hrp608" TargetMode="External"/><Relationship Id="rId22" Type="http://schemas.openxmlformats.org/officeDocument/2006/relationships/hyperlink" Target="https://www.ecfr.gov/current/title-42/chapter-I/subchapter-D/part-50/subpart-F" TargetMode="External"/><Relationship Id="rId64" Type="http://schemas.openxmlformats.org/officeDocument/2006/relationships/hyperlink" Target="https://go.osu.edu/citircr" TargetMode="External"/><Relationship Id="rId118" Type="http://schemas.openxmlformats.org/officeDocument/2006/relationships/hyperlink" Target="https://ocio.osu.edu/policy/policies/policy-on-institutional-data/" TargetMode="External"/><Relationship Id="rId325" Type="http://schemas.openxmlformats.org/officeDocument/2006/relationships/hyperlink" Target="https://www.fda.gov/vaccines-blood-biologics/510k-process-cber/devices-regulated-center-biologics-evaluation-and-research" TargetMode="External"/><Relationship Id="rId367" Type="http://schemas.openxmlformats.org/officeDocument/2006/relationships/hyperlink" Target="https://www.fda.gov/media/74307/download" TargetMode="External"/><Relationship Id="rId532" Type="http://schemas.openxmlformats.org/officeDocument/2006/relationships/hyperlink" Target="https://osuirb.huronresearchsuite.com/IRB/sd/Doc/0/KEAPL0NRHK8UUCKFCTLOULIG00/HRP-510%20Appendix%20A%20-%20Adults%20with%20Impaired%20Decision-Making%20Capacity.docx" TargetMode="External"/><Relationship Id="rId574" Type="http://schemas.openxmlformats.org/officeDocument/2006/relationships/hyperlink" Target="https://osuirb.huronresearchsuite.com/IRB/sd/Doc/0/02MNNTFRI88UUCKFCTLOULIG00/HRP-544f%20ShortFormConsentTemplate_English%20%20FINAL-Khmer.rtf" TargetMode="External"/><Relationship Id="rId171" Type="http://schemas.openxmlformats.org/officeDocument/2006/relationships/hyperlink" Target="https://go.osu.edu/HRPPpolicy12" TargetMode="External"/><Relationship Id="rId227" Type="http://schemas.openxmlformats.org/officeDocument/2006/relationships/hyperlink" Target="https://go.osu.edu/hrpppolicy22" TargetMode="External"/><Relationship Id="rId269" Type="http://schemas.openxmlformats.org/officeDocument/2006/relationships/hyperlink" Target="https://go.osu.edu/HRPPpolicy14" TargetMode="External"/><Relationship Id="rId434" Type="http://schemas.openxmlformats.org/officeDocument/2006/relationships/hyperlink" Target="https://osuirb.huronresearchsuite.com/IRB/sd/Rooms/DisplayPages/LayoutInitial?container=com.webridge.entity.Entity%5BOID%5BCACD41AF7CFE11EF328F32B38F565000%5D%5D&amp;tab2=D559C39660E8D04BBB33D4A425C053BC" TargetMode="External"/><Relationship Id="rId476" Type="http://schemas.openxmlformats.org/officeDocument/2006/relationships/hyperlink" Target="https://go.osu.edu/hrp621" TargetMode="External"/><Relationship Id="rId33" Type="http://schemas.openxmlformats.org/officeDocument/2006/relationships/hyperlink" Target="https://go.osu.edu/hrp510a" TargetMode="External"/><Relationship Id="rId129" Type="http://schemas.openxmlformats.org/officeDocument/2006/relationships/hyperlink" Target="https://go.osu.edu/HRPPpolicy14" TargetMode="External"/><Relationship Id="rId280" Type="http://schemas.openxmlformats.org/officeDocument/2006/relationships/hyperlink" Target="http://www.hhs.gov/ohrp/policy/populations/guidance_407process.html" TargetMode="External"/><Relationship Id="rId336" Type="http://schemas.openxmlformats.org/officeDocument/2006/relationships/hyperlink" Target="https://www.fda.gov/medical-devices/investigational-device-exemption-ide/ide-approval-process" TargetMode="External"/><Relationship Id="rId501" Type="http://schemas.openxmlformats.org/officeDocument/2006/relationships/hyperlink" Target="https://osuirb.huronresearchsuite.com/IRB/sd/Doc/0/6QG41HVRGG8UUCKFCTLOULIG00/HRP-301%20-%20WORKSHEET%20-%20Review%20Materials.docx" TargetMode="External"/><Relationship Id="rId543" Type="http://schemas.openxmlformats.org/officeDocument/2006/relationships/hyperlink" Target="https://osuirb.huronresearchsuite.com/IRB/sd/Doc/0/PAK4KBNRHO8UUCKFCTLOULIG00/HRP-510%20Appendix%20L%20-%20Partial%20Waiver%20of%20HIPAA%20Research%20Authorization.docx" TargetMode="External"/><Relationship Id="rId75" Type="http://schemas.openxmlformats.org/officeDocument/2006/relationships/hyperlink" Target="https://ohiostateresearch.knowledgebase.co/article/huron-irb-update-study-details-for-a-single-site-or-multi-site-external-study-90.html" TargetMode="External"/><Relationship Id="rId140" Type="http://schemas.openxmlformats.org/officeDocument/2006/relationships/hyperlink" Target="https://go.osu.edu/HRPPpolicy18" TargetMode="External"/><Relationship Id="rId182" Type="http://schemas.openxmlformats.org/officeDocument/2006/relationships/hyperlink" Target="https://go.osu.edu/HRPPpolicy10" TargetMode="External"/><Relationship Id="rId378" Type="http://schemas.openxmlformats.org/officeDocument/2006/relationships/hyperlink" Target="http://www2.ed.gov/policy/gen/guid/fpco/ferpa/index.html" TargetMode="External"/><Relationship Id="rId403" Type="http://schemas.openxmlformats.org/officeDocument/2006/relationships/hyperlink" Target="http://www.accessdata.fda.gov/scripts/cdrh/cfdocs/cfcfr/CFRsearch.cfm?CFRPart=812" TargetMode="External"/><Relationship Id="rId585" Type="http://schemas.openxmlformats.org/officeDocument/2006/relationships/hyperlink" Target="https://osuirb.huronresearchsuite.com/IRB/sd/Doc/0/7RKAO18JMK8V0D4FCTLOULIG00/HRP-545%20HIPAA%20Research%20Authorization%20Form_%20REV%201.11.2024_.docx" TargetMode="External"/><Relationship Id="rId6" Type="http://schemas.openxmlformats.org/officeDocument/2006/relationships/numbering" Target="numbering.xml"/><Relationship Id="rId238" Type="http://schemas.openxmlformats.org/officeDocument/2006/relationships/hyperlink" Target="https://go.osu.edu/hrpppolicy20" TargetMode="External"/><Relationship Id="rId445" Type="http://schemas.openxmlformats.org/officeDocument/2006/relationships/hyperlink" Target="https://go.osu.edu/hrp060" TargetMode="External"/><Relationship Id="rId487" Type="http://schemas.openxmlformats.org/officeDocument/2006/relationships/hyperlink" Target="https://go.osu.edu/hrp632" TargetMode="External"/><Relationship Id="rId291" Type="http://schemas.openxmlformats.org/officeDocument/2006/relationships/hyperlink" Target="https://go.osu.edu/HRPPpolicy20" TargetMode="External"/><Relationship Id="rId305" Type="http://schemas.openxmlformats.org/officeDocument/2006/relationships/hyperlink" Target="https://www.fda.gov/drugs/investigational-new-drug-ind-application/ind-application-procedures-exemptions-ind-requirements" TargetMode="External"/><Relationship Id="rId347" Type="http://schemas.openxmlformats.org/officeDocument/2006/relationships/hyperlink" Target="https://www.fda.gov/medical-devices/investigational-device-exemption-ide/ide-responsibilities" TargetMode="External"/><Relationship Id="rId512" Type="http://schemas.openxmlformats.org/officeDocument/2006/relationships/hyperlink" Target="https://osuirb.huronresearchsuite.com/IRB/sd/Doc/0/A7FB827RGK8UUCKFCTLOULIG00/HRP-411%20-%20CHECKLIST%20-%20Waiver%20of%20Written%20Documentation%20of%20Consent.docx" TargetMode="External"/><Relationship Id="rId44" Type="http://schemas.openxmlformats.org/officeDocument/2006/relationships/hyperlink" Target="https://go.osu.edu/hrp322" TargetMode="External"/><Relationship Id="rId86" Type="http://schemas.openxmlformats.org/officeDocument/2006/relationships/hyperlink" Target="https://go.osu.edu/ORRPconsentlanguage" TargetMode="External"/><Relationship Id="rId151" Type="http://schemas.openxmlformats.org/officeDocument/2006/relationships/hyperlink" Target="https://go.osu.edu/HRPPpolicy37" TargetMode="External"/><Relationship Id="rId389" Type="http://schemas.openxmlformats.org/officeDocument/2006/relationships/hyperlink" Target="https://go.osu.edu/ORRPconsentlanguage" TargetMode="External"/><Relationship Id="rId554" Type="http://schemas.openxmlformats.org/officeDocument/2006/relationships/hyperlink" Target="https://osuirb.huronresearchsuite.com/IRB/sd/Doc/0/CJ794MNRHG8UUCKFCTLOULIG00/HRP-530%20Combined%20HRP%20Consent%20and%20Authorization%20Template_BBC.doc" TargetMode="External"/><Relationship Id="rId596" Type="http://schemas.openxmlformats.org/officeDocument/2006/relationships/hyperlink" Target="https://osuirb.huronresearchsuite.com/IRB/sd/Doc/0/8QUN67H4S08V0DKFCTLOULIG00/HRP-816%20-%20FORM%20-%20External%20IRB%20Study%20Update%204.28.2025.docx" TargetMode="External"/><Relationship Id="rId193" Type="http://schemas.openxmlformats.org/officeDocument/2006/relationships/hyperlink" Target="https://go.osu.edu/HRPPpolicy24" TargetMode="External"/><Relationship Id="rId207" Type="http://schemas.openxmlformats.org/officeDocument/2006/relationships/hyperlink" Target="https://go.osu.edu/hrpppolicy20" TargetMode="External"/><Relationship Id="rId249" Type="http://schemas.openxmlformats.org/officeDocument/2006/relationships/hyperlink" Target="https://go.osu.edu/HRPPpolicy04" TargetMode="External"/><Relationship Id="rId414" Type="http://schemas.openxmlformats.org/officeDocument/2006/relationships/hyperlink" Target="https://go.osu.edu/HRPPpolicy14" TargetMode="External"/><Relationship Id="rId456" Type="http://schemas.openxmlformats.org/officeDocument/2006/relationships/hyperlink" Target="https://go.osu.edu/hrp083" TargetMode="External"/><Relationship Id="rId498" Type="http://schemas.openxmlformats.org/officeDocument/2006/relationships/footer" Target="footer5.xml"/><Relationship Id="rId13" Type="http://schemas.openxmlformats.org/officeDocument/2006/relationships/footer" Target="footer1.xml"/><Relationship Id="rId109" Type="http://schemas.openxmlformats.org/officeDocument/2006/relationships/hyperlink" Target="https://go.osu.edu/HRPPpolicy17" TargetMode="External"/><Relationship Id="rId260" Type="http://schemas.openxmlformats.org/officeDocument/2006/relationships/hyperlink" Target="https://go.osu.edu/HRPPpolicy19" TargetMode="External"/><Relationship Id="rId316" Type="http://schemas.openxmlformats.org/officeDocument/2006/relationships/hyperlink" Target="http://www.accessdata.fda.gov/scripts/cdrh/cfdocs/cfcfr/CFRSearch.cfm?CFRPart=210" TargetMode="External"/><Relationship Id="rId523" Type="http://schemas.openxmlformats.org/officeDocument/2006/relationships/hyperlink" Target="https://osuirb.huronresearchsuite.com/IRB/sd/Doc/0/U394IG8GKG8V0D4FCTLOULIG00/HRP-216%20-%20FORM%20-%20RNI%20Supplemental%20Information%20Form%204.3.2025.docx" TargetMode="External"/><Relationship Id="rId55" Type="http://schemas.openxmlformats.org/officeDocument/2006/relationships/hyperlink" Target="https://ohiostateresearch.knowledgebase.co/article/huron-irb-reportable-new-information-40;rni-41;-92.html" TargetMode="External"/><Relationship Id="rId97" Type="http://schemas.openxmlformats.org/officeDocument/2006/relationships/hyperlink" Target="http://hr.osu.edu/policy/policy140.pdf" TargetMode="External"/><Relationship Id="rId120" Type="http://schemas.openxmlformats.org/officeDocument/2006/relationships/hyperlink" Target="https://go.osu.edu/HRPPpolicy43" TargetMode="External"/><Relationship Id="rId358" Type="http://schemas.openxmlformats.org/officeDocument/2006/relationships/hyperlink" Target="http://www.accessdata.fda.gov/scripts/cdrh/cfdocs/cfcfr/CFRsearch.cfm?CFRPart=820" TargetMode="External"/><Relationship Id="rId565" Type="http://schemas.openxmlformats.org/officeDocument/2006/relationships/hyperlink" Target="https://osuirb.huronresearchsuite.com/IRB/sd/Doc/0/307LCC7RHS8UUCKFCTLOULIG00/HRP-541%20Assent%20Template_BC.doc" TargetMode="External"/><Relationship Id="rId162" Type="http://schemas.openxmlformats.org/officeDocument/2006/relationships/hyperlink" Target="https://go.osu.edu/hrpppolicy14" TargetMode="External"/><Relationship Id="rId218" Type="http://schemas.openxmlformats.org/officeDocument/2006/relationships/hyperlink" Target="https://go.osu.edu/hrpppolicy22" TargetMode="External"/><Relationship Id="rId425" Type="http://schemas.openxmlformats.org/officeDocument/2006/relationships/hyperlink" Target="http://go.osu.edu/HRPPpolicy24" TargetMode="External"/><Relationship Id="rId467" Type="http://schemas.openxmlformats.org/officeDocument/2006/relationships/hyperlink" Target="https://go.osu.edu/hrp611" TargetMode="External"/><Relationship Id="rId271" Type="http://schemas.openxmlformats.org/officeDocument/2006/relationships/hyperlink" Target="https://go.osu.edu/HRPPpolicy24" TargetMode="External"/><Relationship Id="rId24" Type="http://schemas.openxmlformats.org/officeDocument/2006/relationships/hyperlink" Target="https://www.ecfr.gov/current/title-2/subtitle-A/chapter-II/part-200/subpart-B/section-200.112" TargetMode="External"/><Relationship Id="rId66" Type="http://schemas.openxmlformats.org/officeDocument/2006/relationships/hyperlink" Target="https://go.osu.edu/hrp830" TargetMode="External"/><Relationship Id="rId131" Type="http://schemas.openxmlformats.org/officeDocument/2006/relationships/hyperlink" Target="https://go.osu.edu/HRPPpolicy10" TargetMode="External"/><Relationship Id="rId327" Type="http://schemas.openxmlformats.org/officeDocument/2006/relationships/hyperlink" Target="https://www.fda.gov/medical-devices/device-advice-comprehensive-regulatory-assistance/how-study-and-market-your-device" TargetMode="External"/><Relationship Id="rId369" Type="http://schemas.openxmlformats.org/officeDocument/2006/relationships/hyperlink" Target="https://go.osu.edu/irb-hipaa" TargetMode="External"/><Relationship Id="rId534" Type="http://schemas.openxmlformats.org/officeDocument/2006/relationships/hyperlink" Target="https://osuirb.huronresearchsuite.com/IRB/sd/Doc/0/S7805PNRHK8UUCKFCTLOULIG00/HRP-510%20Appendix%20C%20-%20Children.docx" TargetMode="External"/><Relationship Id="rId576" Type="http://schemas.openxmlformats.org/officeDocument/2006/relationships/hyperlink" Target="https://osuirb.huronresearchsuite.com/IRB/sd/Doc/0/8D1BGTFRI88UUCKFCTLOULIG00/HRP-544h%20ShortFormConsentTemplate_English%20FINAL-Lao.rtf" TargetMode="External"/><Relationship Id="rId173" Type="http://schemas.openxmlformats.org/officeDocument/2006/relationships/hyperlink" Target="https://go.osu.edu/HRPPpolicy12" TargetMode="External"/><Relationship Id="rId229" Type="http://schemas.openxmlformats.org/officeDocument/2006/relationships/hyperlink" Target="https://go.osu.edu/hrpppolicy39" TargetMode="External"/><Relationship Id="rId380" Type="http://schemas.openxmlformats.org/officeDocument/2006/relationships/hyperlink" Target="https://registrar.osu.edu/" TargetMode="External"/><Relationship Id="rId436" Type="http://schemas.openxmlformats.org/officeDocument/2006/relationships/hyperlink" Target="https://go.osu.edu/hrp021" TargetMode="External"/><Relationship Id="rId601" Type="http://schemas.openxmlformats.org/officeDocument/2006/relationships/fontTable" Target="fontTable.xml"/><Relationship Id="rId240" Type="http://schemas.openxmlformats.org/officeDocument/2006/relationships/hyperlink" Target="https://go.osu.edu/hrpppolicy34" TargetMode="External"/><Relationship Id="rId478" Type="http://schemas.openxmlformats.org/officeDocument/2006/relationships/hyperlink" Target="https://go.osu.edu/hrp623" TargetMode="External"/><Relationship Id="rId35" Type="http://schemas.openxmlformats.org/officeDocument/2006/relationships/hyperlink" Target="https://go.osu.edu/hrp510m" TargetMode="External"/><Relationship Id="rId77" Type="http://schemas.openxmlformats.org/officeDocument/2006/relationships/hyperlink" Target="mailto:BehavioralIRBInfo@osu.edu" TargetMode="External"/><Relationship Id="rId100" Type="http://schemas.openxmlformats.org/officeDocument/2006/relationships/hyperlink" Target="https://go.osu.edu/HRPPpolicies" TargetMode="External"/><Relationship Id="rId282" Type="http://schemas.openxmlformats.org/officeDocument/2006/relationships/hyperlink" Target="https://go.osu.edu/HRPPpolicy14" TargetMode="External"/><Relationship Id="rId338" Type="http://schemas.openxmlformats.org/officeDocument/2006/relationships/hyperlink" Target="https://www.fda.gov/medical-devices/investigational-device-exemption-ide/expanded-access-medical-devices" TargetMode="External"/><Relationship Id="rId503" Type="http://schemas.openxmlformats.org/officeDocument/2006/relationships/hyperlink" Target="https://osuirb.huronresearchsuite.com/IRB/sd/Doc/0/75Q5L37RG88UUCKFCTLOULIG00/HRP-303%20-%20WORKSHEET%20-%20Communication%20of%20Review%20Results.docx" TargetMode="External"/><Relationship Id="rId545" Type="http://schemas.openxmlformats.org/officeDocument/2006/relationships/hyperlink" Target="https://osuirb.huronresearchsuite.com/IRB/sd/Doc/0/UP45B27RHO8UUCKFCTLOULIG00/HRP-510%20Appendix%20N%20-%20Prisoners.docx" TargetMode="External"/><Relationship Id="rId587" Type="http://schemas.openxmlformats.org/officeDocument/2006/relationships/hyperlink" Target="https://osuirb.huronresearchsuite.com/IRB/sd/Doc/0/SA95BTNRHS8UUCKFCTLOULIG00/HRP-550%20Guidance-for-Combined-Consent-and-HIPAATemplate.pdf" TargetMode="External"/><Relationship Id="rId8" Type="http://schemas.openxmlformats.org/officeDocument/2006/relationships/settings" Target="settings.xml"/><Relationship Id="rId142" Type="http://schemas.openxmlformats.org/officeDocument/2006/relationships/hyperlink" Target="https://go.osu.edu/HRPPpolicy30" TargetMode="External"/><Relationship Id="rId184" Type="http://schemas.openxmlformats.org/officeDocument/2006/relationships/header" Target="header3.xml"/><Relationship Id="rId391" Type="http://schemas.openxmlformats.org/officeDocument/2006/relationships/hyperlink" Target="https://go.osu.edu/HRPPpolicy19" TargetMode="External"/><Relationship Id="rId405" Type="http://schemas.openxmlformats.org/officeDocument/2006/relationships/hyperlink" Target="https://go.osu.edu/HRPPpolicy26" TargetMode="External"/><Relationship Id="rId447" Type="http://schemas.openxmlformats.org/officeDocument/2006/relationships/hyperlink" Target="https://go.osu.edu/hrp062" TargetMode="External"/><Relationship Id="rId251" Type="http://schemas.openxmlformats.org/officeDocument/2006/relationships/hyperlink" Target="https://go.osu.edu/ORRPevent" TargetMode="External"/><Relationship Id="rId489" Type="http://schemas.openxmlformats.org/officeDocument/2006/relationships/hyperlink" Target="https://go.osu.edu/hrp634" TargetMode="External"/><Relationship Id="rId46" Type="http://schemas.openxmlformats.org/officeDocument/2006/relationships/hyperlink" Target="https://go.osu.edu/HRPPpolicy18" TargetMode="External"/><Relationship Id="rId293" Type="http://schemas.openxmlformats.org/officeDocument/2006/relationships/hyperlink" Target="https://go.osu.edu/HRPPpolicy17" TargetMode="External"/><Relationship Id="rId307" Type="http://schemas.openxmlformats.org/officeDocument/2006/relationships/hyperlink" Target="https://go.osu.edu/HRPPpolicy34" TargetMode="External"/><Relationship Id="rId349" Type="http://schemas.openxmlformats.org/officeDocument/2006/relationships/hyperlink" Target="https://www.fda.gov/medical-devices/investigational-device-exemption-ide/expanded-access-medical-devices" TargetMode="External"/><Relationship Id="rId514" Type="http://schemas.openxmlformats.org/officeDocument/2006/relationships/hyperlink" Target="https://osuirb.huronresearchsuite.com/IRB/sd/Doc/0/O03024VRGK8UUCKFCTLOULIG00/HRP-413%20-%20CHECKLIST%20-%20Nonviable%20Neonates.docx" TargetMode="External"/><Relationship Id="rId556" Type="http://schemas.openxmlformats.org/officeDocument/2006/relationships/hyperlink" Target="https://osuirb.huronresearchsuite.com/IRB/sd/Doc/0/9PT239NRHK8UUCKFCTLOULIG00/HRP-532%20Consent-Template_BSS.doc" TargetMode="External"/><Relationship Id="rId88" Type="http://schemas.openxmlformats.org/officeDocument/2006/relationships/hyperlink" Target="https://go.osu.edu/ORRPhipaa" TargetMode="External"/><Relationship Id="rId111" Type="http://schemas.openxmlformats.org/officeDocument/2006/relationships/hyperlink" Target="https://go.osu.edu/HRPPpolicy20" TargetMode="External"/><Relationship Id="rId153" Type="http://schemas.openxmlformats.org/officeDocument/2006/relationships/hyperlink" Target="http://orc.osu.edu/files/ResearchDataPolicy.pdf" TargetMode="External"/><Relationship Id="rId195" Type="http://schemas.openxmlformats.org/officeDocument/2006/relationships/hyperlink" Target="https://go.osu.edu/phihipaapolicy" TargetMode="External"/><Relationship Id="rId209" Type="http://schemas.openxmlformats.org/officeDocument/2006/relationships/hyperlink" Target="https://grants.nih.gov/policy/humansubjects/coc.htm" TargetMode="External"/><Relationship Id="rId360" Type="http://schemas.openxmlformats.org/officeDocument/2006/relationships/hyperlink" Target="https://www.gpo.gov/fdsys/granule/CFR-2011-title42-vol5/CFR-2011-title42-vol5-part493/content-detail.html" TargetMode="External"/><Relationship Id="rId416" Type="http://schemas.openxmlformats.org/officeDocument/2006/relationships/hyperlink" Target="http://codes.ohio.gov/orc/149.43" TargetMode="External"/><Relationship Id="rId598" Type="http://schemas.openxmlformats.org/officeDocument/2006/relationships/hyperlink" Target="https://osuirb.huronresearchsuite.com/IRB/sd/Doc/0/Q7G44O14S08V0DKFCTLOULIG00/HRP-835%20-%20NCI%20CIRB%20Consent%20Guidance%20-%20OSU%20Boilerplate-language_Spanish%207.20.2023.docx" TargetMode="External"/><Relationship Id="rId220" Type="http://schemas.openxmlformats.org/officeDocument/2006/relationships/hyperlink" Target="https://go.osu.edu/hrpppolicy34" TargetMode="External"/><Relationship Id="rId458" Type="http://schemas.openxmlformats.org/officeDocument/2006/relationships/hyperlink" Target="https://go.osu.edu/hrp601" TargetMode="External"/><Relationship Id="rId15" Type="http://schemas.openxmlformats.org/officeDocument/2006/relationships/footer" Target="footer2.xml"/><Relationship Id="rId57" Type="http://schemas.openxmlformats.org/officeDocument/2006/relationships/hyperlink" Target="https://ohiostateresearch.knowledgebase.co/article/huron-irb-closing-a-study-when-ohio-state-is-the-irb-of-record-118.html" TargetMode="External"/><Relationship Id="rId262" Type="http://schemas.openxmlformats.org/officeDocument/2006/relationships/hyperlink" Target="https://go.osu.edu/HRPPpolicy19" TargetMode="External"/><Relationship Id="rId318" Type="http://schemas.openxmlformats.org/officeDocument/2006/relationships/hyperlink" Target="http://www.accessdata.fda.gov/scripts/cdrh/cfdocs/cfcfr/CFRSearch.cfm?CFRPart=314" TargetMode="External"/><Relationship Id="rId525" Type="http://schemas.openxmlformats.org/officeDocument/2006/relationships/hyperlink" Target="https://osuirb.huronresearchsuite.com/IRB/sd/Doc/0/FBQIP4O8SC8V0D4FCTLOULIG00/HRP-503%20Protocol%20-%20Biomedical%20and%20Cancer%20Research%203.24.25%20V3.docx" TargetMode="External"/><Relationship Id="rId567" Type="http://schemas.openxmlformats.org/officeDocument/2006/relationships/hyperlink" Target="https://osuirb.huronresearchsuite.com/IRB/sd/Doc/0/FUB7B0FRHS8UUCKFCTLOULIG00/HRP-543%20Sample%20Contact%20Information%20Card.docx" TargetMode="External"/><Relationship Id="rId99" Type="http://schemas.openxmlformats.org/officeDocument/2006/relationships/hyperlink" Target="http://www.hhs.gov/ohrp/regulations-and-policy/belmont-report/index.html" TargetMode="External"/><Relationship Id="rId122" Type="http://schemas.openxmlformats.org/officeDocument/2006/relationships/hyperlink" Target="https://www.fda.gov/downloads/Drugs/GuidanceComplianceRegulatoryInformation/Guidances/UCM464506.pdf" TargetMode="External"/><Relationship Id="rId164" Type="http://schemas.openxmlformats.org/officeDocument/2006/relationships/hyperlink" Target="https://go.osu.edu/hrpppolicy12" TargetMode="External"/><Relationship Id="rId371" Type="http://schemas.openxmlformats.org/officeDocument/2006/relationships/hyperlink" Target="https://go.osu.edu/HRPPpolicy30" TargetMode="External"/><Relationship Id="rId427" Type="http://schemas.openxmlformats.org/officeDocument/2006/relationships/hyperlink" Target="http://go.osu.edu/HRPPpolicy14" TargetMode="External"/><Relationship Id="rId469" Type="http://schemas.openxmlformats.org/officeDocument/2006/relationships/hyperlink" Target="https://go.osu.edu/hrp614" TargetMode="External"/><Relationship Id="rId26" Type="http://schemas.openxmlformats.org/officeDocument/2006/relationships/hyperlink" Target="https://research.osu.edu/sites/default/files/2022-08/FCOI_SOP.pdf" TargetMode="External"/><Relationship Id="rId231" Type="http://schemas.openxmlformats.org/officeDocument/2006/relationships/hyperlink" Target="https://go.osu.edu/hrpppolicy19" TargetMode="External"/><Relationship Id="rId273" Type="http://schemas.openxmlformats.org/officeDocument/2006/relationships/hyperlink" Target="https://go.osu.edu/HRPPpolicy21" TargetMode="External"/><Relationship Id="rId329" Type="http://schemas.openxmlformats.org/officeDocument/2006/relationships/hyperlink" Target="https://www.fda.gov/medical-devices/investigational-device-exemption-ide/ide-responsibilities" TargetMode="External"/><Relationship Id="rId480" Type="http://schemas.openxmlformats.org/officeDocument/2006/relationships/hyperlink" Target="https://go.osu.edu/hrp625" TargetMode="External"/><Relationship Id="rId536" Type="http://schemas.openxmlformats.org/officeDocument/2006/relationships/hyperlink" Target="https://osuirb.huronresearchsuite.com/IRB/sd/Doc/0/36FM9EFRHO8UUCKFCTLOULIG00/HRP-510%20Appendix%20E%20-%20Expedited%20Review%20-%20Initial%20Review.docx" TargetMode="External"/><Relationship Id="rId68" Type="http://schemas.openxmlformats.org/officeDocument/2006/relationships/hyperlink" Target="https://go.osu.edu/hrp830" TargetMode="External"/><Relationship Id="rId133" Type="http://schemas.openxmlformats.org/officeDocument/2006/relationships/hyperlink" Target="https://go.osu.edu/HRPPpolicy37" TargetMode="External"/><Relationship Id="rId175" Type="http://schemas.openxmlformats.org/officeDocument/2006/relationships/hyperlink" Target="https://go.osu.edu/HRPPpolicy24" TargetMode="External"/><Relationship Id="rId340" Type="http://schemas.openxmlformats.org/officeDocument/2006/relationships/hyperlink" Target="https://go.osu.edu/HRPPpolicy35" TargetMode="External"/><Relationship Id="rId578" Type="http://schemas.openxmlformats.org/officeDocument/2006/relationships/hyperlink" Target="https://osuirb.huronresearchsuite.com/IRB/sd/Doc/0/NO0HFHNRI88UUCKFCTLOULIG00/HRP-544k%20ShortFormConsentTemplate_English%20FINAL-SiChi.rtf" TargetMode="External"/><Relationship Id="rId200" Type="http://schemas.openxmlformats.org/officeDocument/2006/relationships/hyperlink" Target="http://osp.osu.edu/files/2013/10/HSPaymentsPolicy.pdf" TargetMode="External"/><Relationship Id="rId382" Type="http://schemas.openxmlformats.org/officeDocument/2006/relationships/hyperlink" Target="https://grants.nih.gov/policy/humansubjects/coc.htm" TargetMode="External"/><Relationship Id="rId438" Type="http://schemas.openxmlformats.org/officeDocument/2006/relationships/hyperlink" Target="https://go.osu.edu/hrp032" TargetMode="External"/><Relationship Id="rId242" Type="http://schemas.openxmlformats.org/officeDocument/2006/relationships/hyperlink" Target="https://go.osu.edu/HRPPpolicy02" TargetMode="External"/><Relationship Id="rId284" Type="http://schemas.openxmlformats.org/officeDocument/2006/relationships/hyperlink" Target="http://grants.nih.gov/grants/funding/children/children.htm" TargetMode="External"/><Relationship Id="rId491" Type="http://schemas.openxmlformats.org/officeDocument/2006/relationships/hyperlink" Target="https://go.osu.edu/hrp802" TargetMode="External"/><Relationship Id="rId505" Type="http://schemas.openxmlformats.org/officeDocument/2006/relationships/hyperlink" Target="https://osuirb.huronresearchsuite.com/IRB/sd/Doc/0/KO9GQPVRGC8UUCKFCTLOULIG00/HRP-322%20-%20WORKSHEET%20-%20Emergency%20Use.docx" TargetMode="External"/><Relationship Id="rId37" Type="http://schemas.openxmlformats.org/officeDocument/2006/relationships/hyperlink" Target="https://go.osu.edu/huronirblibrary" TargetMode="External"/><Relationship Id="rId79" Type="http://schemas.openxmlformats.org/officeDocument/2006/relationships/hyperlink" Target="mailto:CancerIRBInfo@osu.edu" TargetMode="External"/><Relationship Id="rId102" Type="http://schemas.openxmlformats.org/officeDocument/2006/relationships/hyperlink" Target="https://research.osu.edu/building-your-research-program/becoming-principal-investigator" TargetMode="External"/><Relationship Id="rId144" Type="http://schemas.openxmlformats.org/officeDocument/2006/relationships/hyperlink" Target="https://go.osu.edu/HRPPpolicy11" TargetMode="External"/><Relationship Id="rId547" Type="http://schemas.openxmlformats.org/officeDocument/2006/relationships/hyperlink" Target="https://osuirb.huronresearchsuite.com/IRB/sd/Doc/0/0D8TEPGEEK8V0D4FCTLOULIG00/HRP-510%20Appendix%20P%20-%20Repositories%203.31.2025.docx" TargetMode="External"/><Relationship Id="rId589" Type="http://schemas.openxmlformats.org/officeDocument/2006/relationships/hyperlink" Target="https://osuirb.huronresearchsuite.com/IRB/sd/Doc/0/766ORUNRI08UUCKFCTLOULIG00/HRP-552%20GuidanceforConsentTemplates_BSS.pdf" TargetMode="External"/><Relationship Id="rId90" Type="http://schemas.openxmlformats.org/officeDocument/2006/relationships/hyperlink" Target="https://go.osu.edu/HRPPpolicy09" TargetMode="External"/><Relationship Id="rId186" Type="http://schemas.openxmlformats.org/officeDocument/2006/relationships/hyperlink" Target="https://go.osu.edu/HRPPpolicy04" TargetMode="External"/><Relationship Id="rId351" Type="http://schemas.openxmlformats.org/officeDocument/2006/relationships/hyperlink" Target="https://www.fda.gov/medical-devices/investigational-device-exemption-ide/ide-responsibilities" TargetMode="External"/><Relationship Id="rId393" Type="http://schemas.openxmlformats.org/officeDocument/2006/relationships/hyperlink" Target="https://go.osu.edu/HRPPpolicy35" TargetMode="External"/><Relationship Id="rId407" Type="http://schemas.openxmlformats.org/officeDocument/2006/relationships/hyperlink" Target="https://go.osu.edu/HRPPpolicy04" TargetMode="External"/><Relationship Id="rId449" Type="http://schemas.openxmlformats.org/officeDocument/2006/relationships/hyperlink" Target="https://go.osu.edu/hrp064" TargetMode="External"/><Relationship Id="rId211" Type="http://schemas.openxmlformats.org/officeDocument/2006/relationships/hyperlink" Target="http://www.ClinicalTrials.gov" TargetMode="External"/><Relationship Id="rId253" Type="http://schemas.openxmlformats.org/officeDocument/2006/relationships/hyperlink" Target="https://go.osu.edu/hrpppolicy36" TargetMode="External"/><Relationship Id="rId295" Type="http://schemas.openxmlformats.org/officeDocument/2006/relationships/hyperlink" Target="https://go.osu.edu/HRPPpolicy34" TargetMode="External"/><Relationship Id="rId309" Type="http://schemas.openxmlformats.org/officeDocument/2006/relationships/hyperlink" Target="http://www.fda.gov/regulatoryinformation/guidances/ucm126486.htm" TargetMode="External"/><Relationship Id="rId460" Type="http://schemas.openxmlformats.org/officeDocument/2006/relationships/hyperlink" Target="https://go.osu.edu/hrp603" TargetMode="External"/><Relationship Id="rId516" Type="http://schemas.openxmlformats.org/officeDocument/2006/relationships/hyperlink" Target="https://osuirb.huronresearchsuite.com/IRB/sd/Doc/0/HUD89AVRGS8UUCKFCTLOULIG00/HRP-415%20-%20CHECKLIST%20-%20Prisoners.docx" TargetMode="External"/><Relationship Id="rId48" Type="http://schemas.openxmlformats.org/officeDocument/2006/relationships/hyperlink" Target="https://ohiostateresearch.knowledgebase.co/article/huron-irb-respond-to-modifications-required-100.html" TargetMode="External"/><Relationship Id="rId113" Type="http://schemas.openxmlformats.org/officeDocument/2006/relationships/hyperlink" Target="https://go.osu.edu/HRPPpolicy23" TargetMode="External"/><Relationship Id="rId320" Type="http://schemas.openxmlformats.org/officeDocument/2006/relationships/hyperlink" Target="http://www.accessdata.fda.gov/scripts/cdrh/cfdocs/cfcfr/CFRSearch.cfm?CFRPart=330" TargetMode="External"/><Relationship Id="rId558" Type="http://schemas.openxmlformats.org/officeDocument/2006/relationships/hyperlink" Target="https://osuirb.huronresearchsuite.com/IRB/sd/Doc/0/GD380UVRHK8UUCKFCTLOULIG00/HRP-534%20Consent%20Addendum%20Template.doc" TargetMode="External"/><Relationship Id="rId155" Type="http://schemas.openxmlformats.org/officeDocument/2006/relationships/hyperlink" Target="https://go.osu.edu/HRPPpolicy31" TargetMode="External"/><Relationship Id="rId197" Type="http://schemas.openxmlformats.org/officeDocument/2006/relationships/hyperlink" Target="https://ocio.osu.edu/sites/default/files/assets/Policies/Responsible-Use-of-University-Computing-and-Network-Resources-Policy.pdf" TargetMode="External"/><Relationship Id="rId362" Type="http://schemas.openxmlformats.org/officeDocument/2006/relationships/hyperlink" Target="https://www.fda.gov/regulatory-information/search-fda-guidance-documents/e6r2-good-clinical-practice-integrated-addendum-ich-e6r1" TargetMode="External"/><Relationship Id="rId418" Type="http://schemas.openxmlformats.org/officeDocument/2006/relationships/hyperlink" Target="https://library.osu.edu/osu-records-management/policy" TargetMode="External"/><Relationship Id="rId222" Type="http://schemas.openxmlformats.org/officeDocument/2006/relationships/hyperlink" Target="https://go.osu.edu/hrpppolicy19" TargetMode="External"/><Relationship Id="rId264" Type="http://schemas.openxmlformats.org/officeDocument/2006/relationships/hyperlink" Target="https://go.osu.edu/HRPPpolicy19" TargetMode="External"/><Relationship Id="rId471" Type="http://schemas.openxmlformats.org/officeDocument/2006/relationships/hyperlink" Target="https://go.osu.edu/hrp616" TargetMode="External"/><Relationship Id="rId17" Type="http://schemas.openxmlformats.org/officeDocument/2006/relationships/hyperlink" Target="mailto:ORRPDeterminations@osu.edu" TargetMode="External"/><Relationship Id="rId59" Type="http://schemas.openxmlformats.org/officeDocument/2006/relationships/hyperlink" Target="https://go.osu.edu/hrp833" TargetMode="External"/><Relationship Id="rId124" Type="http://schemas.openxmlformats.org/officeDocument/2006/relationships/hyperlink" Target="http://www.hhs.gov/ohrp/regulations-and-policy/guidance/faq/investigator-responsibilities/index.html%20" TargetMode="External"/><Relationship Id="rId527" Type="http://schemas.openxmlformats.org/officeDocument/2006/relationships/hyperlink" Target="https://osuirb.huronresearchsuite.com/IRB/sd/Doc/0/M6RKLIG8SC8V0D4FCTLOULIG00/HRP-503b%20Protocol%20-%20Secondary%20Research%203.24.25%20V3.docx" TargetMode="External"/><Relationship Id="rId569" Type="http://schemas.openxmlformats.org/officeDocument/2006/relationships/hyperlink" Target="https://osuirb.huronresearchsuite.com/IRB/sd/Doc/0/VOURJVVRI08UUCKFCTLOULIG00/HRP-544a%20ShortFormConsentTemplate_English%20FINAL-Ara.rtf" TargetMode="External"/><Relationship Id="rId70" Type="http://schemas.openxmlformats.org/officeDocument/2006/relationships/hyperlink" Target="https://go.osu.edu/hrp812" TargetMode="External"/><Relationship Id="rId166" Type="http://schemas.openxmlformats.org/officeDocument/2006/relationships/hyperlink" Target="https://go.osu.edu/HRPPpolicy24" TargetMode="External"/><Relationship Id="rId331" Type="http://schemas.openxmlformats.org/officeDocument/2006/relationships/hyperlink" Target="https://www.fda.gov/medical-devices/investigational-device-exemption-ide/ide-approval-process" TargetMode="External"/><Relationship Id="rId373" Type="http://schemas.openxmlformats.org/officeDocument/2006/relationships/hyperlink" Target="https://go.osu.edu/HRPPpolicy09" TargetMode="External"/><Relationship Id="rId429" Type="http://schemas.openxmlformats.org/officeDocument/2006/relationships/hyperlink" Target="https://codes.ohio.gov/ohio-administrative-code/chapter-3701:1-66" TargetMode="External"/><Relationship Id="rId580" Type="http://schemas.openxmlformats.org/officeDocument/2006/relationships/hyperlink" Target="https://osuirb.huronresearchsuite.com/IRB/sd/Doc/0/1O46GKVRIC8UUCKFCTLOULIG00/HRP-544m%20ShortFormConsentTemplate_English%20FINAL-Sp.rtf" TargetMode="External"/><Relationship Id="rId1" Type="http://schemas.openxmlformats.org/officeDocument/2006/relationships/customXml" Target="../customXml/item1.xml"/><Relationship Id="rId233" Type="http://schemas.openxmlformats.org/officeDocument/2006/relationships/hyperlink" Target="https://go.osu.edu/hrpppolicy20" TargetMode="External"/><Relationship Id="rId440" Type="http://schemas.openxmlformats.org/officeDocument/2006/relationships/hyperlink" Target="https://go.osu.edu/hrp041" TargetMode="External"/><Relationship Id="rId28" Type="http://schemas.openxmlformats.org/officeDocument/2006/relationships/hyperlink" Target="https://go.osu.edu/huronirblibrary" TargetMode="External"/><Relationship Id="rId275" Type="http://schemas.openxmlformats.org/officeDocument/2006/relationships/hyperlink" Target="https://go.osu.edu/HRPPpolicy26" TargetMode="External"/><Relationship Id="rId300" Type="http://schemas.openxmlformats.org/officeDocument/2006/relationships/hyperlink" Target="https://go.osu.edu/HRPPpolicy30" TargetMode="External"/><Relationship Id="rId482" Type="http://schemas.openxmlformats.org/officeDocument/2006/relationships/hyperlink" Target="https://go.osu.edu/hrp627" TargetMode="External"/><Relationship Id="rId538" Type="http://schemas.openxmlformats.org/officeDocument/2006/relationships/hyperlink" Target="https://osuirb.huronresearchsuite.com/IRB/sd/Doc/0/A64QGFNRHO8UUCKFCTLOULIG00/HRP-510%20Appendix%20G%20-%20Genetic%20Testing.docx" TargetMode="External"/><Relationship Id="rId81" Type="http://schemas.openxmlformats.org/officeDocument/2006/relationships/hyperlink" Target="mailto:IRBAgreements@osu.edu" TargetMode="External"/><Relationship Id="rId135" Type="http://schemas.openxmlformats.org/officeDocument/2006/relationships/hyperlink" Target="https://go.osu.edu/HRPPpolicy24" TargetMode="External"/><Relationship Id="rId177" Type="http://schemas.openxmlformats.org/officeDocument/2006/relationships/hyperlink" Target="https://go.osu.edu/HRPPpolicy12" TargetMode="External"/><Relationship Id="rId342" Type="http://schemas.openxmlformats.org/officeDocument/2006/relationships/hyperlink" Target="https://go.osu.edu/HRPPpolicy10" TargetMode="External"/><Relationship Id="rId384" Type="http://schemas.openxmlformats.org/officeDocument/2006/relationships/hyperlink" Target="http://orc.osu.edu/files/ResearchDataPolicy.pdf" TargetMode="External"/><Relationship Id="rId591" Type="http://schemas.openxmlformats.org/officeDocument/2006/relationships/hyperlink" Target="https://osuirb.huronresearchsuite.com/IRB/sd/Doc/0/P5A4ET94RS8V0DKFCTLOULIG00/HRP-811%20-%20FORM%20-%20Basic%20Site%20Information%204.28.2025.docx" TargetMode="External"/><Relationship Id="rId202" Type="http://schemas.openxmlformats.org/officeDocument/2006/relationships/hyperlink" Target="https://go.osu.edu/hrpppolicy17" TargetMode="External"/><Relationship Id="rId244" Type="http://schemas.openxmlformats.org/officeDocument/2006/relationships/hyperlink" Target="http://grants.nih.gov/grants/guide/notice-files/not98-084.html" TargetMode="External"/><Relationship Id="rId39" Type="http://schemas.openxmlformats.org/officeDocument/2006/relationships/hyperlink" Target="https://ohiostateresearch.knowledgebase.co/article/huron-irb-create-and-submit-a-new-study-85.html" TargetMode="External"/><Relationship Id="rId286" Type="http://schemas.openxmlformats.org/officeDocument/2006/relationships/hyperlink" Target="https://go.osu.edu/HRPPpolicy17" TargetMode="External"/><Relationship Id="rId451" Type="http://schemas.openxmlformats.org/officeDocument/2006/relationships/hyperlink" Target="https://go.osu.edu/hrp070" TargetMode="External"/><Relationship Id="rId493" Type="http://schemas.openxmlformats.org/officeDocument/2006/relationships/hyperlink" Target="https://go.osu.edu/hrp805" TargetMode="External"/><Relationship Id="rId507" Type="http://schemas.openxmlformats.org/officeDocument/2006/relationships/hyperlink" Target="https://go.osu.edu/hrp830" TargetMode="External"/><Relationship Id="rId549" Type="http://schemas.openxmlformats.org/officeDocument/2006/relationships/hyperlink" Target="https://osuirb.huronresearchsuite.com/IRB/sd/Doc/0/JSPLU0OB2S8V0D4FCTLOULIG00/HRP-510%20Appendix%20R%20-%20Waiver%20of%20Parental%20Permission%20Process%203.27.2025.docx" TargetMode="External"/><Relationship Id="rId50" Type="http://schemas.openxmlformats.org/officeDocument/2006/relationships/hyperlink" Target="https://go.osu.edu/hrp215" TargetMode="External"/><Relationship Id="rId104" Type="http://schemas.openxmlformats.org/officeDocument/2006/relationships/hyperlink" Target="https://go.osu.edu/HRPPpolicy12" TargetMode="External"/><Relationship Id="rId146" Type="http://schemas.openxmlformats.org/officeDocument/2006/relationships/hyperlink" Target="https://go.osu.edu/HRPPpolicy14" TargetMode="External"/><Relationship Id="rId188" Type="http://schemas.openxmlformats.org/officeDocument/2006/relationships/hyperlink" Target="https://go.osu.edu/HRPPpolicy04" TargetMode="External"/><Relationship Id="rId311" Type="http://schemas.openxmlformats.org/officeDocument/2006/relationships/hyperlink" Target="https://go.osu.edu/HRPPpolicy14" TargetMode="External"/><Relationship Id="rId353" Type="http://schemas.openxmlformats.org/officeDocument/2006/relationships/hyperlink" Target="http://www.accessdata.fda.gov/scripts/cdrh/cfdocs/cfcfr/CFRSearch.cfm?CFRPart=54" TargetMode="External"/><Relationship Id="rId395" Type="http://schemas.openxmlformats.org/officeDocument/2006/relationships/hyperlink" Target="https://go.osu.edu/HRPPpolicy20" TargetMode="External"/><Relationship Id="rId409" Type="http://schemas.openxmlformats.org/officeDocument/2006/relationships/hyperlink" Target="http://legal.osu.edu/ethics.php" TargetMode="External"/><Relationship Id="rId560" Type="http://schemas.openxmlformats.org/officeDocument/2006/relationships/hyperlink" Target="https://osuirb.huronresearchsuite.com/IRB/sd/Doc/0/0HKTI57RHO8UUCKFCTLOULIG00/HRP-536%20Consent-Template-Online_Exempt.doc" TargetMode="External"/><Relationship Id="rId92" Type="http://schemas.openxmlformats.org/officeDocument/2006/relationships/hyperlink" Target="https://go.osu.edu/HRPPpolicy39" TargetMode="External"/><Relationship Id="rId213" Type="http://schemas.openxmlformats.org/officeDocument/2006/relationships/hyperlink" Target="https://go.osu.edu/hrpppolicy26" TargetMode="External"/><Relationship Id="rId420" Type="http://schemas.openxmlformats.org/officeDocument/2006/relationships/hyperlink" Target="http://go.osu.edu/HRPPpolicy19" TargetMode="External"/><Relationship Id="rId255" Type="http://schemas.openxmlformats.org/officeDocument/2006/relationships/hyperlink" Target="https://www.hhs.gov/ohrp/regulations-and-policy/guidance/reviewing-unanticipated-problems/index.html" TargetMode="External"/><Relationship Id="rId297" Type="http://schemas.openxmlformats.org/officeDocument/2006/relationships/hyperlink" Target="https://go.osu.edu/HRPPpolicy19" TargetMode="External"/><Relationship Id="rId462" Type="http://schemas.openxmlformats.org/officeDocument/2006/relationships/hyperlink" Target="https://go.osu.edu/HRPPpolicy07" TargetMode="External"/><Relationship Id="rId518" Type="http://schemas.openxmlformats.org/officeDocument/2006/relationships/hyperlink" Target="https://osuirb.huronresearchsuite.com/IRB/sd/Doc/0/PSL8S27RGS8UUCKFCTLOULIG00/HRP-417%20-%20CHECKLIST%20-%20Adults%20With%20Impaired%20Decision-Making%20Capacity.docx" TargetMode="External"/><Relationship Id="rId115" Type="http://schemas.openxmlformats.org/officeDocument/2006/relationships/hyperlink" Target="https://go.osu.edu/HRPPpolicy04" TargetMode="External"/><Relationship Id="rId157" Type="http://schemas.openxmlformats.org/officeDocument/2006/relationships/hyperlink" Target="https://go.osu.edu/HRPPpolicy13" TargetMode="External"/><Relationship Id="rId322" Type="http://schemas.openxmlformats.org/officeDocument/2006/relationships/hyperlink" Target="https://www.accessdata.fda.gov/scripts/cdrh/cfdocs/cfcfr/CFRSearch.cfm?CFRPart=312&amp;showFR=1&amp;subpartNode=21:5.0.1.1.3.4" TargetMode="External"/><Relationship Id="rId364" Type="http://schemas.openxmlformats.org/officeDocument/2006/relationships/hyperlink" Target="http://www.accessdata.fda.gov/scripts/cdrh/cfdocs/cfHDE/HDEInformation.cfm" TargetMode="External"/><Relationship Id="rId61" Type="http://schemas.openxmlformats.org/officeDocument/2006/relationships/hyperlink" Target="https://ohiostateresearch.knowledgebase.co/article/huron-irb-create-and-submit-a-new-single-site-external-study-86.html" TargetMode="External"/><Relationship Id="rId199" Type="http://schemas.openxmlformats.org/officeDocument/2006/relationships/hyperlink" Target="https://go.osu.edu/hrpppolicy19" TargetMode="External"/><Relationship Id="rId571" Type="http://schemas.openxmlformats.org/officeDocument/2006/relationships/hyperlink" Target="https://osuirb.huronresearchsuite.com/IRB/sd/Doc/0/E5TO61NRI48UUCKFCTLOULIG00/HRP-544c%20ShortFormConsentTemplate_English%20FINAL-French.rtf" TargetMode="External"/><Relationship Id="rId19" Type="http://schemas.openxmlformats.org/officeDocument/2006/relationships/hyperlink" Target="https://osuirb.huronresearchsuite.com/IRB/sd/Rooms/DisplayPages/LayoutInitial?container=com.webridge.entity.Entity%5BOID%5BCACD41AF7CFE11EF328F32B38F565000%5D%5D&amp;tab2=65B6C601F5DAD4488AE68814F459961B" TargetMode="External"/><Relationship Id="rId224" Type="http://schemas.openxmlformats.org/officeDocument/2006/relationships/hyperlink" Target="https://go.osu.edu/hrpppolicy19" TargetMode="External"/><Relationship Id="rId266" Type="http://schemas.openxmlformats.org/officeDocument/2006/relationships/hyperlink" Target="https://go.osu.edu/HRPPpolicy19" TargetMode="External"/><Relationship Id="rId431" Type="http://schemas.openxmlformats.org/officeDocument/2006/relationships/hyperlink" Target="https://osuirb.huronresearchsuite.com/IRB/sd/Rooms/DisplayPages/LayoutInitial?container=com.webridge.entity.Entity%5BOID%5BCACD41AF7CFE11EF328F32B38F565000%5D%5D&amp;tab2=82EEAA754DB3A548B48B7F96BEBE7116" TargetMode="External"/><Relationship Id="rId473" Type="http://schemas.openxmlformats.org/officeDocument/2006/relationships/hyperlink" Target="https://go.osu.edu/hrp618" TargetMode="External"/><Relationship Id="rId529" Type="http://schemas.openxmlformats.org/officeDocument/2006/relationships/hyperlink" Target="https://osuirb.huronresearchsuite.com/IRB/sd/Doc/0/R428MUO8SC8V0D4FCTLOULIG00/HRP-504%20Protocol%20-%20External%20IRB%20Site%20Supplement%203.24.25%20V3.docx" TargetMode="External"/><Relationship Id="rId30" Type="http://schemas.openxmlformats.org/officeDocument/2006/relationships/hyperlink" Target="https://go.osu.edu/hrp503a" TargetMode="External"/><Relationship Id="rId126" Type="http://schemas.openxmlformats.org/officeDocument/2006/relationships/hyperlink" Target="https://go.osu.edu/HRPPpolicy40" TargetMode="External"/><Relationship Id="rId168" Type="http://schemas.openxmlformats.org/officeDocument/2006/relationships/hyperlink" Target="https://go.osu.edu/HRPPpolicy04" TargetMode="External"/><Relationship Id="rId333" Type="http://schemas.openxmlformats.org/officeDocument/2006/relationships/hyperlink" Target="http://www.accessdata.fda.gov/scripts/cdrh/cfdocs/cfcfr/CFRSearch.cfm?CFRPart=812&amp;showFR=1&amp;subpartNode=21:8.0.1.1.9.2" TargetMode="External"/><Relationship Id="rId540" Type="http://schemas.openxmlformats.org/officeDocument/2006/relationships/hyperlink" Target="https://osuirb.huronresearchsuite.com/IRB/sd/Doc/0/G4B2UGFRHO8UUCKFCTLOULIG00/HRP-510%20Appendix%20I%20-%20Neonates%20of%20Uncertain%20Viability.docx" TargetMode="External"/><Relationship Id="rId72" Type="http://schemas.openxmlformats.org/officeDocument/2006/relationships/hyperlink" Target="https://go.osu.edu/hrp814" TargetMode="External"/><Relationship Id="rId375" Type="http://schemas.openxmlformats.org/officeDocument/2006/relationships/hyperlink" Target="http://medicine.osu.edu/research/clinical_research/research%20and%20hipaa/pages/index.aspx" TargetMode="External"/><Relationship Id="rId582" Type="http://schemas.openxmlformats.org/officeDocument/2006/relationships/hyperlink" Target="https://osuirb.huronresearchsuite.com/IRB/sd/Doc/0/GGO3TFNRIC8UUCKFCTLOULIG00/HRP-544o%20ShortFormConsentTemplate_English%20FINAL-TrChi.rtf" TargetMode="External"/><Relationship Id="rId3" Type="http://schemas.openxmlformats.org/officeDocument/2006/relationships/customXml" Target="../customXml/item3.xml"/><Relationship Id="rId235" Type="http://schemas.openxmlformats.org/officeDocument/2006/relationships/hyperlink" Target="https://go.osu.edu/hrpppolicy27" TargetMode="External"/><Relationship Id="rId277" Type="http://schemas.openxmlformats.org/officeDocument/2006/relationships/hyperlink" Target="https://go.osu.edu/HRPPpolicy21" TargetMode="External"/><Relationship Id="rId400" Type="http://schemas.openxmlformats.org/officeDocument/2006/relationships/hyperlink" Target="https://go.osu.edu/HRPPpolicy24" TargetMode="External"/><Relationship Id="rId442" Type="http://schemas.openxmlformats.org/officeDocument/2006/relationships/hyperlink" Target="https://go.osu.edu/hrp044" TargetMode="External"/><Relationship Id="rId484" Type="http://schemas.openxmlformats.org/officeDocument/2006/relationships/hyperlink" Target="https://go.osu.edu/hrp629" TargetMode="External"/><Relationship Id="rId137" Type="http://schemas.openxmlformats.org/officeDocument/2006/relationships/hyperlink" Target="https://go.osu.edu/HRPPpolicy17" TargetMode="External"/><Relationship Id="rId302" Type="http://schemas.openxmlformats.org/officeDocument/2006/relationships/hyperlink" Target="https://www.fda.gov/regulatory-information/search-fda-guidance-documents/ind-exemptions-studies-lawfully-marketed-drug-or-biological-products-treatment-cancer" TargetMode="External"/><Relationship Id="rId344" Type="http://schemas.openxmlformats.org/officeDocument/2006/relationships/hyperlink" Target="https://go.osu.edu/HRPPpolicy12" TargetMode="External"/><Relationship Id="rId41" Type="http://schemas.openxmlformats.org/officeDocument/2006/relationships/hyperlink" Target="https://ohiostateresearch.knowledgebase.co/category/how-to/huron-irb/19/" TargetMode="External"/><Relationship Id="rId83" Type="http://schemas.openxmlformats.org/officeDocument/2006/relationships/hyperlink" Target="mailto:OR-IRBEmergencyUse@osu.edu" TargetMode="External"/><Relationship Id="rId179" Type="http://schemas.openxmlformats.org/officeDocument/2006/relationships/hyperlink" Target="https://go.osu.edu/HRPPpolicy13" TargetMode="External"/><Relationship Id="rId386" Type="http://schemas.openxmlformats.org/officeDocument/2006/relationships/hyperlink" Target="https://go.osu.edu/HRPPpolicy19" TargetMode="External"/><Relationship Id="rId551" Type="http://schemas.openxmlformats.org/officeDocument/2006/relationships/hyperlink" Target="https://osuirb.huronresearchsuite.com/IRB/sd/Doc/0/GN0S1MFRHS8UUCKFCTLOULIG00/HRP-510%20Appendix%20T%20-%20Exempt%20Research.docx" TargetMode="External"/><Relationship Id="rId593" Type="http://schemas.openxmlformats.org/officeDocument/2006/relationships/hyperlink" Target="https://osuirb.huronresearchsuite.com/IRB/sd/Doc/0/0EJ529P4S08V0DKFCTLOULIG00/HRP-813%20-%20FORM%20-%20Site%20Modification%204.28.2025.docx" TargetMode="External"/><Relationship Id="rId190" Type="http://schemas.openxmlformats.org/officeDocument/2006/relationships/hyperlink" Target="https://go.osu.edu/HRPPpolicy38" TargetMode="External"/><Relationship Id="rId204" Type="http://schemas.openxmlformats.org/officeDocument/2006/relationships/hyperlink" Target="http://www.ed.gov/policy/gen/guid/fpco/ferpa/index.html" TargetMode="External"/><Relationship Id="rId246" Type="http://schemas.openxmlformats.org/officeDocument/2006/relationships/hyperlink" Target="http://deainfo.nci.nih.gov/grantspolicies/datasafety.pdf" TargetMode="External"/><Relationship Id="rId288" Type="http://schemas.openxmlformats.org/officeDocument/2006/relationships/hyperlink" Target="https://studentprivacy.ed.gov/topic/protection-pupil-rights-amendment-ppra" TargetMode="External"/><Relationship Id="rId411" Type="http://schemas.openxmlformats.org/officeDocument/2006/relationships/hyperlink" Target="https://go.osu.edu/coi-policy" TargetMode="External"/><Relationship Id="rId453" Type="http://schemas.openxmlformats.org/officeDocument/2006/relationships/hyperlink" Target="https://go.osu.edu/hrp080" TargetMode="External"/><Relationship Id="rId509" Type="http://schemas.openxmlformats.org/officeDocument/2006/relationships/hyperlink" Target="https://osuirb.huronresearchsuite.com/IRB/sd/Doc/0/MNCG3QVRGG8UUCKFCTLOULIG00/HRP-401%20-%20CHECKLIST%20-%20Pre-Review.docx" TargetMode="External"/><Relationship Id="rId106" Type="http://schemas.openxmlformats.org/officeDocument/2006/relationships/hyperlink" Target="https://research.osu.edu/sites/default/files/2021-07/Policy-on-Faculty-Financial-Conflict-of-Interest.pdf" TargetMode="External"/><Relationship Id="rId313" Type="http://schemas.openxmlformats.org/officeDocument/2006/relationships/hyperlink" Target="http://www.fda.gov/downloads/drugs/guidancecomplianceregulatoryinformation/guidances/ucm351264.pdf" TargetMode="External"/><Relationship Id="rId495" Type="http://schemas.openxmlformats.org/officeDocument/2006/relationships/header" Target="header4.xml"/><Relationship Id="rId10" Type="http://schemas.openxmlformats.org/officeDocument/2006/relationships/footnotes" Target="footnotes.xml"/><Relationship Id="rId52" Type="http://schemas.openxmlformats.org/officeDocument/2006/relationships/hyperlink" Target="https://research.osu.edu/research-responsibilities-and-compliance/human-subjects/reportable-new-information-rni" TargetMode="External"/><Relationship Id="rId94" Type="http://schemas.openxmlformats.org/officeDocument/2006/relationships/hyperlink" Target="https://research.osu.edu/sites/default/files/2021-07/Policy-on-Faculty-Financial-Conflict-of-Interest.pdf" TargetMode="External"/><Relationship Id="rId148" Type="http://schemas.openxmlformats.org/officeDocument/2006/relationships/hyperlink" Target="https://go.osu.edu/HRPPpolicy04" TargetMode="External"/><Relationship Id="rId355" Type="http://schemas.openxmlformats.org/officeDocument/2006/relationships/hyperlink" Target="http://www.accessdata.fda.gov/scripts/cdrh/cfdocs/cfcfr/CFRsearch.cfm?CFRPart=807" TargetMode="External"/><Relationship Id="rId397" Type="http://schemas.openxmlformats.org/officeDocument/2006/relationships/hyperlink" Target="https://go.osu.edu/hrpppolicy29" TargetMode="External"/><Relationship Id="rId520" Type="http://schemas.openxmlformats.org/officeDocument/2006/relationships/hyperlink" Target="https://osuirb.huronresearchsuite.com/IRB/sd/Doc/0/757HR07RH08UUCKFCTLOULIG00/HRP-419%20-%20CHECKLIST%20-%20Waiver%20of%20Consent%20Process%20for%20Emergency%20Research.docx" TargetMode="External"/><Relationship Id="rId562" Type="http://schemas.openxmlformats.org/officeDocument/2006/relationships/hyperlink" Target="https://osuirb.huronresearchsuite.com/IRB/sd/Doc/0/DTE2Q1NRHO8UUCKFCTLOULIG00/HRP-538%20ParentalPermissionTemplateCombinedHIPAA_BBC.doc" TargetMode="External"/><Relationship Id="rId215" Type="http://schemas.openxmlformats.org/officeDocument/2006/relationships/hyperlink" Target="https://go.osu.edu/hrpppolicy21" TargetMode="External"/><Relationship Id="rId257" Type="http://schemas.openxmlformats.org/officeDocument/2006/relationships/hyperlink" Target="https://www.hhs.gov/ohrp/compliance-and-reporting/guidance-on-reporting-incident/index.html" TargetMode="External"/><Relationship Id="rId422" Type="http://schemas.openxmlformats.org/officeDocument/2006/relationships/hyperlink" Target="https://web.archive.org/web/20250622040344/https:/www.doseinfo-radar.com/RADARDoseRiskCalc.html" TargetMode="External"/><Relationship Id="rId464" Type="http://schemas.openxmlformats.org/officeDocument/2006/relationships/hyperlink" Target="https://go.osu.edu/hrp607" TargetMode="External"/><Relationship Id="rId299" Type="http://schemas.openxmlformats.org/officeDocument/2006/relationships/hyperlink" Target="https://www.fda.gov/vaccines-blood-biologics/development-approval-process-cber/investigational-device-exemptions-ides-cber-regulated-products" TargetMode="External"/><Relationship Id="rId63" Type="http://schemas.openxmlformats.org/officeDocument/2006/relationships/hyperlink" Target="https://go.osu.edu/citihsp" TargetMode="External"/><Relationship Id="rId159" Type="http://schemas.openxmlformats.org/officeDocument/2006/relationships/hyperlink" Target="https://go.osu.edu/HRPPpolicy13" TargetMode="External"/><Relationship Id="rId366" Type="http://schemas.openxmlformats.org/officeDocument/2006/relationships/hyperlink" Target="http://www.accessdata.fda.gov/scripts/cdrh/cfdocs/cfHDE/HDEInformation.cfm" TargetMode="External"/><Relationship Id="rId573" Type="http://schemas.openxmlformats.org/officeDocument/2006/relationships/hyperlink" Target="https://osuirb.huronresearchsuite.com/IRB/sd/Doc/0/R82BIFVRI48UUCKFCTLOULIG00/HRP-544e%20ShortFormConsentTemplate_English%20FINAL-Jpn.rtf" TargetMode="External"/><Relationship Id="rId226" Type="http://schemas.openxmlformats.org/officeDocument/2006/relationships/hyperlink" Target="https://go.osu.edu/ORRPconsentlanguage" TargetMode="External"/><Relationship Id="rId433" Type="http://schemas.openxmlformats.org/officeDocument/2006/relationships/hyperlink" Target="https://osuirb.huronresearchsuite.com/IRB/sd/Rooms/DisplayPages/LayoutInitial?container=com.webridge.entity.Entity%5BOID%5BCACD41AF7CFE11EF328F32B38F565000%5D%5D&amp;tab2=65B6C601F5DAD4488AE68814F459961B" TargetMode="External"/><Relationship Id="rId74" Type="http://schemas.openxmlformats.org/officeDocument/2006/relationships/hyperlink" Target="https://ohiostateresearch.knowledgebase.co/article/huron-irb-report-cr-data-for-a-single-site-external-study-91.html" TargetMode="External"/><Relationship Id="rId377" Type="http://schemas.openxmlformats.org/officeDocument/2006/relationships/hyperlink" Target="https://go.osu.edu/privacyofficers" TargetMode="External"/><Relationship Id="rId500" Type="http://schemas.openxmlformats.org/officeDocument/2006/relationships/hyperlink" Target="https://osuirb.huronresearchsuite.com/IRB/sd/Doc/0/IN78J8FRG88UUCKFCTLOULIG00/HRP-103p%20-%20INVESTIGATOR%20MANUAL%20-%20pSite.docx" TargetMode="External"/><Relationship Id="rId584" Type="http://schemas.openxmlformats.org/officeDocument/2006/relationships/hyperlink" Target="https://osuirb.huronresearchsuite.com/IRB/sd/Doc/0/SBEUHA7RIC8UUCKFCTLOULIG00/HRP-544q%20ShortFormConsentTemplate_English%20FINAL_Kin.rtf" TargetMode="External"/><Relationship Id="rId5" Type="http://schemas.openxmlformats.org/officeDocument/2006/relationships/customXml" Target="../customXml/item5.xml"/><Relationship Id="rId237" Type="http://schemas.openxmlformats.org/officeDocument/2006/relationships/hyperlink" Target="https://go.osu.edu/hrpppolicy19" TargetMode="External"/><Relationship Id="rId444" Type="http://schemas.openxmlformats.org/officeDocument/2006/relationships/hyperlink" Target="https://go.osu.edu/hrp054" TargetMode="External"/><Relationship Id="rId290" Type="http://schemas.openxmlformats.org/officeDocument/2006/relationships/hyperlink" Target="https://go.osu.edu/HRPPpolicy19" TargetMode="External"/><Relationship Id="rId304" Type="http://schemas.openxmlformats.org/officeDocument/2006/relationships/hyperlink" Target="https://www.fda.gov/drugs/investigational-new-drug-ind-application/investigator-initiated-investigational-new-drug-ind-applications" TargetMode="External"/><Relationship Id="rId388" Type="http://schemas.openxmlformats.org/officeDocument/2006/relationships/hyperlink" Target="https://go.osu.edu/ORRPconsentlanguage" TargetMode="External"/><Relationship Id="rId511" Type="http://schemas.openxmlformats.org/officeDocument/2006/relationships/hyperlink" Target="https://osuirb.huronresearchsuite.com/IRB/sd/Doc/0/OMNELDFRGG8UUCKFCTLOULIG00/HRP-410%20-%20CHECKLIST%20-%20Waiver%20or%20Alteration%20of%20Consent%20Process.docx" TargetMode="External"/><Relationship Id="rId85" Type="http://schemas.openxmlformats.org/officeDocument/2006/relationships/hyperlink" Target="https://secure.ethicspoint.com/domain/en/report_custom.asp?clientid=7689" TargetMode="External"/><Relationship Id="rId150" Type="http://schemas.openxmlformats.org/officeDocument/2006/relationships/hyperlink" Target="https://go.osu.edu/HRPPpolicy14" TargetMode="External"/><Relationship Id="rId595" Type="http://schemas.openxmlformats.org/officeDocument/2006/relationships/hyperlink" Target="https://osuirb.huronresearchsuite.com/IRB/sd/Doc/0/635J9T14S08V0DKFCTLOULIG00/HRP-815%20-%20FORM%20-%20Institutional%20Profile%204.28.2025.docx" TargetMode="External"/><Relationship Id="rId248" Type="http://schemas.openxmlformats.org/officeDocument/2006/relationships/hyperlink" Target="https://www.hhs.gov/ohrp/regulations-and-policy/guidance/reviewing-unanticipated-problems/index.html" TargetMode="External"/><Relationship Id="rId455" Type="http://schemas.openxmlformats.org/officeDocument/2006/relationships/hyperlink" Target="https://go.osu.edu/hrp082" TargetMode="External"/><Relationship Id="rId12" Type="http://schemas.openxmlformats.org/officeDocument/2006/relationships/header" Target="header1.xml"/><Relationship Id="rId108" Type="http://schemas.openxmlformats.org/officeDocument/2006/relationships/hyperlink" Target="https://go.osu.edu/HRPPpolicy30" TargetMode="External"/><Relationship Id="rId315" Type="http://schemas.openxmlformats.org/officeDocument/2006/relationships/hyperlink" Target="http://www.accessdata.fda.gov/scripts/cdrh/cfdocs/cfcfr/CFRSearch.cfm?CFRPart=54" TargetMode="External"/><Relationship Id="rId522" Type="http://schemas.openxmlformats.org/officeDocument/2006/relationships/hyperlink" Target="https://osuirb.huronresearchsuite.com/IRB/sd/Doc/0/D64ITM7RGC8UUCKFCTLOULIG00/HRP-215%20-%20FORM%20-%20Continuing%20Review%20Supplement.docx" TargetMode="External"/><Relationship Id="rId96" Type="http://schemas.openxmlformats.org/officeDocument/2006/relationships/hyperlink" Target="http://trustees.osu.edu/rules/university-rules/chapter-3335-13-university-property.html" TargetMode="External"/><Relationship Id="rId161" Type="http://schemas.openxmlformats.org/officeDocument/2006/relationships/hyperlink" Target="https://go.osu.edu/hrpppolicy12" TargetMode="External"/><Relationship Id="rId399" Type="http://schemas.openxmlformats.org/officeDocument/2006/relationships/hyperlink" Target="http://www.fda.gov/RegulatoryInformation/Guidances/ucm126491.htm" TargetMode="External"/><Relationship Id="rId259" Type="http://schemas.openxmlformats.org/officeDocument/2006/relationships/hyperlink" Target="https://www.hhs.gov/ohrp/regulations-and-policy/guidance/public-law-103-43/index.html" TargetMode="External"/><Relationship Id="rId466" Type="http://schemas.openxmlformats.org/officeDocument/2006/relationships/hyperlink" Target="https://go.osu.edu/hrp610" TargetMode="External"/><Relationship Id="rId23" Type="http://schemas.openxmlformats.org/officeDocument/2006/relationships/hyperlink" Target="https://www.ecfr.gov/current/title-45/subtitle-A/subchapter-A/part-94" TargetMode="External"/><Relationship Id="rId119" Type="http://schemas.openxmlformats.org/officeDocument/2006/relationships/hyperlink" Target="http://orc.osu.edu/files/ResearchDataPolicy.pdf" TargetMode="External"/><Relationship Id="rId326" Type="http://schemas.openxmlformats.org/officeDocument/2006/relationships/hyperlink" Target="https://go.osu.edu/HRPPpolicy29" TargetMode="External"/><Relationship Id="rId533" Type="http://schemas.openxmlformats.org/officeDocument/2006/relationships/hyperlink" Target="https://osuirb.huronresearchsuite.com/IRB/sd/Doc/0/P53BI1VRHK8UUCKFCTLOULIG00/HRP-510%20Appendix%20B%20-%20Alteration%20of%20HIPAA%20Research%20Authorization.docx" TargetMode="External"/><Relationship Id="rId172" Type="http://schemas.openxmlformats.org/officeDocument/2006/relationships/hyperlink" Target="https://go.osu.edu/HRPPpolicy12" TargetMode="External"/><Relationship Id="rId477" Type="http://schemas.openxmlformats.org/officeDocument/2006/relationships/hyperlink" Target="https://go.osu.edu/hrp622" TargetMode="External"/><Relationship Id="rId600" Type="http://schemas.openxmlformats.org/officeDocument/2006/relationships/footer" Target="footer6.xml"/><Relationship Id="rId337" Type="http://schemas.openxmlformats.org/officeDocument/2006/relationships/hyperlink" Target="http://www.accessdata.fda.gov/scripts/cdrh/cfdocs/cfcfr/CFRSearch.cfm?fr=812.36" TargetMode="External"/><Relationship Id="rId34" Type="http://schemas.openxmlformats.org/officeDocument/2006/relationships/hyperlink" Target="https://go.osu.edu/hrp510c" TargetMode="External"/><Relationship Id="rId544" Type="http://schemas.openxmlformats.org/officeDocument/2006/relationships/hyperlink" Target="https://osuirb.huronresearchsuite.com/IRB/sd/Doc/0/SB6IL0VRHO8UUCKFCTLOULIG00/HRP-510%20Appendix%20M%20-%20Pregnant%20Women%20and%20Fetuses.docx" TargetMode="External"/><Relationship Id="rId183" Type="http://schemas.openxmlformats.org/officeDocument/2006/relationships/hyperlink" Target="https://go.osu.edu/HRPPpolicy39" TargetMode="External"/><Relationship Id="rId390" Type="http://schemas.openxmlformats.org/officeDocument/2006/relationships/hyperlink" Target="https://go.osu.edu/HRPPpolicy19" TargetMode="External"/><Relationship Id="rId404" Type="http://schemas.openxmlformats.org/officeDocument/2006/relationships/hyperlink" Target="https://go.osu.edu/hrpppolicy34" TargetMode="External"/><Relationship Id="rId250" Type="http://schemas.openxmlformats.org/officeDocument/2006/relationships/hyperlink" Target="https://go.osu.edu/ORRPevent" TargetMode="External"/><Relationship Id="rId488" Type="http://schemas.openxmlformats.org/officeDocument/2006/relationships/hyperlink" Target="https://go.osu.edu/hrp633" TargetMode="External"/><Relationship Id="rId45" Type="http://schemas.openxmlformats.org/officeDocument/2006/relationships/hyperlink" Target="https://go.osu.edu/hrp325" TargetMode="External"/><Relationship Id="rId110" Type="http://schemas.openxmlformats.org/officeDocument/2006/relationships/hyperlink" Target="https://go.osu.edu/HRPPpolicy19" TargetMode="External"/><Relationship Id="rId348" Type="http://schemas.openxmlformats.org/officeDocument/2006/relationships/hyperlink" Target="http://www.fda.gov/downloads/RegulatoryInformation/Guidances/UCM126418.pdf" TargetMode="External"/><Relationship Id="rId555" Type="http://schemas.openxmlformats.org/officeDocument/2006/relationships/hyperlink" Target="https://osuirb.huronresearchsuite.com/IRB/sd/Doc/0/G4P58SVRHG8UUCKFCTLOULIG00/HRP-531%20Consent%20Template_BC.docx" TargetMode="External"/><Relationship Id="rId194" Type="http://schemas.openxmlformats.org/officeDocument/2006/relationships/hyperlink" Target="https://go.osu.edu/HRPPpolicy24" TargetMode="External"/><Relationship Id="rId208" Type="http://schemas.openxmlformats.org/officeDocument/2006/relationships/hyperlink" Target="https://go.osu.edu/ORRPconsentlanguage" TargetMode="External"/><Relationship Id="rId415" Type="http://schemas.openxmlformats.org/officeDocument/2006/relationships/hyperlink" Target="https://go.osu.edu/HRPPpolicy09" TargetMode="External"/><Relationship Id="rId261" Type="http://schemas.openxmlformats.org/officeDocument/2006/relationships/hyperlink" Target="https://go.osu.edu/HRPPpolicy20" TargetMode="External"/><Relationship Id="rId499" Type="http://schemas.openxmlformats.org/officeDocument/2006/relationships/hyperlink" Target="https://osuirb.huronresearchsuite.com/IRB/sd/Doc/0/BRA265VRG88UUCKFCTLOULIG00/HRP-103%20-%20INVESTIGATOR%20MANUAL.docx"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www.accessdata.fda.gov/SCRIPTs/cdrh/cfdocs/cfcfr/CFRSearch.cfm?fr=312.66" TargetMode="External"/><Relationship Id="rId13" Type="http://schemas.openxmlformats.org/officeDocument/2006/relationships/hyperlink" Target="http://www.accessdata.fda.gov/SCRIPTs/cdrh/cfdocs/cfcfr/CFRSearch.cfm?fr=812.140" TargetMode="External"/><Relationship Id="rId3" Type="http://schemas.openxmlformats.org/officeDocument/2006/relationships/hyperlink" Target="http://www.accessdata.fda.gov/SCRIPTs/cdrh/cfdocs/cfcfr/CFRSearch.cfm?fr=312.7" TargetMode="External"/><Relationship Id="rId7" Type="http://schemas.openxmlformats.org/officeDocument/2006/relationships/hyperlink" Target="http://www.accessdata.fda.gov/SCRIPTs/cdrh/cfdocs/cfcfr/CFRSearch.cfm?fr=312.64" TargetMode="External"/><Relationship Id="rId12" Type="http://schemas.openxmlformats.org/officeDocument/2006/relationships/hyperlink" Target="http://www.accessdata.fda.gov/SCRIPTs/cdrh/cfdocs/cfcfr/CFRSearch.cfm?fr=812.110" TargetMode="External"/><Relationship Id="rId2" Type="http://schemas.openxmlformats.org/officeDocument/2006/relationships/hyperlink" Target="http://www.fda.gov/downloads/RegulatoryInformation/Guidances/UCM126489.pdf" TargetMode="External"/><Relationship Id="rId1" Type="http://schemas.openxmlformats.org/officeDocument/2006/relationships/hyperlink" Target="http://www.hhs.gov/ohrp/policy/subjectwithdrawal.html" TargetMode="External"/><Relationship Id="rId6" Type="http://schemas.openxmlformats.org/officeDocument/2006/relationships/hyperlink" Target="http://www.accessdata.fda.gov/SCRIPTs/cdrh/cfdocs/cfcfr/CFRSearch.cfm?fr=312.62" TargetMode="External"/><Relationship Id="rId11" Type="http://schemas.openxmlformats.org/officeDocument/2006/relationships/hyperlink" Target="http://www.accessdata.fda.gov/SCRIPTs/cdrh/cfdocs/cfcfr/CFRSearch.cfm?fr=812.100" TargetMode="External"/><Relationship Id="rId5" Type="http://schemas.openxmlformats.org/officeDocument/2006/relationships/hyperlink" Target="http://www.accessdata.fda.gov/SCRIPTs/cdrh/cfdocs/cfcfr/CFRSearch.cfm?fr=312.61" TargetMode="External"/><Relationship Id="rId15" Type="http://schemas.openxmlformats.org/officeDocument/2006/relationships/hyperlink" Target="http://www.accessdata.fda.gov/SCRIPTs/cdrh/cfdocs/cfcfr/CFRSearch.cfm?fr=812.150" TargetMode="External"/><Relationship Id="rId10" Type="http://schemas.openxmlformats.org/officeDocument/2006/relationships/hyperlink" Target="http://www.accessdata.fda.gov/SCRIPTs/cdrh/cfdocs/cfcfr/CFRSearch.cfm?fr=312.69" TargetMode="External"/><Relationship Id="rId4" Type="http://schemas.openxmlformats.org/officeDocument/2006/relationships/hyperlink" Target="http://www.accessdata.fda.gov/SCRIPTs/cdrh/cfdocs/cfcfr/CFRSearch.cfm?fr=312.60" TargetMode="External"/><Relationship Id="rId9" Type="http://schemas.openxmlformats.org/officeDocument/2006/relationships/hyperlink" Target="http://www.accessdata.fda.gov/SCRIPTs/cdrh/cfdocs/cfcfr/CFRSearch.cfm?fr=312.68" TargetMode="External"/><Relationship Id="rId14" Type="http://schemas.openxmlformats.org/officeDocument/2006/relationships/hyperlink" Target="http://www.accessdata.fda.gov/SCRIPTs/cdrh/cfdocs/cfcfr/CFRSearch.cfm?fr=812.14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ERIK Ohio State and units theme">
      <a:dk1>
        <a:srgbClr val="404443"/>
      </a:dk1>
      <a:lt1>
        <a:srgbClr val="FFFFFF"/>
      </a:lt1>
      <a:dk2>
        <a:srgbClr val="061217"/>
      </a:dk2>
      <a:lt2>
        <a:srgbClr val="EBECEE"/>
      </a:lt2>
      <a:accent1>
        <a:srgbClr val="BA0C2F"/>
      </a:accent1>
      <a:accent2>
        <a:srgbClr val="70071C"/>
      </a:accent2>
      <a:accent3>
        <a:srgbClr val="404443"/>
      </a:accent3>
      <a:accent4>
        <a:srgbClr val="747B7E"/>
      </a:accent4>
      <a:accent5>
        <a:srgbClr val="E0E0E0"/>
      </a:accent5>
      <a:accent6>
        <a:srgbClr val="EFEFEF"/>
      </a:accent6>
      <a:hlink>
        <a:srgbClr val="0563C1"/>
      </a:hlink>
      <a:folHlink>
        <a:srgbClr val="954F72"/>
      </a:folHlink>
    </a:clrScheme>
    <a:fontScheme name="Buckeye Sans">
      <a:majorFont>
        <a:latin typeface="Buckeye Serif 2"/>
        <a:ea typeface=""/>
        <a:cs typeface=""/>
      </a:majorFont>
      <a:minorFont>
        <a:latin typeface="Buckeye Sans 2"/>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8c9baae-c8d8-4641-9b36-b8f7351a3aae">
      <Terms xmlns="http://schemas.microsoft.com/office/infopath/2007/PartnerControls"/>
    </lcf76f155ced4ddcb4097134ff3c332f>
    <TaxCatchAll xmlns="2c0ab20c-e748-47a9-9063-aa1ef755b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7FD4B1150AE6F429E50C8E7CA2EE249" ma:contentTypeVersion="11" ma:contentTypeDescription="Create a new document." ma:contentTypeScope="" ma:versionID="40777ec19e38d70a1ad687dcf92ac4e4">
  <xsd:schema xmlns:xsd="http://www.w3.org/2001/XMLSchema" xmlns:xs="http://www.w3.org/2001/XMLSchema" xmlns:p="http://schemas.microsoft.com/office/2006/metadata/properties" xmlns:ns2="98c9baae-c8d8-4641-9b36-b8f7351a3aae" xmlns:ns3="2c0ab20c-e748-47a9-9063-aa1ef755bbb3" targetNamespace="http://schemas.microsoft.com/office/2006/metadata/properties" ma:root="true" ma:fieldsID="48894a302a6f0939176b3b5d6bf0babd" ns2:_="" ns3:_="">
    <xsd:import namespace="98c9baae-c8d8-4641-9b36-b8f7351a3aae"/>
    <xsd:import namespace="2c0ab20c-e748-47a9-9063-aa1ef755bbb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c9baae-c8d8-4641-9b36-b8f7351a3a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b434354-605c-4a24-9fd5-b21458dd13e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0ab20c-e748-47a9-9063-aa1ef755bbb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390361e-956f-4b04-a2dc-4ea3e5ad196a}" ma:internalName="TaxCatchAll" ma:showField="CatchAllData" ma:web="2c0ab20c-e748-47a9-9063-aa1ef755b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92F58-1787-4003-AE1B-CDFBC51FEF22}">
  <ds:schemaRefs>
    <ds:schemaRef ds:uri="http://schemas.microsoft.com/sharepoint/v3/contenttype/forms"/>
  </ds:schemaRefs>
</ds:datastoreItem>
</file>

<file path=customXml/itemProps2.xml><?xml version="1.0" encoding="utf-8"?>
<ds:datastoreItem xmlns:ds="http://schemas.openxmlformats.org/officeDocument/2006/customXml" ds:itemID="{24ED01DD-E347-447A-B2BC-1354B7E76970}">
  <ds:schemaRefs>
    <ds:schemaRef ds:uri="http://schemas.microsoft.com/office/2006/metadata/properties"/>
    <ds:schemaRef ds:uri="http://schemas.microsoft.com/office/infopath/2007/PartnerControls"/>
    <ds:schemaRef ds:uri="98c9baae-c8d8-4641-9b36-b8f7351a3aae"/>
    <ds:schemaRef ds:uri="2c0ab20c-e748-47a9-9063-aa1ef755bbb3"/>
  </ds:schemaRefs>
</ds:datastoreItem>
</file>

<file path=customXml/itemProps3.xml><?xml version="1.0" encoding="utf-8"?>
<ds:datastoreItem xmlns:ds="http://schemas.openxmlformats.org/officeDocument/2006/customXml" ds:itemID="{01D3961A-57C0-4138-94D7-1C6654DC34E8}">
  <ds:schemaRefs>
    <ds:schemaRef ds:uri="http://schemas.microsoft.com/sharepoint/v3/contenttype/forms"/>
  </ds:schemaRefs>
</ds:datastoreItem>
</file>

<file path=customXml/itemProps4.xml><?xml version="1.0" encoding="utf-8"?>
<ds:datastoreItem xmlns:ds="http://schemas.openxmlformats.org/officeDocument/2006/customXml" ds:itemID="{2002A328-0B45-4D3F-A703-EE5C8B960D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c9baae-c8d8-4641-9b36-b8f7351a3aae"/>
    <ds:schemaRef ds:uri="2c0ab20c-e748-47a9-9063-aa1ef755b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E02E42-0F44-4BF2-9E65-04FD411B2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256</Pages>
  <Words>111018</Words>
  <Characters>632806</Characters>
  <Application>Microsoft Office Word</Application>
  <DocSecurity>0</DocSecurity>
  <Lines>5273</Lines>
  <Paragraphs>1484</Paragraphs>
  <ScaleCrop>false</ScaleCrop>
  <HeadingPairs>
    <vt:vector size="2" baseType="variant">
      <vt:variant>
        <vt:lpstr>Title</vt:lpstr>
      </vt:variant>
      <vt:variant>
        <vt:i4>1</vt:i4>
      </vt:variant>
    </vt:vector>
  </HeadingPairs>
  <TitlesOfParts>
    <vt:vector size="1" baseType="lpstr">
      <vt:lpstr>HRP-103 Investigator Manual</vt:lpstr>
    </vt:vector>
  </TitlesOfParts>
  <Manager/>
  <Company/>
  <LinksUpToDate>false</LinksUpToDate>
  <CharactersWithSpaces>742340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HRP-103 Investigator Manual</dc:title>
  <dc:subject>Human Research Protection Program policy</dc:subject>
  <dc:creator>Carnes, Cynthia</dc:creator>
  <cp:keywords>IRB, human subjects research, HRPP, investigator manual, Ohio State University</cp:keywords>
  <dc:description>Investigator manual for the Ohio State University Human Research Protection Program (HRPP), policy HRP-103.</dc:description>
  <cp:lastModifiedBy>Rahmani, Meliha</cp:lastModifiedBy>
  <cp:revision>2</cp:revision>
  <dcterms:created xsi:type="dcterms:W3CDTF">2026-04-23T17:29:00Z</dcterms:created>
  <dcterms:modified xsi:type="dcterms:W3CDTF">2026-04-23T17:29:00Z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0x010100B7FD4B1150AE6F429E50C8E7CA2EE249</vt:lpwstr>
  </property>
  <property fmtid="{D5CDD505-2E9C-101B-9397-08002B2CF9AE}" pid="4" name="GrammarlyDocumentId">
    <vt:lpwstr>7b15afcf842ec1778d1e3a44e765019e1b836dd38a192e9db53d74c0c734e30c</vt:lpwstr>
  </property>
</Properties>
</file>